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Toc15506"/>
    </w:p>
    <w:p/>
    <w:p/>
    <w:p>
      <w:pPr>
        <w:spacing w:line="975" w:lineRule="atLeast"/>
        <w:jc w:val="center"/>
        <w:rPr>
          <w:b/>
          <w:sz w:val="72"/>
          <w:szCs w:val="72"/>
        </w:rPr>
      </w:pPr>
      <w:r>
        <w:rPr>
          <w:b/>
          <w:sz w:val="72"/>
          <w:szCs w:val="72"/>
        </w:rPr>
        <w:t>建设项目环境影响报告表</w:t>
      </w:r>
    </w:p>
    <w:p>
      <w:pPr>
        <w:spacing w:line="453" w:lineRule="atLeast"/>
        <w:ind w:firstLine="623"/>
        <w:rPr>
          <w:sz w:val="32"/>
          <w:szCs w:val="32"/>
        </w:rPr>
      </w:pPr>
    </w:p>
    <w:p>
      <w:pPr>
        <w:spacing w:line="453" w:lineRule="atLeast"/>
        <w:ind w:firstLine="623"/>
      </w:pPr>
    </w:p>
    <w:p>
      <w:pPr>
        <w:spacing w:line="453" w:lineRule="atLeast"/>
        <w:ind w:firstLine="623"/>
      </w:pPr>
    </w:p>
    <w:p>
      <w:pPr>
        <w:spacing w:line="453" w:lineRule="atLeast"/>
        <w:ind w:firstLine="623"/>
      </w:pPr>
    </w:p>
    <w:p>
      <w:pPr>
        <w:spacing w:line="453" w:lineRule="atLeast"/>
        <w:ind w:firstLine="623"/>
      </w:pPr>
    </w:p>
    <w:p>
      <w:pPr>
        <w:spacing w:line="453" w:lineRule="atLeast"/>
        <w:ind w:firstLine="623"/>
      </w:pPr>
    </w:p>
    <w:p>
      <w:pPr>
        <w:spacing w:line="453" w:lineRule="atLeast"/>
        <w:ind w:firstLine="623"/>
      </w:pPr>
    </w:p>
    <w:p>
      <w:pPr>
        <w:spacing w:line="453" w:lineRule="atLeast"/>
        <w:ind w:firstLine="623"/>
      </w:pPr>
    </w:p>
    <w:p>
      <w:pPr>
        <w:pStyle w:val="2"/>
        <w:ind w:firstLine="562" w:firstLineChars="200"/>
      </w:pPr>
    </w:p>
    <w:p>
      <w:pPr>
        <w:spacing w:line="480" w:lineRule="auto"/>
        <w:ind w:firstLine="745" w:firstLineChars="232"/>
        <w:rPr>
          <w:rFonts w:eastAsia="楷体_GB2312"/>
          <w:b/>
          <w:bCs/>
          <w:sz w:val="32"/>
          <w:szCs w:val="32"/>
          <w:u w:val="thick"/>
        </w:rPr>
      </w:pPr>
      <w:r>
        <w:rPr>
          <w:b/>
          <w:bCs/>
          <w:sz w:val="32"/>
          <w:szCs w:val="32"/>
        </w:rPr>
        <w:t>项目名称：</w:t>
      </w:r>
      <w:r>
        <w:rPr>
          <w:rFonts w:hint="eastAsia"/>
          <w:b/>
          <w:bCs/>
          <w:sz w:val="32"/>
          <w:szCs w:val="32"/>
          <w:u w:val="single"/>
        </w:rPr>
        <w:t xml:space="preserve"> </w:t>
      </w:r>
      <w:r>
        <w:rPr>
          <w:b/>
          <w:bCs/>
          <w:sz w:val="32"/>
          <w:szCs w:val="32"/>
          <w:u w:val="single"/>
        </w:rPr>
        <w:t xml:space="preserve"> </w:t>
      </w:r>
      <w:r>
        <w:rPr>
          <w:b/>
          <w:sz w:val="32"/>
          <w:szCs w:val="32"/>
          <w:u w:val="single"/>
        </w:rPr>
        <w:t>三坪村高速废渣循环再利用项目</w:t>
      </w:r>
      <w:r>
        <w:rPr>
          <w:sz w:val="32"/>
          <w:szCs w:val="32"/>
          <w:u w:val="single"/>
        </w:rPr>
        <w:t xml:space="preserve">  </w:t>
      </w:r>
    </w:p>
    <w:p>
      <w:pPr>
        <w:spacing w:line="480" w:lineRule="auto"/>
        <w:ind w:firstLine="745" w:firstLineChars="232"/>
        <w:jc w:val="left"/>
        <w:rPr>
          <w:b/>
          <w:sz w:val="32"/>
          <w:szCs w:val="32"/>
        </w:rPr>
      </w:pPr>
      <w:r>
        <w:rPr>
          <w:b/>
          <w:sz w:val="32"/>
          <w:szCs w:val="32"/>
        </w:rPr>
        <w:t>建设单位：</w:t>
      </w:r>
      <w:r>
        <w:rPr>
          <w:b/>
          <w:sz w:val="32"/>
          <w:szCs w:val="32"/>
          <w:u w:val="single"/>
        </w:rPr>
        <w:t xml:space="preserve">   </w:t>
      </w:r>
      <w:r>
        <w:rPr>
          <w:sz w:val="32"/>
          <w:szCs w:val="32"/>
          <w:u w:val="single"/>
        </w:rPr>
        <w:t xml:space="preserve"> </w:t>
      </w:r>
      <w:r>
        <w:rPr>
          <w:b/>
          <w:sz w:val="32"/>
          <w:szCs w:val="32"/>
          <w:u w:val="single"/>
        </w:rPr>
        <w:t xml:space="preserve"> </w:t>
      </w:r>
      <w:r>
        <w:rPr>
          <w:rFonts w:hint="eastAsia"/>
          <w:b/>
          <w:sz w:val="32"/>
          <w:szCs w:val="32"/>
          <w:u w:val="single"/>
        </w:rPr>
        <w:t>旬阳</w:t>
      </w:r>
      <w:r>
        <w:rPr>
          <w:b/>
          <w:sz w:val="32"/>
          <w:szCs w:val="32"/>
          <w:u w:val="single"/>
        </w:rPr>
        <w:t>县华拓工贸有限公司</w:t>
      </w:r>
      <w:r>
        <w:rPr>
          <w:rFonts w:hint="eastAsia"/>
          <w:sz w:val="32"/>
          <w:szCs w:val="32"/>
          <w:u w:val="single"/>
        </w:rPr>
        <w:t xml:space="preserve">  </w:t>
      </w:r>
      <w:r>
        <w:rPr>
          <w:b/>
          <w:sz w:val="32"/>
          <w:szCs w:val="32"/>
          <w:u w:val="single"/>
        </w:rPr>
        <w:t xml:space="preserve">   </w:t>
      </w:r>
    </w:p>
    <w:p>
      <w:pPr>
        <w:spacing w:line="374" w:lineRule="atLeast"/>
        <w:rPr>
          <w:b/>
        </w:rPr>
      </w:pPr>
    </w:p>
    <w:p>
      <w:pPr>
        <w:spacing w:line="374" w:lineRule="atLeast"/>
        <w:rPr>
          <w:b/>
        </w:rPr>
      </w:pPr>
    </w:p>
    <w:p>
      <w:pPr>
        <w:spacing w:line="374" w:lineRule="atLeast"/>
        <w:rPr>
          <w:b/>
        </w:rPr>
      </w:pPr>
    </w:p>
    <w:p>
      <w:pPr>
        <w:spacing w:line="374" w:lineRule="atLeast"/>
        <w:rPr>
          <w:b/>
        </w:rPr>
      </w:pPr>
      <w:bookmarkStart w:id="73" w:name="_GoBack"/>
      <w:bookmarkEnd w:id="73"/>
    </w:p>
    <w:p>
      <w:pPr>
        <w:spacing w:line="374" w:lineRule="atLeast"/>
        <w:rPr>
          <w:b/>
        </w:rPr>
      </w:pPr>
    </w:p>
    <w:p>
      <w:pPr>
        <w:spacing w:line="374" w:lineRule="atLeast"/>
        <w:rPr>
          <w:b/>
        </w:rPr>
      </w:pPr>
    </w:p>
    <w:p>
      <w:pPr>
        <w:spacing w:line="374" w:lineRule="atLeast"/>
        <w:rPr>
          <w:b/>
        </w:rPr>
      </w:pPr>
    </w:p>
    <w:p>
      <w:pPr>
        <w:spacing w:line="374" w:lineRule="atLeast"/>
        <w:rPr>
          <w:b/>
        </w:rPr>
      </w:pPr>
    </w:p>
    <w:p>
      <w:pPr>
        <w:spacing w:line="374" w:lineRule="atLeast"/>
        <w:rPr>
          <w:rFonts w:hint="eastAsia" w:eastAsia="宋体"/>
          <w:b/>
          <w:lang w:eastAsia="zh-CN"/>
        </w:rPr>
      </w:pPr>
    </w:p>
    <w:p>
      <w:pPr>
        <w:spacing w:line="374" w:lineRule="atLeast"/>
        <w:jc w:val="center"/>
        <w:rPr>
          <w:rFonts w:hint="eastAsia" w:eastAsia="宋体"/>
          <w:b/>
          <w:sz w:val="30"/>
          <w:szCs w:val="30"/>
          <w:lang w:eastAsia="zh-CN"/>
        </w:rPr>
      </w:pPr>
      <w:r>
        <w:rPr>
          <w:rFonts w:hint="eastAsia"/>
          <w:b/>
          <w:sz w:val="32"/>
          <w:szCs w:val="32"/>
          <w:lang w:eastAsia="zh-CN"/>
        </w:rPr>
        <w:t>编制单位：西安陆联环保科技有限公司</w:t>
      </w:r>
    </w:p>
    <w:p>
      <w:pPr>
        <w:spacing w:before="156" w:beforeLines="50" w:line="480" w:lineRule="auto"/>
        <w:jc w:val="center"/>
        <w:rPr>
          <w:szCs w:val="22"/>
        </w:rPr>
        <w:sectPr>
          <w:headerReference r:id="rId4" w:type="first"/>
          <w:headerReference r:id="rId3" w:type="default"/>
          <w:pgSz w:w="11906" w:h="16838"/>
          <w:pgMar w:top="1440" w:right="1800" w:bottom="1440" w:left="1800" w:header="851" w:footer="851" w:gutter="0"/>
          <w:pgNumType w:start="0"/>
          <w:cols w:space="720" w:num="1"/>
          <w:titlePg/>
          <w:docGrid w:type="lines" w:linePitch="312" w:charSpace="0"/>
        </w:sectPr>
      </w:pPr>
      <w:r>
        <w:rPr>
          <w:b/>
          <w:sz w:val="32"/>
        </w:rPr>
        <w:t>编制日期：20</w:t>
      </w:r>
      <w:r>
        <w:rPr>
          <w:rFonts w:hint="eastAsia"/>
          <w:b/>
          <w:sz w:val="32"/>
        </w:rPr>
        <w:t>20</w:t>
      </w:r>
      <w:r>
        <w:rPr>
          <w:b/>
          <w:sz w:val="32"/>
        </w:rPr>
        <w:t>年9月</w:t>
      </w:r>
    </w:p>
    <w:p>
      <w:pPr>
        <w:spacing w:before="326" w:beforeLines="100" w:after="326" w:afterLines="100"/>
        <w:jc w:val="center"/>
        <w:rPr>
          <w:sz w:val="44"/>
          <w:szCs w:val="44"/>
        </w:rPr>
      </w:pPr>
      <w:r>
        <w:rPr>
          <w:sz w:val="44"/>
          <w:szCs w:val="44"/>
        </w:rPr>
        <w:t>《建设项目环境影响报告表》编制说明</w:t>
      </w:r>
    </w:p>
    <w:p>
      <w:pPr>
        <w:ind w:firstLine="560" w:firstLineChars="200"/>
        <w:rPr>
          <w:sz w:val="28"/>
          <w:szCs w:val="28"/>
        </w:rPr>
      </w:pPr>
      <w:r>
        <w:rPr>
          <w:sz w:val="28"/>
          <w:szCs w:val="28"/>
        </w:rPr>
        <w:t>《建设项目环境影响报告表》由具有从事环境影响评价工作资质的单位编制。</w:t>
      </w:r>
    </w:p>
    <w:p>
      <w:pPr>
        <w:ind w:firstLine="560" w:firstLineChars="200"/>
        <w:rPr>
          <w:sz w:val="28"/>
          <w:szCs w:val="28"/>
        </w:rPr>
      </w:pPr>
      <w:r>
        <w:rPr>
          <w:sz w:val="28"/>
          <w:szCs w:val="28"/>
        </w:rPr>
        <w:t>1、项目名称——指项目立项批复时的名称，应不超过30个字（两个英文字段作一个汉字）。</w:t>
      </w:r>
    </w:p>
    <w:p>
      <w:pPr>
        <w:ind w:firstLine="560" w:firstLineChars="200"/>
        <w:rPr>
          <w:sz w:val="28"/>
          <w:szCs w:val="28"/>
        </w:rPr>
      </w:pPr>
      <w:r>
        <w:rPr>
          <w:sz w:val="28"/>
          <w:szCs w:val="28"/>
        </w:rPr>
        <w:t>2、建设地点——指项目所在地详细地址，公路、铁路应填写起止地点。</w:t>
      </w:r>
    </w:p>
    <w:p>
      <w:pPr>
        <w:ind w:firstLine="560" w:firstLineChars="200"/>
        <w:rPr>
          <w:sz w:val="28"/>
          <w:szCs w:val="28"/>
        </w:rPr>
      </w:pPr>
      <w:r>
        <w:rPr>
          <w:sz w:val="28"/>
          <w:szCs w:val="28"/>
        </w:rPr>
        <w:t>3、行业类别——按国标填写。</w:t>
      </w:r>
    </w:p>
    <w:p>
      <w:pPr>
        <w:ind w:firstLine="560" w:firstLineChars="200"/>
        <w:rPr>
          <w:sz w:val="28"/>
          <w:szCs w:val="28"/>
        </w:rPr>
      </w:pPr>
      <w:r>
        <w:rPr>
          <w:sz w:val="28"/>
          <w:szCs w:val="28"/>
        </w:rPr>
        <w:t>4、总投资——指项目投资总额。</w:t>
      </w:r>
    </w:p>
    <w:p>
      <w:pPr>
        <w:ind w:firstLine="560" w:firstLineChars="200"/>
        <w:rPr>
          <w:sz w:val="28"/>
          <w:szCs w:val="28"/>
        </w:rPr>
      </w:pPr>
      <w:r>
        <w:rPr>
          <w:sz w:val="28"/>
          <w:szCs w:val="28"/>
        </w:rPr>
        <w:t>5、主要环境保护目标——指项目区周围一定范围内集中居民住宅区、学校、医院、保护文物、风景名胜区、水源地和生态敏感点等，应尽可能给出保护目标、性质、规模和距厂界距离等。</w:t>
      </w:r>
    </w:p>
    <w:p>
      <w:pPr>
        <w:ind w:firstLine="560" w:firstLineChars="200"/>
        <w:rPr>
          <w:sz w:val="28"/>
          <w:szCs w:val="28"/>
        </w:rPr>
      </w:pPr>
      <w:r>
        <w:rPr>
          <w:sz w:val="28"/>
          <w:szCs w:val="28"/>
        </w:rPr>
        <w:t>6、结论与建议——给出本项目清洁生产、达标排放和总量控制的分析结论，确定污染防治措施的有效性，说明本项目对环境造成的影响，给出建设项目环境可行性的明确结论。同时提出减少环境影响的其他建议。</w:t>
      </w:r>
    </w:p>
    <w:p>
      <w:pPr>
        <w:ind w:firstLine="560" w:firstLineChars="200"/>
        <w:rPr>
          <w:sz w:val="28"/>
          <w:szCs w:val="28"/>
        </w:rPr>
      </w:pPr>
      <w:r>
        <w:rPr>
          <w:sz w:val="28"/>
          <w:szCs w:val="28"/>
        </w:rPr>
        <w:t>7、预审意见——由行业主管部门填写答复意见，无主管部门项目，可不填。</w:t>
      </w:r>
    </w:p>
    <w:p>
      <w:pPr>
        <w:ind w:firstLine="560" w:firstLineChars="200"/>
        <w:rPr>
          <w:sz w:val="28"/>
          <w:szCs w:val="28"/>
        </w:rPr>
        <w:sectPr>
          <w:footerReference r:id="rId5" w:type="default"/>
          <w:pgSz w:w="11906" w:h="16838"/>
          <w:pgMar w:top="1440" w:right="1797" w:bottom="1440" w:left="1797" w:header="1191" w:footer="1191" w:gutter="0"/>
          <w:pgNumType w:start="1"/>
          <w:cols w:space="425" w:num="1"/>
          <w:titlePg/>
          <w:docGrid w:type="linesAndChars" w:linePitch="326" w:charSpace="0"/>
        </w:sectPr>
      </w:pPr>
      <w:r>
        <w:rPr>
          <w:sz w:val="28"/>
          <w:szCs w:val="28"/>
        </w:rPr>
        <w:t>8、审批意见——由负责审批该项目的环境保护行政主管部门批复。</w:t>
      </w:r>
    </w:p>
    <w:p>
      <w:pPr>
        <w:keepNext/>
        <w:keepLines/>
        <w:outlineLvl w:val="0"/>
        <w:rPr>
          <w:rFonts w:asciiTheme="minorEastAsia" w:hAnsiTheme="minorEastAsia" w:eastAsiaTheme="minorEastAsia"/>
          <w:b/>
          <w:bCs/>
          <w:kern w:val="44"/>
        </w:rPr>
      </w:pPr>
      <w:r>
        <w:rPr>
          <w:rFonts w:asciiTheme="minorEastAsia" w:hAnsiTheme="minorEastAsia" w:eastAsiaTheme="minorEastAsia"/>
          <w:b/>
          <w:bCs/>
          <w:kern w:val="44"/>
        </w:rPr>
        <w:t>建设项目基本情况</w:t>
      </w:r>
      <w:bookmarkEnd w:id="0"/>
    </w:p>
    <w:tbl>
      <w:tblPr>
        <w:tblStyle w:val="24"/>
        <w:tblW w:w="503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64"/>
        <w:gridCol w:w="1815"/>
        <w:gridCol w:w="855"/>
        <w:gridCol w:w="844"/>
        <w:gridCol w:w="1175"/>
        <w:gridCol w:w="1830"/>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07" w:type="pct"/>
            <w:tcMar>
              <w:left w:w="57" w:type="dxa"/>
              <w:right w:w="57" w:type="dxa"/>
            </w:tcMar>
            <w:vAlign w:val="center"/>
          </w:tcPr>
          <w:p>
            <w:pPr>
              <w:spacing w:line="240" w:lineRule="auto"/>
              <w:jc w:val="center"/>
            </w:pPr>
            <w:r>
              <w:t>项目名称</w:t>
            </w:r>
          </w:p>
        </w:tc>
        <w:tc>
          <w:tcPr>
            <w:tcW w:w="4293" w:type="pct"/>
            <w:gridSpan w:val="6"/>
            <w:tcMar>
              <w:left w:w="57" w:type="dxa"/>
              <w:right w:w="57" w:type="dxa"/>
            </w:tcMar>
            <w:vAlign w:val="center"/>
          </w:tcPr>
          <w:p>
            <w:pPr>
              <w:spacing w:line="240" w:lineRule="auto"/>
              <w:jc w:val="center"/>
            </w:pPr>
            <w:r>
              <w:rPr>
                <w:rFonts w:hint="eastAsia"/>
              </w:rPr>
              <w:t>三坪村高速废渣循环再利用项目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07" w:type="pct"/>
            <w:tcMar>
              <w:left w:w="57" w:type="dxa"/>
              <w:right w:w="57" w:type="dxa"/>
            </w:tcMar>
            <w:vAlign w:val="center"/>
          </w:tcPr>
          <w:p>
            <w:pPr>
              <w:spacing w:line="240" w:lineRule="auto"/>
              <w:jc w:val="center"/>
            </w:pPr>
            <w:r>
              <w:t>建设单位</w:t>
            </w:r>
          </w:p>
        </w:tc>
        <w:tc>
          <w:tcPr>
            <w:tcW w:w="4293" w:type="pct"/>
            <w:gridSpan w:val="6"/>
            <w:tcMar>
              <w:left w:w="57" w:type="dxa"/>
              <w:right w:w="57" w:type="dxa"/>
            </w:tcMar>
            <w:vAlign w:val="center"/>
          </w:tcPr>
          <w:p>
            <w:pPr>
              <w:spacing w:line="240" w:lineRule="auto"/>
              <w:jc w:val="center"/>
            </w:pPr>
            <w:r>
              <w:rPr>
                <w:rFonts w:hint="eastAsia"/>
              </w:rPr>
              <w:t>旬阳县华拓工贸有限公司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07" w:type="pct"/>
            <w:tcMar>
              <w:left w:w="57" w:type="dxa"/>
              <w:right w:w="57" w:type="dxa"/>
            </w:tcMar>
            <w:vAlign w:val="center"/>
          </w:tcPr>
          <w:p>
            <w:pPr>
              <w:spacing w:line="240" w:lineRule="auto"/>
              <w:jc w:val="center"/>
            </w:pPr>
            <w:r>
              <w:t>法人代表</w:t>
            </w:r>
          </w:p>
        </w:tc>
        <w:tc>
          <w:tcPr>
            <w:tcW w:w="1493" w:type="pct"/>
            <w:gridSpan w:val="2"/>
            <w:tcMar>
              <w:left w:w="57" w:type="dxa"/>
              <w:right w:w="57" w:type="dxa"/>
            </w:tcMar>
            <w:vAlign w:val="center"/>
          </w:tcPr>
          <w:p>
            <w:pPr>
              <w:spacing w:line="240" w:lineRule="auto"/>
              <w:jc w:val="center"/>
            </w:pPr>
            <w:r>
              <w:t>王拓</w:t>
            </w:r>
          </w:p>
        </w:tc>
        <w:tc>
          <w:tcPr>
            <w:tcW w:w="1129" w:type="pct"/>
            <w:gridSpan w:val="2"/>
            <w:tcMar>
              <w:left w:w="57" w:type="dxa"/>
              <w:right w:w="57" w:type="dxa"/>
            </w:tcMar>
            <w:vAlign w:val="center"/>
          </w:tcPr>
          <w:p>
            <w:pPr>
              <w:spacing w:line="240" w:lineRule="auto"/>
              <w:jc w:val="center"/>
            </w:pPr>
            <w:r>
              <w:t>联系人</w:t>
            </w:r>
          </w:p>
        </w:tc>
        <w:tc>
          <w:tcPr>
            <w:tcW w:w="1671" w:type="pct"/>
            <w:gridSpan w:val="2"/>
            <w:tcMar>
              <w:left w:w="57" w:type="dxa"/>
              <w:right w:w="57" w:type="dxa"/>
            </w:tcMar>
            <w:vAlign w:val="center"/>
          </w:tcPr>
          <w:p>
            <w:pPr>
              <w:spacing w:line="240" w:lineRule="auto"/>
              <w:jc w:val="center"/>
            </w:pPr>
            <w:r>
              <w:rPr>
                <w:rFonts w:hint="eastAsia"/>
              </w:rPr>
              <w:t>雷云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07" w:type="pct"/>
            <w:tcMar>
              <w:left w:w="57" w:type="dxa"/>
              <w:right w:w="57" w:type="dxa"/>
            </w:tcMar>
            <w:vAlign w:val="center"/>
          </w:tcPr>
          <w:p>
            <w:pPr>
              <w:spacing w:line="240" w:lineRule="auto"/>
              <w:jc w:val="center"/>
            </w:pPr>
            <w:r>
              <w:t>通讯地址</w:t>
            </w:r>
          </w:p>
        </w:tc>
        <w:tc>
          <w:tcPr>
            <w:tcW w:w="4293" w:type="pct"/>
            <w:gridSpan w:val="6"/>
            <w:tcMar>
              <w:left w:w="57" w:type="dxa"/>
              <w:right w:w="57" w:type="dxa"/>
            </w:tcMar>
            <w:vAlign w:val="center"/>
          </w:tcPr>
          <w:p>
            <w:pPr>
              <w:spacing w:line="240" w:lineRule="auto"/>
              <w:jc w:val="center"/>
            </w:pPr>
            <w:r>
              <w:rPr>
                <w:rFonts w:hint="eastAsia"/>
              </w:rPr>
              <w:t>安康市镇坪县钟宝镇</w:t>
            </w:r>
            <w:r>
              <w:t>三坪村一组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07" w:type="pct"/>
            <w:tcMar>
              <w:left w:w="57" w:type="dxa"/>
              <w:right w:w="57" w:type="dxa"/>
            </w:tcMar>
            <w:vAlign w:val="center"/>
          </w:tcPr>
          <w:p>
            <w:pPr>
              <w:spacing w:line="240" w:lineRule="auto"/>
              <w:jc w:val="center"/>
            </w:pPr>
            <w:r>
              <w:t>联系电话</w:t>
            </w:r>
          </w:p>
        </w:tc>
        <w:tc>
          <w:tcPr>
            <w:tcW w:w="1015" w:type="pct"/>
            <w:tcMar>
              <w:left w:w="57" w:type="dxa"/>
              <w:right w:w="57" w:type="dxa"/>
            </w:tcMar>
            <w:vAlign w:val="center"/>
          </w:tcPr>
          <w:p>
            <w:pPr>
              <w:spacing w:line="240" w:lineRule="auto"/>
              <w:jc w:val="center"/>
            </w:pPr>
            <w:r>
              <w:rPr>
                <w:bCs/>
              </w:rPr>
              <w:t>15319837988</w:t>
            </w:r>
          </w:p>
        </w:tc>
        <w:tc>
          <w:tcPr>
            <w:tcW w:w="478" w:type="pct"/>
            <w:tcMar>
              <w:left w:w="57" w:type="dxa"/>
              <w:right w:w="57" w:type="dxa"/>
            </w:tcMar>
            <w:vAlign w:val="center"/>
          </w:tcPr>
          <w:p>
            <w:pPr>
              <w:spacing w:line="240" w:lineRule="auto"/>
              <w:jc w:val="center"/>
            </w:pPr>
            <w:r>
              <w:t>传真</w:t>
            </w:r>
          </w:p>
        </w:tc>
        <w:tc>
          <w:tcPr>
            <w:tcW w:w="1129" w:type="pct"/>
            <w:gridSpan w:val="2"/>
            <w:tcMar>
              <w:left w:w="57" w:type="dxa"/>
              <w:right w:w="57" w:type="dxa"/>
            </w:tcMar>
            <w:vAlign w:val="center"/>
          </w:tcPr>
          <w:p>
            <w:pPr>
              <w:spacing w:line="240" w:lineRule="auto"/>
              <w:jc w:val="center"/>
            </w:pPr>
            <w:r>
              <w:t>/</w:t>
            </w:r>
          </w:p>
        </w:tc>
        <w:tc>
          <w:tcPr>
            <w:tcW w:w="1023" w:type="pct"/>
            <w:tcMar>
              <w:left w:w="57" w:type="dxa"/>
              <w:right w:w="57" w:type="dxa"/>
            </w:tcMar>
            <w:vAlign w:val="center"/>
          </w:tcPr>
          <w:p>
            <w:pPr>
              <w:spacing w:line="240" w:lineRule="auto"/>
              <w:jc w:val="center"/>
            </w:pPr>
            <w:r>
              <w:t>邮政编码</w:t>
            </w:r>
          </w:p>
        </w:tc>
        <w:tc>
          <w:tcPr>
            <w:tcW w:w="648" w:type="pct"/>
            <w:tcMar>
              <w:left w:w="57" w:type="dxa"/>
              <w:right w:w="57" w:type="dxa"/>
            </w:tcMar>
            <w:vAlign w:val="center"/>
          </w:tcPr>
          <w:p>
            <w:pPr>
              <w:spacing w:line="240" w:lineRule="auto"/>
              <w:jc w:val="center"/>
            </w:pPr>
            <w:r>
              <w:rPr>
                <w:rFonts w:hint="eastAsia"/>
                <w:bCs/>
              </w:rPr>
              <w:t>72560</w:t>
            </w:r>
            <w:r>
              <w:rPr>
                <w:bCs/>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07" w:type="pct"/>
            <w:tcMar>
              <w:left w:w="57" w:type="dxa"/>
              <w:right w:w="57" w:type="dxa"/>
            </w:tcMar>
            <w:vAlign w:val="center"/>
          </w:tcPr>
          <w:p>
            <w:pPr>
              <w:spacing w:line="240" w:lineRule="auto"/>
              <w:jc w:val="center"/>
            </w:pPr>
            <w:r>
              <w:t>建设地点</w:t>
            </w:r>
          </w:p>
        </w:tc>
        <w:tc>
          <w:tcPr>
            <w:tcW w:w="4293" w:type="pct"/>
            <w:gridSpan w:val="6"/>
            <w:tcMar>
              <w:left w:w="57" w:type="dxa"/>
              <w:right w:w="57" w:type="dxa"/>
            </w:tcMar>
            <w:vAlign w:val="center"/>
          </w:tcPr>
          <w:p>
            <w:pPr>
              <w:spacing w:line="240" w:lineRule="auto"/>
              <w:jc w:val="center"/>
            </w:pPr>
            <w:r>
              <w:rPr>
                <w:rFonts w:hint="eastAsia"/>
              </w:rPr>
              <w:t>安康市镇坪县钟宝镇</w:t>
            </w:r>
            <w:r>
              <w:t>三坪村一组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707" w:type="pct"/>
            <w:tcMar>
              <w:left w:w="57" w:type="dxa"/>
              <w:right w:w="57" w:type="dxa"/>
            </w:tcMar>
            <w:vAlign w:val="center"/>
          </w:tcPr>
          <w:p>
            <w:pPr>
              <w:spacing w:line="240" w:lineRule="auto"/>
              <w:jc w:val="center"/>
            </w:pPr>
            <w:r>
              <w:t>立项审批</w:t>
            </w:r>
          </w:p>
        </w:tc>
        <w:tc>
          <w:tcPr>
            <w:tcW w:w="1493" w:type="pct"/>
            <w:gridSpan w:val="2"/>
            <w:tcMar>
              <w:left w:w="57" w:type="dxa"/>
              <w:right w:w="57" w:type="dxa"/>
            </w:tcMar>
            <w:vAlign w:val="center"/>
          </w:tcPr>
          <w:p>
            <w:pPr>
              <w:spacing w:line="240" w:lineRule="auto"/>
              <w:jc w:val="center"/>
            </w:pPr>
            <w:r>
              <w:rPr>
                <w:rFonts w:hint="eastAsia"/>
              </w:rPr>
              <w:t>镇坪</w:t>
            </w:r>
            <w:r>
              <w:t>县发展和改革</w:t>
            </w:r>
            <w:r>
              <w:rPr>
                <w:rFonts w:hint="eastAsia"/>
              </w:rPr>
              <w:t>局</w:t>
            </w:r>
          </w:p>
        </w:tc>
        <w:tc>
          <w:tcPr>
            <w:tcW w:w="1129" w:type="pct"/>
            <w:gridSpan w:val="2"/>
            <w:tcMar>
              <w:left w:w="57" w:type="dxa"/>
              <w:right w:w="57" w:type="dxa"/>
            </w:tcMar>
            <w:vAlign w:val="center"/>
          </w:tcPr>
          <w:p>
            <w:pPr>
              <w:spacing w:line="240" w:lineRule="auto"/>
              <w:jc w:val="center"/>
            </w:pPr>
            <w:r>
              <w:t>批准文号</w:t>
            </w:r>
          </w:p>
        </w:tc>
        <w:tc>
          <w:tcPr>
            <w:tcW w:w="1671" w:type="pct"/>
            <w:gridSpan w:val="2"/>
            <w:tcMar>
              <w:left w:w="57" w:type="dxa"/>
              <w:right w:w="57" w:type="dxa"/>
            </w:tcMar>
            <w:vAlign w:val="center"/>
          </w:tcPr>
          <w:p>
            <w:pPr>
              <w:spacing w:line="240" w:lineRule="auto"/>
              <w:jc w:val="center"/>
            </w:pPr>
            <w:r>
              <w:t>2020-610927-30-03-049097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jc w:val="center"/>
        </w:trPr>
        <w:tc>
          <w:tcPr>
            <w:tcW w:w="707" w:type="pct"/>
            <w:tcMar>
              <w:left w:w="57" w:type="dxa"/>
              <w:right w:w="57" w:type="dxa"/>
            </w:tcMar>
            <w:vAlign w:val="center"/>
          </w:tcPr>
          <w:p>
            <w:pPr>
              <w:spacing w:line="240" w:lineRule="auto"/>
              <w:jc w:val="center"/>
            </w:pPr>
            <w:r>
              <w:t>建设性质</w:t>
            </w:r>
          </w:p>
        </w:tc>
        <w:tc>
          <w:tcPr>
            <w:tcW w:w="1493" w:type="pct"/>
            <w:gridSpan w:val="2"/>
            <w:tcMar>
              <w:left w:w="57" w:type="dxa"/>
              <w:right w:w="57" w:type="dxa"/>
            </w:tcMar>
            <w:vAlign w:val="center"/>
          </w:tcPr>
          <w:p>
            <w:pPr>
              <w:spacing w:line="240" w:lineRule="auto"/>
              <w:jc w:val="center"/>
            </w:pPr>
            <w:r>
              <w:rPr>
                <w:kern w:val="0"/>
              </w:rPr>
              <w:t>新建</w:t>
            </w:r>
            <w:r>
              <w:rPr>
                <w:rFonts w:hint="eastAsia"/>
                <w:kern w:val="0"/>
              </w:rPr>
              <w:t>■</w:t>
            </w:r>
            <w:r>
              <w:rPr>
                <w:kern w:val="0"/>
              </w:rPr>
              <w:t>改扩建□技改□</w:t>
            </w:r>
          </w:p>
        </w:tc>
        <w:tc>
          <w:tcPr>
            <w:tcW w:w="1129" w:type="pct"/>
            <w:gridSpan w:val="2"/>
            <w:tcMar>
              <w:left w:w="57" w:type="dxa"/>
              <w:right w:w="57" w:type="dxa"/>
            </w:tcMar>
            <w:vAlign w:val="center"/>
          </w:tcPr>
          <w:p>
            <w:pPr>
              <w:spacing w:line="240" w:lineRule="auto"/>
              <w:jc w:val="center"/>
            </w:pPr>
            <w:r>
              <w:t>行业类别及代码</w:t>
            </w:r>
          </w:p>
        </w:tc>
        <w:tc>
          <w:tcPr>
            <w:tcW w:w="1671" w:type="pct"/>
            <w:gridSpan w:val="2"/>
            <w:tcMar>
              <w:left w:w="57" w:type="dxa"/>
              <w:right w:w="57" w:type="dxa"/>
            </w:tcMar>
            <w:vAlign w:val="center"/>
          </w:tcPr>
          <w:p>
            <w:pPr>
              <w:spacing w:line="240" w:lineRule="auto"/>
              <w:jc w:val="center"/>
            </w:pPr>
            <w:r>
              <w:t>C4220非金属废料和碎屑加工处理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707" w:type="pct"/>
            <w:tcMar>
              <w:left w:w="57" w:type="dxa"/>
              <w:right w:w="57" w:type="dxa"/>
            </w:tcMar>
            <w:vAlign w:val="center"/>
          </w:tcPr>
          <w:p>
            <w:pPr>
              <w:spacing w:line="240" w:lineRule="auto"/>
              <w:jc w:val="center"/>
            </w:pPr>
            <w:r>
              <w:t>占地面积</w:t>
            </w:r>
          </w:p>
          <w:p>
            <w:pPr>
              <w:spacing w:line="240" w:lineRule="auto"/>
              <w:jc w:val="center"/>
            </w:pPr>
            <w:r>
              <w:t>（平方米）</w:t>
            </w:r>
          </w:p>
        </w:tc>
        <w:tc>
          <w:tcPr>
            <w:tcW w:w="1493" w:type="pct"/>
            <w:gridSpan w:val="2"/>
            <w:tcMar>
              <w:left w:w="57" w:type="dxa"/>
              <w:right w:w="57" w:type="dxa"/>
            </w:tcMar>
            <w:vAlign w:val="center"/>
          </w:tcPr>
          <w:p>
            <w:pPr>
              <w:spacing w:line="240" w:lineRule="auto"/>
              <w:jc w:val="center"/>
            </w:pPr>
            <w:r>
              <w:t>3000m</w:t>
            </w:r>
            <w:r>
              <w:rPr>
                <w:vertAlign w:val="superscript"/>
              </w:rPr>
              <w:t>2</w:t>
            </w:r>
          </w:p>
        </w:tc>
        <w:tc>
          <w:tcPr>
            <w:tcW w:w="1129" w:type="pct"/>
            <w:gridSpan w:val="2"/>
            <w:tcMar>
              <w:left w:w="57" w:type="dxa"/>
              <w:right w:w="57" w:type="dxa"/>
            </w:tcMar>
            <w:vAlign w:val="center"/>
          </w:tcPr>
          <w:p>
            <w:pPr>
              <w:spacing w:line="240" w:lineRule="auto"/>
              <w:jc w:val="center"/>
            </w:pPr>
            <w:r>
              <w:t>绿化面积</w:t>
            </w:r>
          </w:p>
          <w:p>
            <w:pPr>
              <w:spacing w:line="240" w:lineRule="auto"/>
              <w:jc w:val="center"/>
            </w:pPr>
            <w:r>
              <w:t>（平方米）</w:t>
            </w:r>
          </w:p>
        </w:tc>
        <w:tc>
          <w:tcPr>
            <w:tcW w:w="1671" w:type="pct"/>
            <w:gridSpan w:val="2"/>
            <w:tcMar>
              <w:left w:w="57" w:type="dxa"/>
              <w:right w:w="57" w:type="dxa"/>
            </w:tcMar>
            <w:vAlign w:val="center"/>
          </w:tcPr>
          <w:p>
            <w:pPr>
              <w:spacing w:line="240" w:lineRule="auto"/>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07" w:type="pct"/>
            <w:tcMar>
              <w:left w:w="57" w:type="dxa"/>
              <w:right w:w="57" w:type="dxa"/>
            </w:tcMar>
            <w:vAlign w:val="center"/>
          </w:tcPr>
          <w:p>
            <w:pPr>
              <w:spacing w:line="240" w:lineRule="auto"/>
              <w:jc w:val="center"/>
            </w:pPr>
            <w:r>
              <w:t>总投资</w:t>
            </w:r>
          </w:p>
          <w:p>
            <w:pPr>
              <w:spacing w:line="240" w:lineRule="auto"/>
              <w:jc w:val="center"/>
            </w:pPr>
            <w:r>
              <w:t>（万元）</w:t>
            </w:r>
          </w:p>
        </w:tc>
        <w:tc>
          <w:tcPr>
            <w:tcW w:w="1015" w:type="pct"/>
            <w:tcMar>
              <w:left w:w="57" w:type="dxa"/>
              <w:right w:w="57" w:type="dxa"/>
            </w:tcMar>
            <w:vAlign w:val="center"/>
          </w:tcPr>
          <w:p>
            <w:pPr>
              <w:spacing w:line="240" w:lineRule="auto"/>
              <w:jc w:val="center"/>
            </w:pPr>
            <w:r>
              <w:rPr>
                <w:rFonts w:hint="eastAsia"/>
              </w:rPr>
              <w:t>3</w:t>
            </w:r>
            <w:r>
              <w:t>00</w:t>
            </w:r>
          </w:p>
        </w:tc>
        <w:tc>
          <w:tcPr>
            <w:tcW w:w="950" w:type="pct"/>
            <w:gridSpan w:val="2"/>
            <w:tcMar>
              <w:left w:w="57" w:type="dxa"/>
              <w:right w:w="57" w:type="dxa"/>
            </w:tcMar>
            <w:vAlign w:val="center"/>
          </w:tcPr>
          <w:p>
            <w:pPr>
              <w:spacing w:line="240" w:lineRule="auto"/>
              <w:jc w:val="center"/>
            </w:pPr>
            <w:r>
              <w:t>其中：环保投资（万元）</w:t>
            </w:r>
          </w:p>
        </w:tc>
        <w:tc>
          <w:tcPr>
            <w:tcW w:w="657" w:type="pct"/>
            <w:vAlign w:val="center"/>
          </w:tcPr>
          <w:p>
            <w:pPr>
              <w:spacing w:line="240" w:lineRule="auto"/>
              <w:jc w:val="center"/>
            </w:pPr>
            <w:r>
              <w:rPr>
                <w:rFonts w:hint="eastAsia"/>
              </w:rPr>
              <w:t>38</w:t>
            </w:r>
          </w:p>
        </w:tc>
        <w:tc>
          <w:tcPr>
            <w:tcW w:w="1023" w:type="pct"/>
            <w:tcMar>
              <w:left w:w="57" w:type="dxa"/>
              <w:right w:w="57" w:type="dxa"/>
            </w:tcMar>
            <w:vAlign w:val="center"/>
          </w:tcPr>
          <w:p>
            <w:pPr>
              <w:spacing w:line="240" w:lineRule="auto"/>
              <w:jc w:val="center"/>
            </w:pPr>
            <w:r>
              <w:t>环保投资占总投资比例%</w:t>
            </w:r>
          </w:p>
        </w:tc>
        <w:tc>
          <w:tcPr>
            <w:tcW w:w="648" w:type="pct"/>
            <w:tcMar>
              <w:left w:w="57" w:type="dxa"/>
              <w:right w:w="57" w:type="dxa"/>
            </w:tcMar>
            <w:vAlign w:val="center"/>
          </w:tcPr>
          <w:p>
            <w:pPr>
              <w:spacing w:line="240" w:lineRule="auto"/>
              <w:jc w:val="center"/>
            </w:pPr>
            <w:r>
              <w:rPr>
                <w:rFonts w:hint="eastAsia"/>
              </w:rPr>
              <w:t>12.67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07" w:type="pct"/>
            <w:tcMar>
              <w:left w:w="57" w:type="dxa"/>
              <w:right w:w="57" w:type="dxa"/>
            </w:tcMar>
            <w:vAlign w:val="center"/>
          </w:tcPr>
          <w:p>
            <w:pPr>
              <w:spacing w:line="240" w:lineRule="auto"/>
              <w:jc w:val="center"/>
            </w:pPr>
            <w:r>
              <w:t>评价经费</w:t>
            </w:r>
          </w:p>
          <w:p>
            <w:pPr>
              <w:spacing w:line="240" w:lineRule="auto"/>
              <w:jc w:val="center"/>
            </w:pPr>
            <w:r>
              <w:t>（万元）</w:t>
            </w:r>
          </w:p>
        </w:tc>
        <w:tc>
          <w:tcPr>
            <w:tcW w:w="1493" w:type="pct"/>
            <w:gridSpan w:val="2"/>
            <w:tcMar>
              <w:left w:w="57" w:type="dxa"/>
              <w:right w:w="57" w:type="dxa"/>
            </w:tcMar>
            <w:vAlign w:val="center"/>
          </w:tcPr>
          <w:p>
            <w:pPr>
              <w:spacing w:line="240" w:lineRule="auto"/>
              <w:jc w:val="center"/>
            </w:pPr>
            <w:r>
              <w:t>/</w:t>
            </w:r>
          </w:p>
        </w:tc>
        <w:tc>
          <w:tcPr>
            <w:tcW w:w="1129" w:type="pct"/>
            <w:gridSpan w:val="2"/>
            <w:tcMar>
              <w:left w:w="57" w:type="dxa"/>
              <w:right w:w="57" w:type="dxa"/>
            </w:tcMar>
            <w:vAlign w:val="center"/>
          </w:tcPr>
          <w:p>
            <w:pPr>
              <w:spacing w:line="240" w:lineRule="auto"/>
              <w:jc w:val="center"/>
            </w:pPr>
            <w:r>
              <w:t>预期投产日期</w:t>
            </w:r>
          </w:p>
        </w:tc>
        <w:tc>
          <w:tcPr>
            <w:tcW w:w="1671" w:type="pct"/>
            <w:gridSpan w:val="2"/>
            <w:vAlign w:val="center"/>
          </w:tcPr>
          <w:p>
            <w:pPr>
              <w:spacing w:line="240" w:lineRule="auto"/>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7" w:hRule="atLeast"/>
          <w:jc w:val="center"/>
        </w:trPr>
        <w:tc>
          <w:tcPr>
            <w:tcW w:w="5000" w:type="pct"/>
            <w:gridSpan w:val="7"/>
            <w:tcMar>
              <w:left w:w="57" w:type="dxa"/>
              <w:right w:w="57" w:type="dxa"/>
            </w:tcMar>
            <w:vAlign w:val="center"/>
          </w:tcPr>
          <w:p>
            <w:pPr>
              <w:rPr>
                <w:b/>
                <w:bCs/>
              </w:rPr>
            </w:pPr>
            <w:r>
              <w:rPr>
                <w:b/>
                <w:bCs/>
              </w:rPr>
              <w:t>工程内容及规模</w:t>
            </w:r>
          </w:p>
          <w:p>
            <w:pPr>
              <w:ind w:firstLine="480" w:firstLineChars="200"/>
              <w:rPr>
                <w:rStyle w:val="30"/>
                <w:rFonts w:eastAsiaTheme="minorEastAsia"/>
                <w:bCs/>
              </w:rPr>
            </w:pPr>
            <w:r>
              <w:rPr>
                <w:rStyle w:val="30"/>
                <w:rFonts w:eastAsiaTheme="minorEastAsia"/>
                <w:bCs/>
                <w:highlight w:val="green"/>
              </w:rPr>
              <w:t>一、项目由来</w:t>
            </w:r>
          </w:p>
          <w:p>
            <w:pPr>
              <w:ind w:firstLine="480" w:firstLineChars="200"/>
              <w:rPr>
                <w:highlight w:val="green"/>
              </w:rPr>
            </w:pPr>
            <w:r>
              <w:rPr>
                <w:rFonts w:hint="eastAsia"/>
                <w:highlight w:val="green"/>
              </w:rPr>
              <w:t>旬阳县华拓工贸有限公司</w:t>
            </w:r>
            <w:r>
              <w:rPr>
                <w:highlight w:val="green"/>
              </w:rPr>
              <w:t>成立于2019年，法人</w:t>
            </w:r>
            <w:r>
              <w:rPr>
                <w:rFonts w:hint="eastAsia"/>
                <w:highlight w:val="green"/>
              </w:rPr>
              <w:t>王拓</w:t>
            </w:r>
            <w:r>
              <w:rPr>
                <w:highlight w:val="green"/>
              </w:rPr>
              <w:t>，公司从事工程服务</w:t>
            </w:r>
            <w:r>
              <w:rPr>
                <w:rFonts w:hint="eastAsia"/>
                <w:highlight w:val="green"/>
              </w:rPr>
              <w:t>、</w:t>
            </w:r>
            <w:r>
              <w:rPr>
                <w:highlight w:val="green"/>
              </w:rPr>
              <w:t>道路修建</w:t>
            </w:r>
            <w:r>
              <w:rPr>
                <w:rFonts w:hint="eastAsia"/>
                <w:highlight w:val="green"/>
              </w:rPr>
              <w:t>、砂石料开采、加工及销售等</w:t>
            </w:r>
            <w:r>
              <w:rPr>
                <w:highlight w:val="green"/>
              </w:rPr>
              <w:t>业务</w:t>
            </w:r>
            <w:r>
              <w:rPr>
                <w:rFonts w:hint="eastAsia"/>
                <w:highlight w:val="green"/>
              </w:rPr>
              <w:t>。公司自2</w:t>
            </w:r>
            <w:r>
              <w:rPr>
                <w:highlight w:val="green"/>
              </w:rPr>
              <w:t>020年8月</w:t>
            </w:r>
            <w:r>
              <w:rPr>
                <w:rFonts w:hint="eastAsia"/>
                <w:highlight w:val="green"/>
              </w:rPr>
              <w:t>开始</w:t>
            </w:r>
            <w:r>
              <w:rPr>
                <w:highlight w:val="green"/>
              </w:rPr>
              <w:t>在</w:t>
            </w:r>
            <w:r>
              <w:rPr>
                <w:rFonts w:hint="eastAsia"/>
                <w:highlight w:val="green"/>
              </w:rPr>
              <w:t>镇坪县钟宝镇</w:t>
            </w:r>
            <w:r>
              <w:rPr>
                <w:highlight w:val="green"/>
              </w:rPr>
              <w:t>三坪村建设高速废渣循环再利用项目</w:t>
            </w:r>
            <w:r>
              <w:rPr>
                <w:rFonts w:hint="eastAsia"/>
                <w:highlight w:val="green"/>
              </w:rPr>
              <w:t>，</w:t>
            </w:r>
            <w:r>
              <w:rPr>
                <w:highlight w:val="green"/>
              </w:rPr>
              <w:t>使用巫镇高速的隧道洞渣作为原料</w:t>
            </w:r>
            <w:r>
              <w:rPr>
                <w:rFonts w:hint="eastAsia"/>
                <w:highlight w:val="green"/>
              </w:rPr>
              <w:t>，从事</w:t>
            </w:r>
            <w:r>
              <w:rPr>
                <w:highlight w:val="green"/>
              </w:rPr>
              <w:t>砂石成品加工</w:t>
            </w:r>
            <w:r>
              <w:rPr>
                <w:rFonts w:hint="eastAsia"/>
                <w:highlight w:val="green"/>
              </w:rPr>
              <w:t>，</w:t>
            </w:r>
            <w:r>
              <w:rPr>
                <w:highlight w:val="green"/>
              </w:rPr>
              <w:t>服务于高速公路建设等工程活动</w:t>
            </w:r>
            <w:r>
              <w:rPr>
                <w:rFonts w:hint="eastAsia"/>
                <w:highlight w:val="green"/>
              </w:rPr>
              <w:t>（不涉及采矿）。该项目的建设既可以消纳利用高速公路修建产生的弃石渣，避免弃石渣堆放产生的环境影响，又可以为高速路建设提供优质的成品砂石料，搞好配套服务工作，实现经济效益和环境效益双赢。该工程属于巫镇高速公路临时性配套工程，使用巫镇高速公路渣石场建设废渣再利用项目，使用期限为2年，随着巫镇高速的建成，该项目也将拆除，对场地进行平整并恢复植被。</w:t>
            </w:r>
          </w:p>
          <w:p>
            <w:pPr>
              <w:ind w:firstLine="480" w:firstLineChars="200"/>
            </w:pPr>
            <w:r>
              <w:rPr>
                <w:highlight w:val="green"/>
              </w:rPr>
              <w:t>20</w:t>
            </w:r>
            <w:r>
              <w:rPr>
                <w:rFonts w:hint="eastAsia"/>
                <w:highlight w:val="green"/>
              </w:rPr>
              <w:t>20</w:t>
            </w:r>
            <w:r>
              <w:rPr>
                <w:highlight w:val="green"/>
              </w:rPr>
              <w:t>年</w:t>
            </w:r>
            <w:r>
              <w:rPr>
                <w:rFonts w:hint="eastAsia"/>
                <w:highlight w:val="green"/>
              </w:rPr>
              <w:t>8</w:t>
            </w:r>
            <w:r>
              <w:rPr>
                <w:highlight w:val="green"/>
              </w:rPr>
              <w:t>月</w:t>
            </w:r>
            <w:r>
              <w:rPr>
                <w:rFonts w:hint="eastAsia"/>
                <w:highlight w:val="green"/>
              </w:rPr>
              <w:t>6日</w:t>
            </w:r>
            <w:r>
              <w:rPr>
                <w:highlight w:val="green"/>
              </w:rPr>
              <w:t>安康市生态环境局对</w:t>
            </w:r>
            <w:r>
              <w:rPr>
                <w:rFonts w:hint="eastAsia"/>
                <w:highlight w:val="green"/>
              </w:rPr>
              <w:t>该项目</w:t>
            </w:r>
            <w:r>
              <w:rPr>
                <w:highlight w:val="green"/>
              </w:rPr>
              <w:t>进行了调查，发现该项目未取得环境影响评价手续</w:t>
            </w:r>
            <w:r>
              <w:rPr>
                <w:rFonts w:hint="eastAsia"/>
                <w:highlight w:val="green"/>
              </w:rPr>
              <w:t>，擅自开工建设，存在未批先建</w:t>
            </w:r>
            <w:r>
              <w:rPr>
                <w:highlight w:val="green"/>
              </w:rPr>
              <w:t>环境违法行为</w:t>
            </w:r>
            <w:r>
              <w:rPr>
                <w:rFonts w:hint="eastAsia"/>
                <w:highlight w:val="green"/>
              </w:rPr>
              <w:t>。2020年9月3日</w:t>
            </w:r>
            <w:r>
              <w:rPr>
                <w:highlight w:val="green"/>
              </w:rPr>
              <w:t>安康市生态环境局为</w:t>
            </w:r>
            <w:r>
              <w:rPr>
                <w:rFonts w:hint="eastAsia"/>
                <w:highlight w:val="green"/>
              </w:rPr>
              <w:t>旬阳县华拓工贸有限公司开具了行政处罚事先告知书和责令</w:t>
            </w:r>
            <w:r>
              <w:rPr>
                <w:highlight w:val="green"/>
              </w:rPr>
              <w:t>改正违法行为决定书，对其进行行政处罚</w:t>
            </w:r>
            <w:r>
              <w:rPr>
                <w:rFonts w:hint="eastAsia"/>
                <w:highlight w:val="green"/>
              </w:rPr>
              <w:t>，要求旬阳县华拓工贸有限公司依据相关条例接受处罚，补办环评文件并予以批准后方能继续开工建设。</w:t>
            </w:r>
          </w:p>
          <w:p>
            <w:pPr>
              <w:pStyle w:val="52"/>
              <w:adjustRightInd/>
              <w:snapToGrid/>
              <w:ind w:firstLine="480" w:firstLineChars="200"/>
              <w:rPr>
                <w:rFonts w:eastAsiaTheme="minorEastAsia"/>
              </w:rPr>
            </w:pPr>
            <w:r>
              <w:rPr>
                <w:rFonts w:eastAsiaTheme="minorEastAsia"/>
              </w:rPr>
              <w:t>根据《中华人民共和国环境保护法》、《中华人民共和国环境影响评价法》、《建设项目环境保护管理条例》等有关规定，该项目需进行环境影响评价。对照《建设项目环境影响评价分类管理名录》，本项目属于</w:t>
            </w:r>
            <w:r>
              <w:rPr>
                <w:rFonts w:asciiTheme="minorEastAsia" w:hAnsiTheme="minorEastAsia" w:eastAsiaTheme="minorEastAsia"/>
              </w:rPr>
              <w:t>“</w:t>
            </w:r>
            <w:r>
              <w:rPr>
                <w:rFonts w:eastAsiaTheme="minorEastAsia"/>
              </w:rPr>
              <w:t>三十、废弃资源综合利用业 86废旧资源（含生物质）加工、再生利用</w:t>
            </w:r>
            <w:r>
              <w:rPr>
                <w:rFonts w:asciiTheme="minorEastAsia" w:hAnsiTheme="minorEastAsia" w:eastAsiaTheme="minorEastAsia"/>
              </w:rPr>
              <w:t>”</w:t>
            </w:r>
            <w:r>
              <w:rPr>
                <w:rFonts w:eastAsiaTheme="minorEastAsia"/>
              </w:rPr>
              <w:t>中的</w:t>
            </w:r>
            <w:r>
              <w:rPr>
                <w:rFonts w:hint="eastAsia" w:eastAsiaTheme="minorEastAsia"/>
              </w:rPr>
              <w:t>“</w:t>
            </w:r>
            <w:r>
              <w:rPr>
                <w:rFonts w:eastAsiaTheme="minorEastAsia"/>
              </w:rPr>
              <w:t>其他</w:t>
            </w:r>
            <w:r>
              <w:rPr>
                <w:rFonts w:hint="eastAsia" w:eastAsiaTheme="minorEastAsia"/>
              </w:rPr>
              <w:t>”</w:t>
            </w:r>
            <w:r>
              <w:rPr>
                <w:rFonts w:eastAsiaTheme="minorEastAsia"/>
              </w:rPr>
              <w:t>，亦属于</w:t>
            </w:r>
            <w:r>
              <w:rPr>
                <w:rFonts w:hint="eastAsia" w:eastAsiaTheme="minorEastAsia"/>
              </w:rPr>
              <w:t xml:space="preserve">“十九、非金属矿物制品业 </w:t>
            </w:r>
            <w:r>
              <w:rPr>
                <w:rFonts w:eastAsiaTheme="minorEastAsia"/>
              </w:rPr>
              <w:t>51石灰石和石膏制造</w:t>
            </w:r>
            <w:r>
              <w:rPr>
                <w:rFonts w:hint="eastAsia" w:eastAsiaTheme="minorEastAsia"/>
              </w:rPr>
              <w:t>、</w:t>
            </w:r>
            <w:r>
              <w:rPr>
                <w:rFonts w:eastAsiaTheme="minorEastAsia"/>
              </w:rPr>
              <w:t>石材加工</w:t>
            </w:r>
            <w:r>
              <w:rPr>
                <w:rFonts w:hint="eastAsia" w:eastAsiaTheme="minorEastAsia"/>
              </w:rPr>
              <w:t>、</w:t>
            </w:r>
            <w:r>
              <w:rPr>
                <w:rFonts w:eastAsiaTheme="minorEastAsia"/>
              </w:rPr>
              <w:t>人造石制造</w:t>
            </w:r>
            <w:r>
              <w:rPr>
                <w:rFonts w:hint="eastAsia" w:eastAsiaTheme="minorEastAsia"/>
              </w:rPr>
              <w:t>、</w:t>
            </w:r>
            <w:r>
              <w:rPr>
                <w:rFonts w:eastAsiaTheme="minorEastAsia"/>
              </w:rPr>
              <w:t>砖瓦制造</w:t>
            </w:r>
            <w:r>
              <w:rPr>
                <w:rFonts w:hint="eastAsia" w:eastAsiaTheme="minorEastAsia"/>
              </w:rPr>
              <w:t>”中</w:t>
            </w:r>
            <w:r>
              <w:rPr>
                <w:rFonts w:eastAsiaTheme="minorEastAsia"/>
              </w:rPr>
              <w:t>的</w:t>
            </w:r>
            <w:r>
              <w:rPr>
                <w:rFonts w:hint="eastAsia" w:eastAsiaTheme="minorEastAsia"/>
              </w:rPr>
              <w:t>“全部”，</w:t>
            </w:r>
            <w:r>
              <w:rPr>
                <w:rFonts w:eastAsiaTheme="minorEastAsia"/>
              </w:rPr>
              <w:t>应编制环境影响报告表。</w:t>
            </w:r>
            <w:r>
              <w:t>因此建设单位委托</w:t>
            </w:r>
            <w:r>
              <w:rPr>
                <w:rFonts w:hint="eastAsia"/>
              </w:rPr>
              <w:t>我</w:t>
            </w:r>
            <w:r>
              <w:t>单位承担该项目的环境影响评价编制工作。接受委托后，</w:t>
            </w:r>
            <w:r>
              <w:rPr>
                <w:rFonts w:hint="eastAsia"/>
              </w:rPr>
              <w:t>我</w:t>
            </w:r>
            <w:r>
              <w:t>单位在充分收集有关资料和进行现场踏勘后，按照环境影响评价技术导则的要求，编制该项目的环境影响报告表。</w:t>
            </w:r>
          </w:p>
          <w:p>
            <w:pPr>
              <w:ind w:firstLine="480" w:firstLineChars="200"/>
            </w:pPr>
            <w:r>
              <w:t>二、编制依据</w:t>
            </w:r>
          </w:p>
          <w:p>
            <w:pPr>
              <w:ind w:firstLine="525" w:firstLineChars="219"/>
              <w:rPr>
                <w:bCs/>
              </w:rPr>
            </w:pPr>
            <w:r>
              <w:rPr>
                <w:bCs/>
              </w:rPr>
              <w:t>1、法律</w:t>
            </w:r>
            <w:r>
              <w:rPr>
                <w:rFonts w:hint="eastAsia"/>
                <w:bCs/>
              </w:rPr>
              <w:t>、</w:t>
            </w:r>
            <w:r>
              <w:rPr>
                <w:bCs/>
              </w:rPr>
              <w:t>法规</w:t>
            </w:r>
            <w:r>
              <w:rPr>
                <w:rFonts w:hint="eastAsia"/>
                <w:bCs/>
              </w:rPr>
              <w:t>、</w:t>
            </w:r>
            <w:r>
              <w:rPr>
                <w:bCs/>
              </w:rPr>
              <w:t>规划</w:t>
            </w:r>
          </w:p>
          <w:p>
            <w:pPr>
              <w:ind w:firstLine="480" w:firstLineChars="200"/>
              <w:textAlignment w:val="baseline"/>
              <w:rPr>
                <w:snapToGrid w:val="0"/>
              </w:rPr>
            </w:pPr>
            <w:r>
              <w:rPr>
                <w:snapToGrid w:val="0"/>
              </w:rPr>
              <w:t>（1）《中华人民共和国环境保护法》（2015.1.1）；</w:t>
            </w:r>
          </w:p>
          <w:p>
            <w:pPr>
              <w:ind w:firstLine="480" w:firstLineChars="200"/>
            </w:pPr>
            <w:r>
              <w:rPr>
                <w:snapToGrid w:val="0"/>
              </w:rPr>
              <w:t>（2）《中华人民共和国环境影响评价法》（2018.12.29）；</w:t>
            </w:r>
          </w:p>
          <w:p>
            <w:pPr>
              <w:ind w:firstLine="480" w:firstLineChars="200"/>
            </w:pPr>
            <w:r>
              <w:rPr>
                <w:snapToGrid w:val="0"/>
              </w:rPr>
              <w:t>（3）《中华人民共和国大气污染防治法》</w:t>
            </w:r>
            <w:r>
              <w:t>（2018.10.26</w:t>
            </w:r>
            <w:r>
              <w:rPr>
                <w:snapToGrid w:val="0"/>
              </w:rPr>
              <w:t>）；</w:t>
            </w:r>
          </w:p>
          <w:p>
            <w:pPr>
              <w:ind w:firstLine="480" w:firstLineChars="200"/>
            </w:pPr>
            <w:r>
              <w:rPr>
                <w:snapToGrid w:val="0"/>
              </w:rPr>
              <w:t>（4）《中华人民共和国水</w:t>
            </w:r>
            <w:r>
              <w:t>污染防治法</w:t>
            </w:r>
            <w:r>
              <w:rPr>
                <w:snapToGrid w:val="0"/>
              </w:rPr>
              <w:t>》（2018.1.1）；</w:t>
            </w:r>
          </w:p>
          <w:p>
            <w:pPr>
              <w:ind w:firstLine="480" w:firstLineChars="200"/>
            </w:pPr>
            <w:r>
              <w:rPr>
                <w:snapToGrid w:val="0"/>
              </w:rPr>
              <w:t>（5）</w:t>
            </w:r>
            <w:r>
              <w:t>《中华人民共和国固体废物污染环境防治法》（2016.11.7）；</w:t>
            </w:r>
          </w:p>
          <w:p>
            <w:pPr>
              <w:ind w:firstLine="480" w:firstLineChars="200"/>
              <w:textAlignment w:val="baseline"/>
              <w:rPr>
                <w:snapToGrid w:val="0"/>
              </w:rPr>
            </w:pPr>
            <w:r>
              <w:rPr>
                <w:snapToGrid w:val="0"/>
              </w:rPr>
              <w:t>（6）《中华人民共和国环境噪声污染防治法》（2018.12.29）；</w:t>
            </w:r>
          </w:p>
          <w:p>
            <w:pPr>
              <w:ind w:firstLine="480" w:firstLineChars="200"/>
              <w:textAlignment w:val="baseline"/>
              <w:rPr>
                <w:snapToGrid w:val="0"/>
              </w:rPr>
            </w:pPr>
            <w:r>
              <w:rPr>
                <w:snapToGrid w:val="0"/>
              </w:rPr>
              <w:t>（7）</w:t>
            </w:r>
            <w:r>
              <w:rPr>
                <w:rFonts w:hint="eastAsia"/>
                <w:snapToGrid w:val="0"/>
              </w:rPr>
              <w:t>《中华人民共和国土壤污染防治法》（2019年1月1日实施）；</w:t>
            </w:r>
          </w:p>
          <w:p>
            <w:pPr>
              <w:ind w:firstLine="480" w:firstLineChars="200"/>
              <w:textAlignment w:val="baseline"/>
            </w:pPr>
            <w:r>
              <w:rPr>
                <w:snapToGrid w:val="0"/>
              </w:rPr>
              <w:t>（8）</w:t>
            </w:r>
            <w:r>
              <w:t>《中华人民共和国水法》（2016.7.2）；</w:t>
            </w:r>
          </w:p>
          <w:p>
            <w:pPr>
              <w:ind w:firstLine="480" w:firstLineChars="200"/>
              <w:textAlignment w:val="baseline"/>
            </w:pPr>
            <w:r>
              <w:rPr>
                <w:snapToGrid w:val="0"/>
              </w:rPr>
              <w:t>（9）</w:t>
            </w:r>
            <w:r>
              <w:t>《</w:t>
            </w:r>
            <w:bookmarkStart w:id="1" w:name="OLE_LINK3"/>
            <w:r>
              <w:t>产业结构调整指导目录（2019年本）</w:t>
            </w:r>
            <w:bookmarkEnd w:id="1"/>
            <w:r>
              <w:t>》；</w:t>
            </w:r>
          </w:p>
          <w:p>
            <w:pPr>
              <w:ind w:firstLine="480" w:firstLineChars="200"/>
              <w:textAlignment w:val="baseline"/>
              <w:rPr>
                <w:snapToGrid w:val="0"/>
              </w:rPr>
            </w:pPr>
            <w:r>
              <w:t>（</w:t>
            </w:r>
            <w:r>
              <w:rPr>
                <w:snapToGrid w:val="0"/>
              </w:rPr>
              <w:t>10）</w:t>
            </w:r>
            <w:r>
              <w:rPr>
                <w:rFonts w:hint="eastAsia"/>
                <w:snapToGrid w:val="0"/>
              </w:rPr>
              <w:t>《建设项目环境影响评价分类管理名录》（2018.4.28）（环境保护部令第44号）及修改单（生态环境部令第1号）</w:t>
            </w:r>
            <w:r>
              <w:t>；</w:t>
            </w:r>
          </w:p>
          <w:p>
            <w:pPr>
              <w:ind w:firstLine="480" w:firstLineChars="200"/>
              <w:textAlignment w:val="baseline"/>
              <w:rPr>
                <w:snapToGrid w:val="0"/>
              </w:rPr>
            </w:pPr>
            <w:r>
              <w:rPr>
                <w:snapToGrid w:val="0"/>
              </w:rPr>
              <w:t>（11）《关于进一步加强环境影响评价管理防范环境风险的通知》（环发[2012]77号，2012.7.3）；</w:t>
            </w:r>
          </w:p>
          <w:p>
            <w:pPr>
              <w:ind w:firstLine="480" w:firstLineChars="200"/>
              <w:textAlignment w:val="baseline"/>
              <w:rPr>
                <w:snapToGrid w:val="0"/>
              </w:rPr>
            </w:pPr>
            <w:r>
              <w:rPr>
                <w:snapToGrid w:val="0"/>
              </w:rPr>
              <w:t>（12）《</w:t>
            </w:r>
            <w:bookmarkStart w:id="2" w:name="OLE_LINK4"/>
            <w:r>
              <w:rPr>
                <w:snapToGrid w:val="0"/>
              </w:rPr>
              <w:t>建设项目环境保护管理条例</w:t>
            </w:r>
            <w:bookmarkEnd w:id="2"/>
            <w:r>
              <w:rPr>
                <w:snapToGrid w:val="0"/>
              </w:rPr>
              <w:t>》（国务院令第682号，2017.10.1）；</w:t>
            </w:r>
          </w:p>
          <w:p>
            <w:pPr>
              <w:ind w:firstLine="480" w:firstLineChars="200"/>
              <w:rPr>
                <w:snapToGrid w:val="0"/>
              </w:rPr>
            </w:pPr>
            <w:r>
              <w:rPr>
                <w:snapToGrid w:val="0"/>
              </w:rPr>
              <w:t>（13）《水污染防治行动计划》（</w:t>
            </w:r>
            <w:r>
              <w:rPr>
                <w:rFonts w:hint="eastAsia"/>
                <w:snapToGrid w:val="0"/>
              </w:rPr>
              <w:t>国发（2015）17号</w:t>
            </w:r>
            <w:r>
              <w:rPr>
                <w:snapToGrid w:val="0"/>
              </w:rPr>
              <w:t>）</w:t>
            </w:r>
            <w:r>
              <w:rPr>
                <w:rFonts w:hint="eastAsia"/>
                <w:snapToGrid w:val="0"/>
              </w:rPr>
              <w:t>；</w:t>
            </w:r>
          </w:p>
          <w:p>
            <w:pPr>
              <w:pStyle w:val="58"/>
              <w:spacing w:line="360" w:lineRule="auto"/>
              <w:ind w:firstLine="480" w:firstLineChars="200"/>
              <w:rPr>
                <w:rFonts w:ascii="Times New Roman" w:cs="Times New Roman"/>
                <w:snapToGrid w:val="0"/>
                <w:color w:val="auto"/>
              </w:rPr>
            </w:pPr>
            <w:r>
              <w:rPr>
                <w:rFonts w:ascii="Times New Roman" w:cs="Times New Roman"/>
                <w:color w:val="auto"/>
              </w:rPr>
              <w:t>（14）《大气污染防治行动计划》（国发（2013）37号）</w:t>
            </w:r>
            <w:r>
              <w:rPr>
                <w:rFonts w:hint="eastAsia" w:ascii="Times New Roman" w:cs="Times New Roman"/>
                <w:color w:val="auto"/>
              </w:rPr>
              <w:t>；</w:t>
            </w:r>
          </w:p>
          <w:p>
            <w:pPr>
              <w:pStyle w:val="58"/>
              <w:spacing w:line="360" w:lineRule="auto"/>
              <w:ind w:firstLine="480" w:firstLineChars="200"/>
              <w:rPr>
                <w:rFonts w:ascii="Times New Roman" w:cs="Times New Roman"/>
                <w:color w:val="auto"/>
              </w:rPr>
            </w:pPr>
            <w:r>
              <w:rPr>
                <w:rFonts w:ascii="Times New Roman" w:cs="Times New Roman"/>
                <w:snapToGrid w:val="0"/>
                <w:color w:val="auto"/>
              </w:rPr>
              <w:t>（15）</w:t>
            </w:r>
            <w:r>
              <w:rPr>
                <w:rFonts w:ascii="Times New Roman" w:cs="Times New Roman"/>
                <w:color w:val="auto"/>
              </w:rPr>
              <w:t>《土壤污染防治行动计划》（国发（2016）31号）</w:t>
            </w:r>
            <w:r>
              <w:rPr>
                <w:rFonts w:hint="eastAsia" w:ascii="Times New Roman" w:cs="Times New Roman"/>
                <w:color w:val="auto"/>
              </w:rPr>
              <w:t>；</w:t>
            </w:r>
          </w:p>
          <w:p>
            <w:pPr>
              <w:ind w:firstLine="480" w:firstLineChars="200"/>
              <w:rPr>
                <w:rFonts w:ascii="宋体" w:hAnsi="宋体"/>
                <w:bCs/>
              </w:rPr>
            </w:pPr>
            <w:r>
              <w:rPr>
                <w:rFonts w:hint="eastAsia"/>
                <w:bCs/>
              </w:rPr>
              <w:t>（</w:t>
            </w:r>
            <w:r>
              <w:rPr>
                <w:bCs/>
              </w:rPr>
              <w:t>16</w:t>
            </w:r>
            <w:r>
              <w:rPr>
                <w:rFonts w:hint="eastAsia"/>
                <w:bCs/>
              </w:rPr>
              <w:t>）</w:t>
            </w:r>
            <w:r>
              <w:rPr>
                <w:bCs/>
              </w:rPr>
              <w:t>《陕西省铁腕治霾打赢蓝天保卫战三年行动方案（2018-2020）》</w:t>
            </w:r>
            <w:r>
              <w:rPr>
                <w:rFonts w:ascii="宋体" w:hAnsi="宋体"/>
                <w:bCs/>
              </w:rPr>
              <w:t>（陕政发[</w:t>
            </w:r>
            <w:r>
              <w:rPr>
                <w:bCs/>
              </w:rPr>
              <w:t>2018</w:t>
            </w:r>
            <w:r>
              <w:rPr>
                <w:rFonts w:ascii="宋体" w:hAnsi="宋体"/>
                <w:bCs/>
              </w:rPr>
              <w:t>]</w:t>
            </w:r>
            <w:r>
              <w:rPr>
                <w:bCs/>
              </w:rPr>
              <w:t>16</w:t>
            </w:r>
            <w:r>
              <w:rPr>
                <w:rFonts w:ascii="宋体" w:hAnsi="宋体"/>
                <w:bCs/>
              </w:rPr>
              <w:t>号）；</w:t>
            </w:r>
          </w:p>
          <w:p>
            <w:pPr>
              <w:ind w:firstLine="480" w:firstLineChars="200"/>
              <w:rPr>
                <w:bCs/>
              </w:rPr>
            </w:pPr>
            <w:r>
              <w:rPr>
                <w:bCs/>
              </w:rPr>
              <w:t>（17）《安康市铁腕治霾打赢蓝天保卫战三年行动方案（2018-2020）》；</w:t>
            </w:r>
          </w:p>
          <w:p>
            <w:pPr>
              <w:ind w:firstLine="480" w:firstLineChars="200"/>
            </w:pPr>
            <w:r>
              <w:rPr>
                <w:bCs/>
              </w:rPr>
              <w:t>（18）《市政和房建工程施工扬尘防治</w:t>
            </w:r>
            <w:r>
              <w:rPr>
                <w:rFonts w:ascii="宋体" w:hAnsi="宋体"/>
                <w:bCs/>
              </w:rPr>
              <w:t>“六个百分之百”工</w:t>
            </w:r>
            <w:r>
              <w:rPr>
                <w:bCs/>
              </w:rPr>
              <w:t>作标准》</w:t>
            </w:r>
            <w:r>
              <w:t>；</w:t>
            </w:r>
          </w:p>
          <w:p>
            <w:pPr>
              <w:ind w:firstLine="480" w:firstLineChars="200"/>
              <w:rPr>
                <w:bCs/>
              </w:rPr>
            </w:pPr>
            <w:r>
              <w:rPr>
                <w:bCs/>
              </w:rPr>
              <w:t>2、技术</w:t>
            </w:r>
            <w:r>
              <w:rPr>
                <w:rFonts w:hint="eastAsia"/>
                <w:bCs/>
              </w:rPr>
              <w:t>规范</w:t>
            </w:r>
          </w:p>
          <w:p>
            <w:pPr>
              <w:ind w:firstLine="480" w:firstLineChars="200"/>
              <w:rPr>
                <w:bCs/>
              </w:rPr>
            </w:pPr>
            <w:r>
              <w:rPr>
                <w:bCs/>
              </w:rPr>
              <w:t>（1）《建设项目环境影响评价技术导则 总纲》（HJ2.1-2016）；</w:t>
            </w:r>
          </w:p>
          <w:p>
            <w:pPr>
              <w:ind w:firstLine="480" w:firstLineChars="200"/>
              <w:rPr>
                <w:bCs/>
              </w:rPr>
            </w:pPr>
            <w:r>
              <w:rPr>
                <w:bCs/>
              </w:rPr>
              <w:t>（2）《环境影响评价技术导则 大气环境》（HJ2.2-2018）；</w:t>
            </w:r>
          </w:p>
          <w:p>
            <w:pPr>
              <w:ind w:firstLine="480" w:firstLineChars="200"/>
              <w:rPr>
                <w:bCs/>
              </w:rPr>
            </w:pPr>
            <w:r>
              <w:rPr>
                <w:bCs/>
              </w:rPr>
              <w:t>（3）《环境影响评价技术导则 地表水环境》（HJ/T2.3-2018）；</w:t>
            </w:r>
          </w:p>
          <w:p>
            <w:pPr>
              <w:ind w:firstLine="480" w:firstLineChars="200"/>
              <w:rPr>
                <w:bCs/>
              </w:rPr>
            </w:pPr>
            <w:r>
              <w:rPr>
                <w:bCs/>
              </w:rPr>
              <w:t>（4）《环境影响评价技术导则 地下水环境》（HJ610-2016）；</w:t>
            </w:r>
          </w:p>
          <w:p>
            <w:pPr>
              <w:ind w:firstLine="480" w:firstLineChars="200"/>
              <w:rPr>
                <w:bCs/>
              </w:rPr>
            </w:pPr>
            <w:r>
              <w:rPr>
                <w:bCs/>
              </w:rPr>
              <w:t>（5）《环境影响评价技术导则 声环境》（HJ2.4-2009）；</w:t>
            </w:r>
          </w:p>
          <w:p>
            <w:pPr>
              <w:ind w:firstLine="480" w:firstLineChars="200"/>
              <w:rPr>
                <w:bCs/>
              </w:rPr>
            </w:pPr>
            <w:r>
              <w:rPr>
                <w:bCs/>
              </w:rPr>
              <w:t xml:space="preserve">（6）《环境影响评价技术导则 </w:t>
            </w:r>
            <w:r>
              <w:rPr>
                <w:rFonts w:hint="eastAsia"/>
                <w:bCs/>
              </w:rPr>
              <w:t>土壤环境（试行）</w:t>
            </w:r>
            <w:r>
              <w:rPr>
                <w:bCs/>
              </w:rPr>
              <w:t>》（HJ964-2018）</w:t>
            </w:r>
          </w:p>
          <w:p>
            <w:pPr>
              <w:ind w:firstLine="480" w:firstLineChars="200"/>
              <w:rPr>
                <w:bCs/>
              </w:rPr>
            </w:pPr>
            <w:r>
              <w:rPr>
                <w:rFonts w:hint="eastAsia"/>
                <w:bCs/>
              </w:rPr>
              <w:t>（7）</w:t>
            </w:r>
            <w:r>
              <w:rPr>
                <w:bCs/>
              </w:rPr>
              <w:t>《环境影响评价技术导则 生态影响》（HJ19-2011）；</w:t>
            </w:r>
          </w:p>
          <w:p>
            <w:pPr>
              <w:ind w:firstLine="480" w:firstLineChars="200"/>
              <w:rPr>
                <w:bCs/>
              </w:rPr>
            </w:pPr>
            <w:r>
              <w:rPr>
                <w:bCs/>
              </w:rPr>
              <w:t>（8）《建设项目环境风险评价技术导则》（HJ169-2018）；</w:t>
            </w:r>
          </w:p>
          <w:p>
            <w:pPr>
              <w:ind w:firstLine="480" w:firstLineChars="200"/>
              <w:rPr>
                <w:bCs/>
              </w:rPr>
            </w:pPr>
            <w:r>
              <w:rPr>
                <w:bCs/>
              </w:rPr>
              <w:t>3、其他资料</w:t>
            </w:r>
          </w:p>
          <w:p>
            <w:pPr>
              <w:ind w:firstLine="480" w:firstLineChars="200"/>
              <w:rPr>
                <w:bCs/>
              </w:rPr>
            </w:pPr>
            <w:r>
              <w:rPr>
                <w:bCs/>
              </w:rPr>
              <w:t>（1）项目委托书；</w:t>
            </w:r>
          </w:p>
          <w:p>
            <w:pPr>
              <w:ind w:firstLine="480" w:firstLineChars="200"/>
              <w:rPr>
                <w:bCs/>
              </w:rPr>
            </w:pPr>
            <w:r>
              <w:rPr>
                <w:bCs/>
              </w:rPr>
              <w:t>（2）项目备案文件</w:t>
            </w:r>
            <w:r>
              <w:rPr>
                <w:rFonts w:hint="eastAsia"/>
                <w:bCs/>
              </w:rPr>
              <w:t>；</w:t>
            </w:r>
          </w:p>
          <w:p>
            <w:pPr>
              <w:ind w:firstLine="480" w:firstLineChars="200"/>
              <w:rPr>
                <w:lang w:val="zh-CN"/>
              </w:rPr>
            </w:pPr>
            <w:r>
              <w:rPr>
                <w:rFonts w:hint="eastAsia"/>
                <w:lang w:val="zh-CN"/>
              </w:rPr>
              <w:t>（</w:t>
            </w:r>
            <w:r>
              <w:rPr>
                <w:lang w:val="zh-CN"/>
              </w:rPr>
              <w:t>3</w:t>
            </w:r>
            <w:r>
              <w:rPr>
                <w:rFonts w:hint="eastAsia"/>
                <w:lang w:val="zh-CN"/>
              </w:rPr>
              <w:t>）与项目有关的其他技术资料。</w:t>
            </w:r>
          </w:p>
          <w:p>
            <w:pPr>
              <w:ind w:firstLine="480" w:firstLineChars="200"/>
              <w:rPr>
                <w:rStyle w:val="30"/>
                <w:bCs/>
                <w:szCs w:val="22"/>
              </w:rPr>
            </w:pPr>
            <w:r>
              <w:rPr>
                <w:rStyle w:val="30"/>
                <w:rFonts w:hint="eastAsia"/>
                <w:bCs/>
                <w:szCs w:val="22"/>
              </w:rPr>
              <w:t>三、</w:t>
            </w:r>
            <w:r>
              <w:rPr>
                <w:bCs/>
                <w:lang w:val="zh-CN"/>
              </w:rPr>
              <w:t>分析判定相关情况</w:t>
            </w:r>
          </w:p>
          <w:p>
            <w:pPr>
              <w:ind w:firstLine="480" w:firstLineChars="200"/>
              <w:rPr>
                <w:lang w:val="zh-CN"/>
              </w:rPr>
            </w:pPr>
            <w:r>
              <w:rPr>
                <w:lang w:val="zh-CN"/>
              </w:rPr>
              <w:t>1、</w:t>
            </w:r>
            <w:r>
              <w:rPr>
                <w:bCs/>
              </w:rPr>
              <w:t>产业政策符合性分析</w:t>
            </w:r>
          </w:p>
          <w:p>
            <w:pPr>
              <w:ind w:firstLine="480" w:firstLineChars="200"/>
            </w:pPr>
            <w:r>
              <w:t>本项目</w:t>
            </w:r>
            <w:r>
              <w:rPr>
                <w:rFonts w:hint="eastAsia"/>
                <w:szCs w:val="22"/>
              </w:rPr>
              <w:t>利用</w:t>
            </w:r>
            <w:r>
              <w:rPr>
                <w:szCs w:val="22"/>
              </w:rPr>
              <w:t>高速路施工废石渣加工碎石料</w:t>
            </w:r>
            <w:r>
              <w:rPr>
                <w:rFonts w:hint="eastAsia"/>
                <w:szCs w:val="22"/>
              </w:rPr>
              <w:t>，</w:t>
            </w:r>
            <w:r>
              <w:rPr>
                <w:szCs w:val="22"/>
              </w:rPr>
              <w:t>属固废综合</w:t>
            </w:r>
            <w:r>
              <w:rPr>
                <w:rFonts w:hint="eastAsia"/>
              </w:rPr>
              <w:t>利用</w:t>
            </w:r>
            <w:r>
              <w:t>项目</w:t>
            </w:r>
            <w:r>
              <w:rPr>
                <w:szCs w:val="22"/>
              </w:rPr>
              <w:t>，</w:t>
            </w:r>
            <w:r>
              <w:t>根据《产业结构调整指导目录（201</w:t>
            </w:r>
            <w:r>
              <w:rPr>
                <w:rFonts w:hint="eastAsia"/>
              </w:rPr>
              <w:t>9</w:t>
            </w:r>
            <w:r>
              <w:t>年本）》，本项目不在鼓励类、限制类以及淘汰类之列，项目工艺和所用设备无目录中规定的淘汰类工艺装备</w:t>
            </w:r>
            <w:r>
              <w:rPr>
                <w:rFonts w:hint="eastAsia"/>
              </w:rPr>
              <w:t>，</w:t>
            </w:r>
            <w:r>
              <w:t>可视为允许类；</w:t>
            </w:r>
            <w:r>
              <w:rPr>
                <w:bCs/>
              </w:rPr>
              <w:t>且</w:t>
            </w:r>
            <w:r>
              <w:t>项目已取得</w:t>
            </w:r>
            <w:r>
              <w:rPr>
                <w:rFonts w:hint="eastAsia"/>
              </w:rPr>
              <w:t>镇坪县发展和改革局</w:t>
            </w:r>
            <w:r>
              <w:t>关于本项目的备案确认书（项目代码：2020-610927-30-03-049097）（详见附件），因此本项目的建设符合国家和地方产业政策。</w:t>
            </w:r>
          </w:p>
          <w:p>
            <w:pPr>
              <w:pStyle w:val="10"/>
              <w:ind w:firstLine="480" w:firstLineChars="200"/>
              <w:rPr>
                <w:rFonts w:asciiTheme="minorEastAsia" w:hAnsiTheme="minorEastAsia" w:eastAsiaTheme="minorEastAsia"/>
                <w:sz w:val="24"/>
              </w:rPr>
            </w:pPr>
            <w:r>
              <w:rPr>
                <w:rFonts w:eastAsiaTheme="minorEastAsia"/>
                <w:sz w:val="24"/>
              </w:rPr>
              <w:t>2、</w:t>
            </w:r>
            <w:r>
              <w:rPr>
                <w:rFonts w:hint="eastAsia" w:asciiTheme="minorEastAsia" w:hAnsiTheme="minorEastAsia" w:eastAsiaTheme="minorEastAsia"/>
                <w:sz w:val="24"/>
              </w:rPr>
              <w:t>规划选址符合性分析</w:t>
            </w:r>
          </w:p>
          <w:p>
            <w:pPr>
              <w:pStyle w:val="10"/>
              <w:ind w:firstLine="480" w:firstLineChars="200"/>
              <w:rPr>
                <w:rFonts w:asciiTheme="minorEastAsia" w:hAnsiTheme="minorEastAsia" w:eastAsiaTheme="minorEastAsia"/>
                <w:sz w:val="24"/>
              </w:rPr>
            </w:pPr>
            <w:r>
              <w:rPr>
                <w:rFonts w:asciiTheme="minorEastAsia" w:hAnsiTheme="minorEastAsia" w:eastAsiaTheme="minorEastAsia"/>
                <w:sz w:val="24"/>
              </w:rPr>
              <w:t>项目选址于钟宝镇三坪村一组</w:t>
            </w:r>
            <w:r>
              <w:rPr>
                <w:rFonts w:hint="eastAsia" w:asciiTheme="minorEastAsia" w:hAnsiTheme="minorEastAsia" w:eastAsiaTheme="minorEastAsia"/>
                <w:sz w:val="24"/>
              </w:rPr>
              <w:t>，占地</w:t>
            </w:r>
            <w:r>
              <w:rPr>
                <w:rFonts w:eastAsiaTheme="minorEastAsia"/>
                <w:sz w:val="24"/>
              </w:rPr>
              <w:t>3000</w:t>
            </w:r>
            <w:r>
              <w:rPr>
                <w:rFonts w:asciiTheme="minorEastAsia" w:hAnsiTheme="minorEastAsia" w:eastAsiaTheme="minorEastAsia"/>
                <w:sz w:val="24"/>
              </w:rPr>
              <w:t>平方米</w:t>
            </w:r>
            <w:r>
              <w:rPr>
                <w:rFonts w:hint="eastAsia" w:asciiTheme="minorEastAsia" w:hAnsiTheme="minorEastAsia" w:eastAsiaTheme="minorEastAsia"/>
                <w:sz w:val="24"/>
              </w:rPr>
              <w:t>，用地为中铁十二局集团第四工程有限公司巫镇高速总承包指挥部五分部所属渣石场。</w:t>
            </w:r>
            <w:r>
              <w:rPr>
                <w:sz w:val="24"/>
              </w:rPr>
              <w:t>根据现场调查，选址不涉及基本农田保护区、自然保护区、风景名胜区、饮用水水源保护区等环境敏感区域；项目所在区域</w:t>
            </w:r>
            <w:r>
              <w:rPr>
                <w:bCs/>
                <w:sz w:val="24"/>
              </w:rPr>
              <w:t>环境空气质量、水环境质量、厂界四周的声环境质量均较好，有一定的环境容量；</w:t>
            </w:r>
            <w:r>
              <w:rPr>
                <w:sz w:val="24"/>
              </w:rPr>
              <w:t>且厂址所在地道路交通便捷，供水、供电等基础设施较</w:t>
            </w:r>
            <w:r>
              <w:rPr>
                <w:rFonts w:hint="eastAsia"/>
                <w:sz w:val="24"/>
              </w:rPr>
              <w:t>齐全</w:t>
            </w:r>
            <w:r>
              <w:rPr>
                <w:sz w:val="24"/>
              </w:rPr>
              <w:t>。综上所述，项目选址合理。</w:t>
            </w:r>
          </w:p>
          <w:p>
            <w:pPr>
              <w:pStyle w:val="10"/>
              <w:ind w:firstLine="480" w:firstLineChars="200"/>
              <w:rPr>
                <w:sz w:val="24"/>
              </w:rPr>
            </w:pPr>
            <w:r>
              <w:rPr>
                <w:sz w:val="24"/>
              </w:rPr>
              <w:t>3、</w:t>
            </w:r>
            <w:r>
              <w:rPr>
                <w:rFonts w:asciiTheme="minorEastAsia" w:hAnsiTheme="minorEastAsia" w:eastAsiaTheme="minorEastAsia"/>
                <w:sz w:val="24"/>
              </w:rPr>
              <w:t>“三线一单”</w:t>
            </w:r>
            <w:r>
              <w:rPr>
                <w:sz w:val="24"/>
              </w:rPr>
              <w:t>符合性分析</w:t>
            </w:r>
          </w:p>
          <w:p>
            <w:pPr>
              <w:pStyle w:val="10"/>
              <w:ind w:firstLine="480" w:firstLineChars="200"/>
              <w:rPr>
                <w:rFonts w:asciiTheme="minorEastAsia" w:hAnsiTheme="minorEastAsia" w:eastAsiaTheme="minorEastAsia"/>
                <w:sz w:val="24"/>
              </w:rPr>
            </w:pPr>
            <w:r>
              <w:rPr>
                <w:rFonts w:asciiTheme="minorEastAsia" w:hAnsiTheme="minorEastAsia" w:eastAsiaTheme="minorEastAsia"/>
                <w:bCs/>
                <w:kern w:val="44"/>
                <w:sz w:val="24"/>
              </w:rPr>
              <w:t>根据环保部《关于以改善环境质量为核心加强环境影响评价管理的通知》要求，切实加强环境管理，落实“生态保护红线、环境质量底线、资源利用上线和环境准入负面清单”（简称“三线一单”）约束，建立项目环评审批与规划环评、现有项目环境管理、区域环境质量联动机制，更好地发挥环评制度从源头防范环境污染和生态破坏的作用，加快推进改善环境质量。本项目与“三线一单”的符合性分析见表</w:t>
            </w:r>
            <w:r>
              <w:rPr>
                <w:rFonts w:eastAsiaTheme="minorEastAsia"/>
                <w:bCs/>
                <w:kern w:val="44"/>
                <w:sz w:val="24"/>
              </w:rPr>
              <w:t>1-1</w:t>
            </w:r>
            <w:r>
              <w:rPr>
                <w:rFonts w:asciiTheme="minorEastAsia" w:hAnsiTheme="minorEastAsia" w:eastAsiaTheme="minorEastAsia"/>
                <w:bCs/>
                <w:kern w:val="44"/>
                <w:sz w:val="24"/>
              </w:rPr>
              <w:t>。</w:t>
            </w:r>
          </w:p>
          <w:p>
            <w:pPr>
              <w:pStyle w:val="10"/>
              <w:numPr>
                <w:ilvl w:val="0"/>
                <w:numId w:val="2"/>
              </w:numPr>
              <w:spacing w:line="240" w:lineRule="auto"/>
              <w:ind w:left="0" w:firstLine="0" w:firstLineChars="0"/>
              <w:jc w:val="center"/>
              <w:rPr>
                <w:b/>
                <w:sz w:val="21"/>
              </w:rPr>
            </w:pPr>
            <w:r>
              <w:rPr>
                <w:rFonts w:hint="eastAsia"/>
                <w:b/>
                <w:sz w:val="21"/>
              </w:rPr>
              <w:t>本项目</w:t>
            </w:r>
            <w:r>
              <w:rPr>
                <w:b/>
                <w:sz w:val="21"/>
              </w:rPr>
              <w:t>与</w:t>
            </w:r>
            <w:r>
              <w:rPr>
                <w:rFonts w:hint="eastAsia"/>
                <w:b/>
                <w:sz w:val="21"/>
              </w:rPr>
              <w:t>“三线一单”的符合性分析</w:t>
            </w:r>
            <w:r>
              <w:rPr>
                <w:b/>
                <w:sz w:val="21"/>
              </w:rPr>
              <w:t>表</w:t>
            </w:r>
          </w:p>
          <w:tbl>
            <w:tblPr>
              <w:tblStyle w:val="24"/>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7"/>
              <w:gridCol w:w="6429"/>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exact"/>
                <w:jc w:val="center"/>
              </w:trPr>
              <w:tc>
                <w:tcPr>
                  <w:tcW w:w="1517" w:type="dxa"/>
                  <w:vAlign w:val="center"/>
                </w:tcPr>
                <w:p>
                  <w:pPr>
                    <w:pStyle w:val="23"/>
                    <w:tabs>
                      <w:tab w:val="left" w:pos="924"/>
                    </w:tabs>
                    <w:spacing w:after="0"/>
                    <w:ind w:left="0" w:leftChars="0" w:firstLine="0" w:firstLineChars="0"/>
                    <w:jc w:val="center"/>
                    <w:rPr>
                      <w:rFonts w:asciiTheme="minorEastAsia" w:hAnsiTheme="minorEastAsia" w:eastAsiaTheme="minorEastAsia"/>
                      <w:szCs w:val="21"/>
                    </w:rPr>
                  </w:pPr>
                  <w:r>
                    <w:rPr>
                      <w:rFonts w:asciiTheme="minorEastAsia" w:hAnsiTheme="minorEastAsia" w:eastAsiaTheme="minorEastAsia"/>
                      <w:szCs w:val="21"/>
                    </w:rPr>
                    <w:t>“三线一单”</w:t>
                  </w:r>
                </w:p>
              </w:tc>
              <w:tc>
                <w:tcPr>
                  <w:tcW w:w="6429" w:type="dxa"/>
                  <w:vAlign w:val="center"/>
                </w:tcPr>
                <w:p>
                  <w:pPr>
                    <w:pStyle w:val="23"/>
                    <w:tabs>
                      <w:tab w:val="left" w:pos="924"/>
                    </w:tabs>
                    <w:spacing w:after="0"/>
                    <w:ind w:left="0" w:leftChars="0" w:firstLine="0" w:firstLineChars="0"/>
                    <w:jc w:val="center"/>
                    <w:rPr>
                      <w:szCs w:val="21"/>
                    </w:rPr>
                  </w:pPr>
                  <w:r>
                    <w:rPr>
                      <w:szCs w:val="21"/>
                    </w:rPr>
                    <w:t>本项目</w:t>
                  </w:r>
                </w:p>
              </w:tc>
              <w:tc>
                <w:tcPr>
                  <w:tcW w:w="872" w:type="dxa"/>
                  <w:vAlign w:val="center"/>
                </w:tcPr>
                <w:p>
                  <w:pPr>
                    <w:pStyle w:val="23"/>
                    <w:spacing w:after="0"/>
                    <w:ind w:left="0" w:leftChars="0" w:firstLine="0" w:firstLineChars="0"/>
                    <w:jc w:val="center"/>
                    <w:rPr>
                      <w:szCs w:val="21"/>
                    </w:rPr>
                  </w:pPr>
                  <w:r>
                    <w:rPr>
                      <w:szCs w:val="21"/>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exact"/>
                <w:jc w:val="center"/>
              </w:trPr>
              <w:tc>
                <w:tcPr>
                  <w:tcW w:w="1517" w:type="dxa"/>
                  <w:vAlign w:val="center"/>
                </w:tcPr>
                <w:p>
                  <w:pPr>
                    <w:pStyle w:val="23"/>
                    <w:spacing w:after="0"/>
                    <w:ind w:left="0" w:leftChars="0" w:firstLine="0" w:firstLineChars="0"/>
                    <w:jc w:val="center"/>
                    <w:rPr>
                      <w:color w:val="000000"/>
                      <w:szCs w:val="21"/>
                    </w:rPr>
                  </w:pPr>
                  <w:r>
                    <w:rPr>
                      <w:color w:val="000000"/>
                      <w:szCs w:val="21"/>
                    </w:rPr>
                    <w:t>生态保护红线</w:t>
                  </w:r>
                </w:p>
              </w:tc>
              <w:tc>
                <w:tcPr>
                  <w:tcW w:w="6429" w:type="dxa"/>
                  <w:vAlign w:val="center"/>
                </w:tcPr>
                <w:p>
                  <w:pPr>
                    <w:pStyle w:val="23"/>
                    <w:spacing w:after="0"/>
                    <w:ind w:left="0" w:leftChars="0" w:firstLine="0" w:firstLineChars="0"/>
                    <w:jc w:val="left"/>
                    <w:rPr>
                      <w:color w:val="000000"/>
                      <w:szCs w:val="21"/>
                    </w:rPr>
                  </w:pPr>
                  <w:r>
                    <w:rPr>
                      <w:color w:val="000000"/>
                      <w:szCs w:val="21"/>
                    </w:rPr>
                    <w:t>项目位于</w:t>
                  </w:r>
                  <w:r>
                    <w:rPr>
                      <w:rFonts w:hint="eastAsia"/>
                      <w:szCs w:val="21"/>
                    </w:rPr>
                    <w:t>安康市镇坪县</w:t>
                  </w:r>
                  <w:r>
                    <w:rPr>
                      <w:rFonts w:asciiTheme="minorEastAsia" w:hAnsiTheme="minorEastAsia" w:eastAsiaTheme="minorEastAsia"/>
                      <w:szCs w:val="21"/>
                    </w:rPr>
                    <w:t>钟宝镇三坪村一组</w:t>
                  </w:r>
                  <w:r>
                    <w:rPr>
                      <w:color w:val="000000"/>
                      <w:szCs w:val="21"/>
                    </w:rPr>
                    <w:t>，</w:t>
                  </w:r>
                  <w:r>
                    <w:rPr>
                      <w:bCs/>
                      <w:szCs w:val="21"/>
                    </w:rPr>
                    <w:t>根据《安康市秦岭生态保护红线分布图》，本项目选址不在秦岭地区生态保护红线范围内，符合</w:t>
                  </w:r>
                  <w:r>
                    <w:rPr>
                      <w:color w:val="000000"/>
                      <w:szCs w:val="21"/>
                    </w:rPr>
                    <w:t>安康市</w:t>
                  </w:r>
                  <w:r>
                    <w:rPr>
                      <w:bCs/>
                      <w:szCs w:val="21"/>
                    </w:rPr>
                    <w:t>生态保护红线要求。</w:t>
                  </w:r>
                </w:p>
              </w:tc>
              <w:tc>
                <w:tcPr>
                  <w:tcW w:w="872" w:type="dxa"/>
                  <w:vAlign w:val="center"/>
                </w:tcPr>
                <w:p>
                  <w:pPr>
                    <w:pStyle w:val="23"/>
                    <w:spacing w:after="0"/>
                    <w:ind w:left="0" w:leftChars="0" w:firstLine="0" w:firstLineChars="0"/>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exact"/>
                <w:jc w:val="center"/>
              </w:trPr>
              <w:tc>
                <w:tcPr>
                  <w:tcW w:w="1517" w:type="dxa"/>
                  <w:vAlign w:val="center"/>
                </w:tcPr>
                <w:p>
                  <w:pPr>
                    <w:pStyle w:val="23"/>
                    <w:spacing w:after="0"/>
                    <w:ind w:left="0" w:leftChars="0" w:firstLine="0" w:firstLineChars="0"/>
                    <w:jc w:val="center"/>
                    <w:rPr>
                      <w:szCs w:val="21"/>
                    </w:rPr>
                  </w:pPr>
                  <w:r>
                    <w:rPr>
                      <w:szCs w:val="21"/>
                    </w:rPr>
                    <w:t>环境质量底线</w:t>
                  </w:r>
                </w:p>
              </w:tc>
              <w:tc>
                <w:tcPr>
                  <w:tcW w:w="6429" w:type="dxa"/>
                  <w:vAlign w:val="center"/>
                </w:tcPr>
                <w:p>
                  <w:pPr>
                    <w:spacing w:line="240" w:lineRule="auto"/>
                    <w:jc w:val="left"/>
                    <w:rPr>
                      <w:sz w:val="21"/>
                      <w:szCs w:val="21"/>
                    </w:rPr>
                  </w:pPr>
                  <w:r>
                    <w:rPr>
                      <w:rFonts w:hint="eastAsia"/>
                      <w:sz w:val="21"/>
                      <w:szCs w:val="21"/>
                    </w:rPr>
                    <w:t>根据</w:t>
                  </w:r>
                  <w:r>
                    <w:rPr>
                      <w:sz w:val="21"/>
                      <w:szCs w:val="21"/>
                    </w:rPr>
                    <w:t>陕西省生态环境厅办公室发布的《</w:t>
                  </w:r>
                  <w:r>
                    <w:rPr>
                      <w:rFonts w:hint="eastAsia"/>
                      <w:sz w:val="21"/>
                      <w:szCs w:val="21"/>
                    </w:rPr>
                    <w:t>环保快报</w:t>
                  </w:r>
                  <w:r>
                    <w:rPr>
                      <w:sz w:val="21"/>
                      <w:szCs w:val="21"/>
                    </w:rPr>
                    <w:t>201</w:t>
                  </w:r>
                  <w:r>
                    <w:rPr>
                      <w:rFonts w:hint="eastAsia"/>
                      <w:sz w:val="21"/>
                      <w:szCs w:val="21"/>
                    </w:rPr>
                    <w:t>9</w:t>
                  </w:r>
                  <w:r>
                    <w:rPr>
                      <w:sz w:val="21"/>
                      <w:szCs w:val="21"/>
                    </w:rPr>
                    <w:t>年1～12月全省环境空气质量状况》</w:t>
                  </w:r>
                  <w:r>
                    <w:rPr>
                      <w:rFonts w:hint="eastAsia"/>
                      <w:sz w:val="21"/>
                      <w:szCs w:val="21"/>
                    </w:rPr>
                    <w:t>（2020-4），</w:t>
                  </w:r>
                  <w:r>
                    <w:rPr>
                      <w:sz w:val="21"/>
                      <w:szCs w:val="21"/>
                    </w:rPr>
                    <w:t>评价区环境空气质量较好</w:t>
                  </w:r>
                  <w:r>
                    <w:rPr>
                      <w:rFonts w:hint="eastAsia"/>
                      <w:sz w:val="21"/>
                      <w:szCs w:val="21"/>
                    </w:rPr>
                    <w:t>；</w:t>
                  </w:r>
                  <w:r>
                    <w:rPr>
                      <w:sz w:val="21"/>
                      <w:szCs w:val="21"/>
                    </w:rPr>
                    <w:t>根据现状监测结果，评价区昼间、夜间</w:t>
                  </w:r>
                  <w:r>
                    <w:rPr>
                      <w:rFonts w:hint="eastAsia"/>
                      <w:sz w:val="21"/>
                      <w:szCs w:val="21"/>
                    </w:rPr>
                    <w:t>噪声监测值</w:t>
                  </w:r>
                  <w:r>
                    <w:rPr>
                      <w:bCs/>
                      <w:sz w:val="21"/>
                      <w:szCs w:val="21"/>
                    </w:rPr>
                    <w:t>均</w:t>
                  </w:r>
                  <w:r>
                    <w:rPr>
                      <w:sz w:val="21"/>
                      <w:szCs w:val="21"/>
                    </w:rPr>
                    <w:t>符合《声环境质量标准》（GB3096-2008）2类标准。通过环境影响分析，项目运营期采取环评要求的</w:t>
                  </w:r>
                  <w:r>
                    <w:rPr>
                      <w:rFonts w:hint="eastAsia"/>
                      <w:sz w:val="21"/>
                      <w:szCs w:val="21"/>
                    </w:rPr>
                    <w:t>污染防治措施后</w:t>
                  </w:r>
                  <w:r>
                    <w:rPr>
                      <w:sz w:val="21"/>
                      <w:szCs w:val="21"/>
                    </w:rPr>
                    <w:t>各项污染物</w:t>
                  </w:r>
                  <w:r>
                    <w:rPr>
                      <w:rFonts w:hint="eastAsia"/>
                      <w:sz w:val="21"/>
                      <w:szCs w:val="21"/>
                    </w:rPr>
                    <w:t>均可达标排放</w:t>
                  </w:r>
                  <w:r>
                    <w:rPr>
                      <w:sz w:val="21"/>
                      <w:szCs w:val="21"/>
                    </w:rPr>
                    <w:t>，对</w:t>
                  </w:r>
                  <w:r>
                    <w:rPr>
                      <w:rFonts w:hint="eastAsia"/>
                      <w:sz w:val="21"/>
                      <w:szCs w:val="21"/>
                    </w:rPr>
                    <w:t>周围</w:t>
                  </w:r>
                  <w:r>
                    <w:rPr>
                      <w:sz w:val="21"/>
                      <w:szCs w:val="21"/>
                    </w:rPr>
                    <w:t>环境影响较小，不触及环境质量底线。</w:t>
                  </w:r>
                </w:p>
              </w:tc>
              <w:tc>
                <w:tcPr>
                  <w:tcW w:w="872" w:type="dxa"/>
                  <w:vAlign w:val="center"/>
                </w:tcPr>
                <w:p>
                  <w:pPr>
                    <w:pStyle w:val="23"/>
                    <w:spacing w:after="0"/>
                    <w:ind w:left="0" w:leftChars="0" w:firstLine="0" w:firstLineChars="0"/>
                    <w:jc w:val="center"/>
                    <w:rPr>
                      <w:szCs w:val="21"/>
                    </w:rPr>
                  </w:pPr>
                  <w:r>
                    <w:rPr>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exact"/>
                <w:jc w:val="center"/>
              </w:trPr>
              <w:tc>
                <w:tcPr>
                  <w:tcW w:w="1517" w:type="dxa"/>
                  <w:vAlign w:val="center"/>
                </w:tcPr>
                <w:p>
                  <w:pPr>
                    <w:pStyle w:val="23"/>
                    <w:spacing w:after="0"/>
                    <w:ind w:left="0" w:leftChars="0" w:firstLine="0" w:firstLineChars="0"/>
                    <w:jc w:val="center"/>
                    <w:rPr>
                      <w:color w:val="000000"/>
                      <w:szCs w:val="21"/>
                    </w:rPr>
                  </w:pPr>
                  <w:r>
                    <w:rPr>
                      <w:color w:val="000000"/>
                      <w:szCs w:val="21"/>
                    </w:rPr>
                    <w:t>资源利用上线</w:t>
                  </w:r>
                </w:p>
              </w:tc>
              <w:tc>
                <w:tcPr>
                  <w:tcW w:w="6429" w:type="dxa"/>
                  <w:vAlign w:val="center"/>
                </w:tcPr>
                <w:p>
                  <w:pPr>
                    <w:spacing w:line="240" w:lineRule="auto"/>
                    <w:jc w:val="left"/>
                    <w:rPr>
                      <w:color w:val="000000"/>
                      <w:szCs w:val="21"/>
                    </w:rPr>
                  </w:pPr>
                  <w:r>
                    <w:rPr>
                      <w:rFonts w:hint="eastAsia"/>
                      <w:sz w:val="21"/>
                      <w:szCs w:val="21"/>
                    </w:rPr>
                    <w:t>本</w:t>
                  </w:r>
                  <w:r>
                    <w:rPr>
                      <w:sz w:val="21"/>
                      <w:szCs w:val="21"/>
                    </w:rPr>
                    <w:t>项目为</w:t>
                  </w:r>
                  <w:r>
                    <w:rPr>
                      <w:rFonts w:hint="eastAsia"/>
                      <w:sz w:val="21"/>
                      <w:szCs w:val="21"/>
                    </w:rPr>
                    <w:t>高速废渣综合利用</w:t>
                  </w:r>
                  <w:r>
                    <w:rPr>
                      <w:sz w:val="21"/>
                      <w:szCs w:val="21"/>
                    </w:rPr>
                    <w:t>项目，所需原材料均来自</w:t>
                  </w:r>
                  <w:r>
                    <w:rPr>
                      <w:rFonts w:hint="eastAsia"/>
                      <w:sz w:val="21"/>
                      <w:szCs w:val="21"/>
                    </w:rPr>
                    <w:t>巫镇高速鸡心岭隧道洞渣；生产</w:t>
                  </w:r>
                  <w:r>
                    <w:rPr>
                      <w:color w:val="000000"/>
                      <w:sz w:val="21"/>
                      <w:szCs w:val="21"/>
                    </w:rPr>
                    <w:t>加工</w:t>
                  </w:r>
                  <w:r>
                    <w:rPr>
                      <w:rFonts w:hint="eastAsia"/>
                      <w:color w:val="000000"/>
                      <w:sz w:val="21"/>
                      <w:szCs w:val="21"/>
                    </w:rPr>
                    <w:t>过程</w:t>
                  </w:r>
                  <w:r>
                    <w:rPr>
                      <w:color w:val="000000"/>
                      <w:sz w:val="21"/>
                      <w:szCs w:val="21"/>
                    </w:rPr>
                    <w:t>新鲜水使用量较小；加工设备均采用电能，因此资源利用量小。</w:t>
                  </w:r>
                </w:p>
              </w:tc>
              <w:tc>
                <w:tcPr>
                  <w:tcW w:w="872" w:type="dxa"/>
                  <w:vAlign w:val="center"/>
                </w:tcPr>
                <w:p>
                  <w:pPr>
                    <w:pStyle w:val="23"/>
                    <w:spacing w:after="0"/>
                    <w:ind w:left="0" w:leftChars="0" w:firstLine="0" w:firstLineChars="0"/>
                    <w:jc w:val="center"/>
                    <w:rPr>
                      <w:color w:val="000000"/>
                      <w:szCs w:val="21"/>
                    </w:rPr>
                  </w:pPr>
                  <w:r>
                    <w:rPr>
                      <w:color w:val="000000"/>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jc w:val="center"/>
              </w:trPr>
              <w:tc>
                <w:tcPr>
                  <w:tcW w:w="1517" w:type="dxa"/>
                  <w:vAlign w:val="center"/>
                </w:tcPr>
                <w:p>
                  <w:pPr>
                    <w:pStyle w:val="23"/>
                    <w:spacing w:after="0"/>
                    <w:ind w:left="0" w:leftChars="0" w:firstLine="0" w:firstLineChars="0"/>
                    <w:jc w:val="center"/>
                    <w:rPr>
                      <w:szCs w:val="21"/>
                    </w:rPr>
                  </w:pPr>
                  <w:r>
                    <w:rPr>
                      <w:szCs w:val="21"/>
                    </w:rPr>
                    <w:t>环境准入负面</w:t>
                  </w:r>
                </w:p>
                <w:p>
                  <w:pPr>
                    <w:pStyle w:val="23"/>
                    <w:spacing w:after="0"/>
                    <w:ind w:left="0" w:leftChars="0" w:firstLine="0" w:firstLineChars="0"/>
                    <w:jc w:val="center"/>
                    <w:rPr>
                      <w:szCs w:val="21"/>
                    </w:rPr>
                  </w:pPr>
                  <w:r>
                    <w:rPr>
                      <w:szCs w:val="21"/>
                    </w:rPr>
                    <w:t>清单</w:t>
                  </w:r>
                </w:p>
              </w:tc>
              <w:tc>
                <w:tcPr>
                  <w:tcW w:w="6429" w:type="dxa"/>
                  <w:vAlign w:val="center"/>
                </w:tcPr>
                <w:p>
                  <w:pPr>
                    <w:pStyle w:val="23"/>
                    <w:spacing w:after="0"/>
                    <w:ind w:left="0" w:leftChars="0" w:firstLine="0" w:firstLineChars="0"/>
                    <w:jc w:val="left"/>
                    <w:rPr>
                      <w:szCs w:val="21"/>
                    </w:rPr>
                  </w:pPr>
                  <w:r>
                    <w:rPr>
                      <w:rFonts w:hint="eastAsia"/>
                      <w:szCs w:val="21"/>
                    </w:rPr>
                    <w:t>本</w:t>
                  </w:r>
                  <w:r>
                    <w:rPr>
                      <w:szCs w:val="21"/>
                    </w:rPr>
                    <w:t>项目为</w:t>
                  </w:r>
                  <w:r>
                    <w:rPr>
                      <w:rFonts w:hint="eastAsia"/>
                      <w:szCs w:val="21"/>
                    </w:rPr>
                    <w:t>高速废渣综合利用</w:t>
                  </w:r>
                  <w:r>
                    <w:rPr>
                      <w:szCs w:val="21"/>
                    </w:rPr>
                    <w:t>项目，未列入陕西省发展和改革委员会《陕西省镇坪县国家重点生态功能区产业准入负面清单》（陕发改规划</w:t>
                  </w:r>
                  <w:r>
                    <w:rPr>
                      <w:rFonts w:ascii="Times New Roman" w:hAnsi="Times New Roman"/>
                      <w:szCs w:val="21"/>
                    </w:rPr>
                    <w:t>[2018]213</w:t>
                  </w:r>
                  <w:r>
                    <w:rPr>
                      <w:szCs w:val="21"/>
                    </w:rPr>
                    <w:t>号）之内。</w:t>
                  </w:r>
                </w:p>
              </w:tc>
              <w:tc>
                <w:tcPr>
                  <w:tcW w:w="872" w:type="dxa"/>
                  <w:vAlign w:val="center"/>
                </w:tcPr>
                <w:p>
                  <w:pPr>
                    <w:pStyle w:val="23"/>
                    <w:spacing w:after="0"/>
                    <w:ind w:left="0" w:leftChars="0" w:firstLine="0" w:firstLineChars="0"/>
                    <w:jc w:val="center"/>
                    <w:rPr>
                      <w:szCs w:val="21"/>
                    </w:rPr>
                  </w:pPr>
                  <w:r>
                    <w:rPr>
                      <w:szCs w:val="21"/>
                    </w:rPr>
                    <w:t>符合</w:t>
                  </w:r>
                </w:p>
              </w:tc>
            </w:tr>
          </w:tbl>
          <w:p>
            <w:pPr>
              <w:ind w:firstLine="480" w:firstLineChars="200"/>
              <w:rPr>
                <w:rStyle w:val="30"/>
                <w:rFonts w:eastAsiaTheme="minorEastAsia"/>
                <w:bCs/>
                <w:szCs w:val="22"/>
              </w:rPr>
            </w:pPr>
            <w:r>
              <w:rPr>
                <w:rStyle w:val="30"/>
                <w:rFonts w:hint="eastAsia" w:eastAsiaTheme="minorEastAsia"/>
                <w:bCs/>
                <w:szCs w:val="22"/>
              </w:rPr>
              <w:t>四</w:t>
            </w:r>
            <w:r>
              <w:rPr>
                <w:rStyle w:val="30"/>
                <w:rFonts w:eastAsiaTheme="minorEastAsia"/>
                <w:bCs/>
                <w:szCs w:val="22"/>
              </w:rPr>
              <w:t>、</w:t>
            </w:r>
            <w:r>
              <w:t>工程概况</w:t>
            </w:r>
          </w:p>
          <w:p>
            <w:pPr>
              <w:ind w:firstLine="480" w:firstLineChars="200"/>
              <w:rPr>
                <w:bCs/>
              </w:rPr>
            </w:pPr>
            <w:r>
              <w:rPr>
                <w:bCs/>
              </w:rPr>
              <w:t>1、建设项目基本情况</w:t>
            </w:r>
          </w:p>
          <w:p>
            <w:pPr>
              <w:ind w:firstLine="480" w:firstLineChars="200"/>
            </w:pPr>
            <w:r>
              <w:t>项目名称：</w:t>
            </w:r>
            <w:r>
              <w:rPr>
                <w:rFonts w:hint="eastAsia"/>
              </w:rPr>
              <w:t>三坪村高速废渣循环再利用项目</w:t>
            </w:r>
          </w:p>
          <w:p>
            <w:pPr>
              <w:ind w:firstLine="480" w:firstLineChars="200"/>
            </w:pPr>
            <w:r>
              <w:t>建设单位：</w:t>
            </w:r>
            <w:r>
              <w:rPr>
                <w:rFonts w:hint="eastAsia"/>
              </w:rPr>
              <w:t>旬阳县华拓工贸有限公司</w:t>
            </w:r>
          </w:p>
          <w:p>
            <w:pPr>
              <w:ind w:firstLine="480" w:firstLineChars="200"/>
            </w:pPr>
            <w:r>
              <w:t>建设性质：新建</w:t>
            </w:r>
          </w:p>
          <w:p>
            <w:pPr>
              <w:ind w:firstLine="480" w:firstLineChars="200"/>
            </w:pPr>
            <w:r>
              <w:t>建设地点：</w:t>
            </w:r>
            <w:r>
              <w:rPr>
                <w:rFonts w:hint="eastAsia"/>
              </w:rPr>
              <w:t>安康市镇坪县钟宝镇</w:t>
            </w:r>
            <w:r>
              <w:t>三坪村一组</w:t>
            </w:r>
          </w:p>
          <w:p>
            <w:pPr>
              <w:ind w:firstLine="480" w:firstLineChars="200"/>
            </w:pPr>
            <w:r>
              <w:t>项目投资：300万元</w:t>
            </w:r>
          </w:p>
          <w:p>
            <w:pPr>
              <w:ind w:firstLine="480" w:firstLineChars="200"/>
              <w:rPr>
                <w:bCs/>
              </w:rPr>
            </w:pPr>
            <w:r>
              <w:rPr>
                <w:bCs/>
              </w:rPr>
              <w:t>生产规模</w:t>
            </w:r>
            <w:r>
              <w:rPr>
                <w:rFonts w:hint="eastAsia"/>
                <w:bCs/>
              </w:rPr>
              <w:t>：年产3万吨机制砂</w:t>
            </w:r>
          </w:p>
          <w:p>
            <w:pPr>
              <w:ind w:firstLine="480" w:firstLineChars="200"/>
            </w:pPr>
            <w:r>
              <w:rPr>
                <w:rFonts w:hint="eastAsia"/>
                <w:bCs/>
              </w:rPr>
              <w:t>2、</w:t>
            </w:r>
            <w:r>
              <w:t>地理位置与周围环境</w:t>
            </w:r>
          </w:p>
          <w:p>
            <w:pPr>
              <w:ind w:firstLine="480" w:firstLineChars="200"/>
            </w:pPr>
            <w:r>
              <w:rPr>
                <w:rFonts w:hint="eastAsia"/>
              </w:rPr>
              <w:t>本项目地位于安康市镇坪县钟宝镇</w:t>
            </w:r>
            <w:r>
              <w:t>三坪村一组，中心地理坐标E</w:t>
            </w:r>
            <w:r>
              <w:rPr>
                <w:rFonts w:hint="eastAsia"/>
              </w:rPr>
              <w:t>：</w:t>
            </w:r>
            <w:r>
              <w:t>109.522973</w:t>
            </w:r>
            <w:r>
              <w:rPr>
                <w:rFonts w:hint="eastAsia"/>
              </w:rPr>
              <w:t>，N：</w:t>
            </w:r>
            <w:r>
              <w:t>31.757932</w:t>
            </w:r>
            <w:r>
              <w:rPr>
                <w:rFonts w:hint="eastAsia"/>
              </w:rPr>
              <w:t>。</w:t>
            </w:r>
            <w:r>
              <w:t>项目</w:t>
            </w:r>
            <w:r>
              <w:rPr>
                <w:rFonts w:hint="eastAsia"/>
              </w:rPr>
              <w:t>东、西、北三侧均为林地，南侧为进厂道路</w:t>
            </w:r>
            <w:r>
              <w:t>。项目地理位置见附图1，周围环境状况见附图2。</w:t>
            </w:r>
          </w:p>
          <w:p>
            <w:pPr>
              <w:ind w:firstLine="480" w:firstLineChars="200"/>
              <w:rPr>
                <w:bCs/>
              </w:rPr>
            </w:pPr>
            <w:r>
              <w:rPr>
                <w:bCs/>
              </w:rPr>
              <w:t>3、建设内容及规模</w:t>
            </w:r>
          </w:p>
          <w:p>
            <w:pPr>
              <w:ind w:firstLine="480" w:firstLineChars="200"/>
              <w:rPr>
                <w:rStyle w:val="30"/>
              </w:rPr>
            </w:pPr>
            <w:r>
              <w:t>本项目总占地面积3000m</w:t>
            </w:r>
            <w:r>
              <w:rPr>
                <w:vertAlign w:val="superscript"/>
              </w:rPr>
              <w:t>2</w:t>
            </w:r>
            <w:r>
              <w:t>，总建筑面积1200m</w:t>
            </w:r>
            <w:r>
              <w:rPr>
                <w:vertAlign w:val="superscript"/>
              </w:rPr>
              <w:t>2</w:t>
            </w:r>
            <w:r>
              <w:t>，主要建设内容包括</w:t>
            </w:r>
            <w:r>
              <w:rPr>
                <w:rFonts w:hint="eastAsia"/>
              </w:rPr>
              <w:t>生产车间、成品区、原料区、生活区及员工宿舍、食堂</w:t>
            </w:r>
            <w:r>
              <w:t>等配套辅助设施</w:t>
            </w:r>
            <w:r>
              <w:rPr>
                <w:rStyle w:val="30"/>
              </w:rPr>
              <w:t>，项目组成见表1-2。</w:t>
            </w:r>
          </w:p>
          <w:p>
            <w:pPr>
              <w:pStyle w:val="10"/>
              <w:numPr>
                <w:ilvl w:val="0"/>
                <w:numId w:val="2"/>
              </w:numPr>
              <w:spacing w:line="240" w:lineRule="auto"/>
              <w:ind w:left="0" w:firstLine="0" w:firstLineChars="0"/>
              <w:jc w:val="center"/>
              <w:rPr>
                <w:b/>
                <w:sz w:val="21"/>
              </w:rPr>
            </w:pPr>
            <w:r>
              <w:rPr>
                <w:b/>
                <w:sz w:val="21"/>
              </w:rPr>
              <w:t>项目组成一览表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1279"/>
              <w:gridCol w:w="5245"/>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624" w:type="pct"/>
                  <w:shd w:val="clear" w:color="auto" w:fill="auto"/>
                  <w:vAlign w:val="center"/>
                </w:tcPr>
                <w:p>
                  <w:pPr>
                    <w:spacing w:line="240" w:lineRule="auto"/>
                    <w:jc w:val="center"/>
                    <w:rPr>
                      <w:rFonts w:eastAsiaTheme="minorEastAsia"/>
                      <w:sz w:val="21"/>
                      <w:szCs w:val="21"/>
                    </w:rPr>
                  </w:pPr>
                  <w:r>
                    <w:rPr>
                      <w:rFonts w:eastAsiaTheme="minorEastAsia"/>
                      <w:sz w:val="21"/>
                      <w:szCs w:val="21"/>
                    </w:rPr>
                    <w:t>工程分类</w:t>
                  </w:r>
                </w:p>
              </w:tc>
              <w:tc>
                <w:tcPr>
                  <w:tcW w:w="3699" w:type="pct"/>
                  <w:gridSpan w:val="2"/>
                  <w:shd w:val="clear" w:color="auto" w:fill="auto"/>
                  <w:vAlign w:val="center"/>
                </w:tcPr>
                <w:p>
                  <w:pPr>
                    <w:spacing w:line="240" w:lineRule="auto"/>
                    <w:jc w:val="center"/>
                    <w:rPr>
                      <w:rFonts w:eastAsiaTheme="minorEastAsia"/>
                      <w:sz w:val="21"/>
                      <w:szCs w:val="21"/>
                    </w:rPr>
                  </w:pPr>
                  <w:r>
                    <w:rPr>
                      <w:rFonts w:eastAsiaTheme="minorEastAsia"/>
                      <w:sz w:val="21"/>
                      <w:szCs w:val="21"/>
                    </w:rPr>
                    <w:t>建设内容及规模</w:t>
                  </w:r>
                </w:p>
              </w:tc>
              <w:tc>
                <w:tcPr>
                  <w:tcW w:w="677" w:type="pct"/>
                  <w:vAlign w:val="center"/>
                </w:tcPr>
                <w:p>
                  <w:pPr>
                    <w:spacing w:line="240" w:lineRule="auto"/>
                    <w:jc w:val="center"/>
                    <w:rPr>
                      <w:rFonts w:eastAsiaTheme="minorEastAsia"/>
                      <w:sz w:val="21"/>
                      <w:szCs w:val="21"/>
                      <w:highlight w:val="green"/>
                    </w:rPr>
                  </w:pPr>
                  <w:r>
                    <w:rPr>
                      <w:rFonts w:eastAsiaTheme="minorEastAsia"/>
                      <w:sz w:val="21"/>
                      <w:szCs w:val="21"/>
                      <w:highlight w:val="gree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24" w:type="pct"/>
                  <w:shd w:val="clear" w:color="auto" w:fill="auto"/>
                  <w:vAlign w:val="center"/>
                </w:tcPr>
                <w:p>
                  <w:pPr>
                    <w:spacing w:line="240" w:lineRule="auto"/>
                    <w:jc w:val="center"/>
                    <w:rPr>
                      <w:rFonts w:eastAsiaTheme="minorEastAsia"/>
                      <w:sz w:val="21"/>
                      <w:szCs w:val="21"/>
                    </w:rPr>
                  </w:pPr>
                  <w:r>
                    <w:rPr>
                      <w:rFonts w:eastAsiaTheme="minorEastAsia"/>
                      <w:sz w:val="21"/>
                      <w:szCs w:val="21"/>
                    </w:rPr>
                    <w:t>主体工程</w:t>
                  </w:r>
                </w:p>
              </w:tc>
              <w:tc>
                <w:tcPr>
                  <w:tcW w:w="725" w:type="pct"/>
                  <w:shd w:val="clear" w:color="auto" w:fill="auto"/>
                  <w:vAlign w:val="center"/>
                </w:tcPr>
                <w:p>
                  <w:pPr>
                    <w:spacing w:line="240" w:lineRule="auto"/>
                    <w:jc w:val="center"/>
                    <w:rPr>
                      <w:rFonts w:eastAsiaTheme="minorEastAsia"/>
                      <w:sz w:val="21"/>
                      <w:szCs w:val="21"/>
                    </w:rPr>
                  </w:pPr>
                  <w:r>
                    <w:rPr>
                      <w:rFonts w:eastAsiaTheme="minorEastAsia"/>
                      <w:sz w:val="21"/>
                      <w:szCs w:val="21"/>
                    </w:rPr>
                    <w:t>生产</w:t>
                  </w:r>
                  <w:r>
                    <w:rPr>
                      <w:rFonts w:hint="eastAsia" w:eastAsiaTheme="minorEastAsia"/>
                      <w:sz w:val="21"/>
                      <w:szCs w:val="21"/>
                    </w:rPr>
                    <w:t>车间</w:t>
                  </w:r>
                </w:p>
              </w:tc>
              <w:tc>
                <w:tcPr>
                  <w:tcW w:w="2974" w:type="pct"/>
                  <w:shd w:val="clear" w:color="auto" w:fill="auto"/>
                  <w:vAlign w:val="center"/>
                </w:tcPr>
                <w:p>
                  <w:pPr>
                    <w:spacing w:line="240" w:lineRule="auto"/>
                    <w:jc w:val="left"/>
                    <w:rPr>
                      <w:rFonts w:eastAsiaTheme="minorEastAsia"/>
                      <w:sz w:val="21"/>
                      <w:szCs w:val="21"/>
                    </w:rPr>
                  </w:pPr>
                  <w:r>
                    <w:rPr>
                      <w:rFonts w:eastAsiaTheme="minorEastAsia"/>
                      <w:sz w:val="21"/>
                      <w:szCs w:val="21"/>
                    </w:rPr>
                    <w:t>1</w:t>
                  </w:r>
                  <w:r>
                    <w:rPr>
                      <w:rFonts w:hint="eastAsia" w:eastAsiaTheme="minorEastAsia"/>
                      <w:sz w:val="21"/>
                      <w:szCs w:val="21"/>
                    </w:rPr>
                    <w:t>F</w:t>
                  </w:r>
                  <w:r>
                    <w:rPr>
                      <w:rFonts w:eastAsiaTheme="minorEastAsia"/>
                      <w:sz w:val="21"/>
                      <w:szCs w:val="21"/>
                    </w:rPr>
                    <w:t>，建筑面积1000m</w:t>
                  </w:r>
                  <w:r>
                    <w:rPr>
                      <w:rFonts w:eastAsiaTheme="minorEastAsia"/>
                      <w:sz w:val="21"/>
                      <w:szCs w:val="21"/>
                      <w:vertAlign w:val="superscript"/>
                    </w:rPr>
                    <w:t>2</w:t>
                  </w:r>
                  <w:r>
                    <w:rPr>
                      <w:rFonts w:eastAsiaTheme="minorEastAsia"/>
                      <w:sz w:val="21"/>
                      <w:szCs w:val="21"/>
                    </w:rPr>
                    <w:t>，</w:t>
                  </w:r>
                  <w:r>
                    <w:rPr>
                      <w:rFonts w:hint="eastAsia" w:eastAsiaTheme="minorEastAsia"/>
                      <w:sz w:val="21"/>
                      <w:szCs w:val="21"/>
                    </w:rPr>
                    <w:t>H=8</w:t>
                  </w:r>
                  <w:r>
                    <w:rPr>
                      <w:rFonts w:eastAsiaTheme="minorEastAsia"/>
                      <w:sz w:val="21"/>
                      <w:szCs w:val="21"/>
                    </w:rPr>
                    <w:t>m</w:t>
                  </w:r>
                  <w:r>
                    <w:rPr>
                      <w:rFonts w:hint="eastAsia" w:eastAsiaTheme="minorEastAsia"/>
                      <w:sz w:val="21"/>
                      <w:szCs w:val="21"/>
                    </w:rPr>
                    <w:t>，钢架</w:t>
                  </w:r>
                  <w:r>
                    <w:rPr>
                      <w:rFonts w:eastAsiaTheme="minorEastAsia"/>
                      <w:sz w:val="21"/>
                      <w:szCs w:val="21"/>
                    </w:rPr>
                    <w:t>结构</w:t>
                  </w:r>
                  <w:r>
                    <w:rPr>
                      <w:rFonts w:hint="eastAsia" w:eastAsiaTheme="minorEastAsia"/>
                      <w:sz w:val="21"/>
                      <w:szCs w:val="21"/>
                    </w:rPr>
                    <w:t>，内设</w:t>
                  </w:r>
                  <w:r>
                    <w:rPr>
                      <w:rFonts w:eastAsiaTheme="minorEastAsia"/>
                      <w:sz w:val="21"/>
                      <w:szCs w:val="21"/>
                    </w:rPr>
                    <w:t>1条</w:t>
                  </w:r>
                  <w:r>
                    <w:rPr>
                      <w:rFonts w:hint="eastAsia" w:eastAsiaTheme="minorEastAsia"/>
                      <w:sz w:val="21"/>
                      <w:szCs w:val="21"/>
                    </w:rPr>
                    <w:t>制砂</w:t>
                  </w:r>
                  <w:r>
                    <w:rPr>
                      <w:rFonts w:eastAsiaTheme="minorEastAsia"/>
                      <w:sz w:val="21"/>
                      <w:szCs w:val="21"/>
                    </w:rPr>
                    <w:t>生产线，</w:t>
                  </w:r>
                  <w:r>
                    <w:rPr>
                      <w:rFonts w:hint="eastAsia" w:eastAsiaTheme="minorEastAsia"/>
                      <w:sz w:val="21"/>
                      <w:szCs w:val="21"/>
                    </w:rPr>
                    <w:t>安装</w:t>
                  </w:r>
                  <w:r>
                    <w:rPr>
                      <w:rFonts w:eastAsiaTheme="minorEastAsia"/>
                      <w:sz w:val="21"/>
                      <w:szCs w:val="21"/>
                    </w:rPr>
                    <w:t>给料机</w:t>
                  </w:r>
                  <w:r>
                    <w:rPr>
                      <w:rFonts w:hint="eastAsia" w:eastAsiaTheme="minorEastAsia"/>
                      <w:sz w:val="21"/>
                      <w:szCs w:val="21"/>
                    </w:rPr>
                    <w:t>、碎石</w:t>
                  </w:r>
                  <w:r>
                    <w:rPr>
                      <w:rFonts w:eastAsiaTheme="minorEastAsia"/>
                      <w:sz w:val="21"/>
                      <w:szCs w:val="21"/>
                    </w:rPr>
                    <w:t>机、</w:t>
                  </w:r>
                  <w:r>
                    <w:rPr>
                      <w:rFonts w:hint="eastAsia" w:eastAsiaTheme="minorEastAsia"/>
                      <w:sz w:val="21"/>
                      <w:szCs w:val="21"/>
                    </w:rPr>
                    <w:t>滚筛</w:t>
                  </w:r>
                  <w:r>
                    <w:rPr>
                      <w:rFonts w:eastAsiaTheme="minorEastAsia"/>
                      <w:sz w:val="21"/>
                      <w:szCs w:val="21"/>
                    </w:rPr>
                    <w:t>、制砂机</w:t>
                  </w:r>
                  <w:r>
                    <w:rPr>
                      <w:rFonts w:hint="eastAsia" w:eastAsiaTheme="minorEastAsia"/>
                      <w:sz w:val="21"/>
                      <w:szCs w:val="21"/>
                    </w:rPr>
                    <w:t>、</w:t>
                  </w:r>
                  <w:r>
                    <w:rPr>
                      <w:rFonts w:eastAsiaTheme="minorEastAsia"/>
                      <w:sz w:val="21"/>
                      <w:szCs w:val="21"/>
                    </w:rPr>
                    <w:t>下料斗</w:t>
                  </w:r>
                  <w:r>
                    <w:rPr>
                      <w:rFonts w:hint="eastAsia" w:eastAsiaTheme="minorEastAsia"/>
                      <w:sz w:val="21"/>
                      <w:szCs w:val="21"/>
                    </w:rPr>
                    <w:t>、</w:t>
                  </w:r>
                  <w:r>
                    <w:rPr>
                      <w:rFonts w:eastAsiaTheme="minorEastAsia"/>
                      <w:sz w:val="21"/>
                      <w:szCs w:val="21"/>
                    </w:rPr>
                    <w:t>洗砂机等设备</w:t>
                  </w:r>
                  <w:r>
                    <w:rPr>
                      <w:rFonts w:hint="eastAsia" w:eastAsiaTheme="minorEastAsia"/>
                      <w:sz w:val="21"/>
                      <w:szCs w:val="21"/>
                    </w:rPr>
                    <w:t>。</w:t>
                  </w:r>
                </w:p>
              </w:tc>
              <w:tc>
                <w:tcPr>
                  <w:tcW w:w="677" w:type="pct"/>
                  <w:vAlign w:val="center"/>
                </w:tcPr>
                <w:p>
                  <w:pPr>
                    <w:spacing w:line="240" w:lineRule="auto"/>
                    <w:jc w:val="center"/>
                    <w:rPr>
                      <w:rFonts w:eastAsiaTheme="minorEastAsia"/>
                      <w:sz w:val="21"/>
                      <w:szCs w:val="21"/>
                      <w:highlight w:val="green"/>
                    </w:rPr>
                  </w:pPr>
                  <w:r>
                    <w:rPr>
                      <w:rFonts w:hint="eastAsia" w:eastAsiaTheme="minorEastAsia"/>
                      <w:sz w:val="21"/>
                      <w:szCs w:val="21"/>
                      <w:highlight w:val="green"/>
                    </w:rPr>
                    <w:t>设备已安装，新建生产车间对设备进行封闭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624" w:type="pct"/>
                  <w:shd w:val="clear" w:color="auto" w:fill="auto"/>
                  <w:vAlign w:val="center"/>
                </w:tcPr>
                <w:p>
                  <w:pPr>
                    <w:spacing w:line="240" w:lineRule="auto"/>
                    <w:jc w:val="center"/>
                    <w:rPr>
                      <w:rFonts w:eastAsiaTheme="minorEastAsia"/>
                      <w:sz w:val="21"/>
                      <w:szCs w:val="21"/>
                    </w:rPr>
                  </w:pPr>
                  <w:r>
                    <w:rPr>
                      <w:rFonts w:eastAsiaTheme="minorEastAsia"/>
                      <w:sz w:val="21"/>
                      <w:szCs w:val="21"/>
                    </w:rPr>
                    <w:t>辅助工程</w:t>
                  </w:r>
                </w:p>
              </w:tc>
              <w:tc>
                <w:tcPr>
                  <w:tcW w:w="725" w:type="pct"/>
                  <w:shd w:val="clear" w:color="auto" w:fill="auto"/>
                  <w:vAlign w:val="center"/>
                </w:tcPr>
                <w:p>
                  <w:pPr>
                    <w:spacing w:line="240" w:lineRule="auto"/>
                    <w:jc w:val="center"/>
                    <w:rPr>
                      <w:rFonts w:eastAsiaTheme="minorEastAsia"/>
                      <w:sz w:val="21"/>
                      <w:szCs w:val="21"/>
                    </w:rPr>
                  </w:pPr>
                  <w:r>
                    <w:rPr>
                      <w:rFonts w:eastAsiaTheme="minorEastAsia"/>
                      <w:sz w:val="21"/>
                      <w:szCs w:val="21"/>
                    </w:rPr>
                    <w:t>办公生活区</w:t>
                  </w:r>
                </w:p>
              </w:tc>
              <w:tc>
                <w:tcPr>
                  <w:tcW w:w="2974" w:type="pct"/>
                  <w:shd w:val="clear" w:color="auto" w:fill="auto"/>
                  <w:vAlign w:val="center"/>
                </w:tcPr>
                <w:p>
                  <w:pPr>
                    <w:spacing w:line="240" w:lineRule="auto"/>
                    <w:jc w:val="left"/>
                    <w:rPr>
                      <w:rFonts w:eastAsiaTheme="minorEastAsia"/>
                      <w:sz w:val="21"/>
                      <w:szCs w:val="21"/>
                    </w:rPr>
                  </w:pPr>
                  <w:r>
                    <w:rPr>
                      <w:rFonts w:eastAsiaTheme="minorEastAsia"/>
                      <w:sz w:val="21"/>
                      <w:szCs w:val="21"/>
                    </w:rPr>
                    <w:t>1F，</w:t>
                  </w:r>
                  <w:r>
                    <w:rPr>
                      <w:rFonts w:hint="eastAsia" w:eastAsiaTheme="minorEastAsia"/>
                      <w:sz w:val="21"/>
                      <w:szCs w:val="21"/>
                    </w:rPr>
                    <w:t>框架</w:t>
                  </w:r>
                  <w:r>
                    <w:rPr>
                      <w:rFonts w:eastAsiaTheme="minorEastAsia"/>
                      <w:sz w:val="21"/>
                      <w:szCs w:val="21"/>
                    </w:rPr>
                    <w:t>结构，</w:t>
                  </w:r>
                  <w:r>
                    <w:rPr>
                      <w:rFonts w:hint="eastAsia" w:eastAsiaTheme="minorEastAsia"/>
                      <w:sz w:val="21"/>
                      <w:szCs w:val="21"/>
                    </w:rPr>
                    <w:t>H=</w:t>
                  </w:r>
                  <w:r>
                    <w:rPr>
                      <w:rFonts w:eastAsiaTheme="minorEastAsia"/>
                      <w:sz w:val="21"/>
                      <w:szCs w:val="21"/>
                    </w:rPr>
                    <w:t>2.8m，建筑面积200m</w:t>
                  </w:r>
                  <w:r>
                    <w:rPr>
                      <w:rFonts w:eastAsiaTheme="minorEastAsia"/>
                      <w:sz w:val="21"/>
                      <w:szCs w:val="21"/>
                      <w:vertAlign w:val="superscript"/>
                    </w:rPr>
                    <w:t>2</w:t>
                  </w:r>
                  <w:r>
                    <w:rPr>
                      <w:rFonts w:hint="eastAsia" w:eastAsiaTheme="minorEastAsia"/>
                      <w:sz w:val="21"/>
                      <w:szCs w:val="21"/>
                    </w:rPr>
                    <w:t>，含</w:t>
                  </w:r>
                  <w:r>
                    <w:rPr>
                      <w:rFonts w:eastAsiaTheme="minorEastAsia"/>
                      <w:sz w:val="21"/>
                      <w:szCs w:val="21"/>
                    </w:rPr>
                    <w:t>食堂</w:t>
                  </w:r>
                  <w:r>
                    <w:rPr>
                      <w:rFonts w:hint="eastAsia" w:eastAsiaTheme="minorEastAsia"/>
                      <w:sz w:val="21"/>
                      <w:szCs w:val="21"/>
                    </w:rPr>
                    <w:t>1间、</w:t>
                  </w:r>
                  <w:r>
                    <w:rPr>
                      <w:rFonts w:eastAsiaTheme="minorEastAsia"/>
                      <w:sz w:val="21"/>
                      <w:szCs w:val="21"/>
                    </w:rPr>
                    <w:t>员工宿舍</w:t>
                  </w:r>
                  <w:r>
                    <w:rPr>
                      <w:rFonts w:hint="eastAsia" w:eastAsiaTheme="minorEastAsia"/>
                      <w:sz w:val="21"/>
                      <w:szCs w:val="21"/>
                    </w:rPr>
                    <w:t>7间。</w:t>
                  </w:r>
                </w:p>
              </w:tc>
              <w:tc>
                <w:tcPr>
                  <w:tcW w:w="677" w:type="pct"/>
                  <w:vAlign w:val="center"/>
                </w:tcPr>
                <w:p>
                  <w:pPr>
                    <w:spacing w:line="240" w:lineRule="auto"/>
                    <w:jc w:val="center"/>
                    <w:rPr>
                      <w:rFonts w:eastAsiaTheme="minorEastAsia"/>
                      <w:sz w:val="21"/>
                      <w:szCs w:val="21"/>
                      <w:highlight w:val="green"/>
                    </w:rPr>
                  </w:pPr>
                  <w:r>
                    <w:rPr>
                      <w:rFonts w:hint="eastAsia" w:eastAsiaTheme="minorEastAsia"/>
                      <w:sz w:val="21"/>
                      <w:szCs w:val="21"/>
                      <w:highlight w:val="gre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24" w:type="pct"/>
                  <w:vMerge w:val="restart"/>
                  <w:shd w:val="clear" w:color="auto" w:fill="auto"/>
                  <w:vAlign w:val="center"/>
                </w:tcPr>
                <w:p>
                  <w:pPr>
                    <w:spacing w:line="240" w:lineRule="auto"/>
                    <w:jc w:val="center"/>
                    <w:rPr>
                      <w:rFonts w:eastAsiaTheme="minorEastAsia"/>
                      <w:sz w:val="21"/>
                      <w:szCs w:val="21"/>
                    </w:rPr>
                  </w:pPr>
                  <w:r>
                    <w:rPr>
                      <w:rFonts w:eastAsiaTheme="minorEastAsia"/>
                      <w:sz w:val="21"/>
                      <w:szCs w:val="21"/>
                    </w:rPr>
                    <w:t>储运工程</w:t>
                  </w:r>
                </w:p>
              </w:tc>
              <w:tc>
                <w:tcPr>
                  <w:tcW w:w="725" w:type="pct"/>
                  <w:shd w:val="clear" w:color="auto" w:fill="auto"/>
                  <w:vAlign w:val="center"/>
                </w:tcPr>
                <w:p>
                  <w:pPr>
                    <w:spacing w:line="240" w:lineRule="auto"/>
                    <w:jc w:val="center"/>
                    <w:rPr>
                      <w:rFonts w:eastAsiaTheme="minorEastAsia"/>
                      <w:sz w:val="21"/>
                      <w:szCs w:val="21"/>
                    </w:rPr>
                  </w:pPr>
                  <w:r>
                    <w:rPr>
                      <w:rFonts w:eastAsiaTheme="minorEastAsia"/>
                      <w:sz w:val="21"/>
                      <w:szCs w:val="21"/>
                    </w:rPr>
                    <w:t>原料</w:t>
                  </w:r>
                  <w:r>
                    <w:rPr>
                      <w:rFonts w:hint="eastAsia" w:eastAsiaTheme="minorEastAsia"/>
                      <w:sz w:val="21"/>
                      <w:szCs w:val="21"/>
                    </w:rPr>
                    <w:t>区</w:t>
                  </w:r>
                </w:p>
              </w:tc>
              <w:tc>
                <w:tcPr>
                  <w:tcW w:w="2974" w:type="pct"/>
                  <w:shd w:val="clear" w:color="auto" w:fill="auto"/>
                  <w:vAlign w:val="center"/>
                </w:tcPr>
                <w:p>
                  <w:pPr>
                    <w:spacing w:line="240" w:lineRule="auto"/>
                    <w:jc w:val="left"/>
                    <w:rPr>
                      <w:rFonts w:eastAsiaTheme="minorEastAsia"/>
                      <w:color w:val="FF0000"/>
                      <w:sz w:val="21"/>
                      <w:szCs w:val="21"/>
                    </w:rPr>
                  </w:pPr>
                  <w:r>
                    <w:rPr>
                      <w:rFonts w:hint="eastAsia" w:eastAsiaTheme="minorEastAsia"/>
                      <w:sz w:val="21"/>
                      <w:szCs w:val="21"/>
                    </w:rPr>
                    <w:t>占地</w:t>
                  </w:r>
                  <w:r>
                    <w:rPr>
                      <w:rFonts w:eastAsiaTheme="minorEastAsia"/>
                      <w:sz w:val="21"/>
                      <w:szCs w:val="21"/>
                    </w:rPr>
                    <w:t>面积</w:t>
                  </w:r>
                  <w:r>
                    <w:rPr>
                      <w:rFonts w:hint="eastAsia" w:eastAsiaTheme="minorEastAsia"/>
                      <w:sz w:val="21"/>
                      <w:szCs w:val="21"/>
                    </w:rPr>
                    <w:t>1</w:t>
                  </w:r>
                  <w:r>
                    <w:rPr>
                      <w:rFonts w:eastAsiaTheme="minorEastAsia"/>
                      <w:sz w:val="21"/>
                      <w:szCs w:val="21"/>
                    </w:rPr>
                    <w:t>000m</w:t>
                  </w:r>
                  <w:r>
                    <w:rPr>
                      <w:rFonts w:eastAsiaTheme="minorEastAsia"/>
                      <w:sz w:val="21"/>
                      <w:szCs w:val="21"/>
                      <w:vertAlign w:val="superscript"/>
                    </w:rPr>
                    <w:t>2</w:t>
                  </w:r>
                  <w:r>
                    <w:rPr>
                      <w:rFonts w:eastAsiaTheme="minorEastAsia"/>
                      <w:sz w:val="21"/>
                      <w:szCs w:val="21"/>
                    </w:rPr>
                    <w:t>，用于存放运来的</w:t>
                  </w:r>
                  <w:r>
                    <w:rPr>
                      <w:rFonts w:hint="eastAsia" w:eastAsiaTheme="minorEastAsia"/>
                      <w:sz w:val="21"/>
                      <w:szCs w:val="21"/>
                    </w:rPr>
                    <w:t>洞渣。原料区用沾湿的土工布封闭。</w:t>
                  </w:r>
                </w:p>
              </w:tc>
              <w:tc>
                <w:tcPr>
                  <w:tcW w:w="677" w:type="pct"/>
                  <w:vAlign w:val="center"/>
                </w:tcPr>
                <w:p>
                  <w:pPr>
                    <w:spacing w:line="240" w:lineRule="auto"/>
                    <w:jc w:val="center"/>
                    <w:rPr>
                      <w:rFonts w:eastAsiaTheme="minorEastAsia"/>
                      <w:sz w:val="21"/>
                      <w:szCs w:val="21"/>
                      <w:highlight w:val="green"/>
                    </w:rPr>
                  </w:pPr>
                  <w:r>
                    <w:rPr>
                      <w:rFonts w:hint="eastAsia" w:eastAsiaTheme="minorEastAsia"/>
                      <w:sz w:val="21"/>
                      <w:szCs w:val="21"/>
                      <w:highlight w:val="gree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24" w:type="pct"/>
                  <w:vMerge w:val="continue"/>
                  <w:shd w:val="clear" w:color="auto" w:fill="auto"/>
                  <w:vAlign w:val="center"/>
                </w:tcPr>
                <w:p>
                  <w:pPr>
                    <w:spacing w:line="240" w:lineRule="auto"/>
                    <w:jc w:val="center"/>
                  </w:pPr>
                </w:p>
              </w:tc>
              <w:tc>
                <w:tcPr>
                  <w:tcW w:w="725" w:type="pct"/>
                  <w:shd w:val="clear" w:color="auto" w:fill="auto"/>
                  <w:vAlign w:val="center"/>
                </w:tcPr>
                <w:p>
                  <w:pPr>
                    <w:spacing w:line="240" w:lineRule="auto"/>
                    <w:jc w:val="center"/>
                    <w:rPr>
                      <w:rFonts w:eastAsiaTheme="minorEastAsia"/>
                      <w:sz w:val="21"/>
                      <w:szCs w:val="21"/>
                    </w:rPr>
                  </w:pPr>
                  <w:r>
                    <w:rPr>
                      <w:rFonts w:eastAsiaTheme="minorEastAsia"/>
                      <w:sz w:val="21"/>
                      <w:szCs w:val="21"/>
                    </w:rPr>
                    <w:t>成品</w:t>
                  </w:r>
                  <w:r>
                    <w:rPr>
                      <w:rFonts w:hint="eastAsia" w:eastAsiaTheme="minorEastAsia"/>
                      <w:sz w:val="21"/>
                      <w:szCs w:val="21"/>
                    </w:rPr>
                    <w:t>区</w:t>
                  </w:r>
                </w:p>
              </w:tc>
              <w:tc>
                <w:tcPr>
                  <w:tcW w:w="2974" w:type="pct"/>
                  <w:shd w:val="clear" w:color="auto" w:fill="auto"/>
                  <w:vAlign w:val="center"/>
                </w:tcPr>
                <w:p>
                  <w:pPr>
                    <w:spacing w:line="240" w:lineRule="auto"/>
                    <w:jc w:val="left"/>
                    <w:rPr>
                      <w:rFonts w:eastAsiaTheme="minorEastAsia"/>
                      <w:sz w:val="21"/>
                      <w:szCs w:val="21"/>
                    </w:rPr>
                  </w:pPr>
                  <w:r>
                    <w:rPr>
                      <w:rFonts w:hint="eastAsia"/>
                      <w:bCs/>
                      <w:sz w:val="21"/>
                      <w:szCs w:val="21"/>
                    </w:rPr>
                    <w:t>占地面积800</w:t>
                  </w:r>
                  <w:r>
                    <w:rPr>
                      <w:bCs/>
                      <w:sz w:val="21"/>
                      <w:szCs w:val="21"/>
                    </w:rPr>
                    <w:t>m</w:t>
                  </w:r>
                  <w:r>
                    <w:rPr>
                      <w:bCs/>
                      <w:sz w:val="21"/>
                      <w:szCs w:val="21"/>
                      <w:vertAlign w:val="superscript"/>
                    </w:rPr>
                    <w:t>2</w:t>
                  </w:r>
                  <w:r>
                    <w:rPr>
                      <w:rFonts w:hint="eastAsia"/>
                      <w:bCs/>
                      <w:sz w:val="21"/>
                      <w:szCs w:val="21"/>
                    </w:rPr>
                    <w:t>，</w:t>
                  </w:r>
                  <w:r>
                    <w:rPr>
                      <w:rFonts w:hint="eastAsia" w:eastAsiaTheme="minorEastAsia"/>
                      <w:sz w:val="21"/>
                      <w:szCs w:val="21"/>
                    </w:rPr>
                    <w:t>用于</w:t>
                  </w:r>
                  <w:r>
                    <w:rPr>
                      <w:rFonts w:eastAsiaTheme="minorEastAsia"/>
                      <w:sz w:val="21"/>
                      <w:szCs w:val="21"/>
                    </w:rPr>
                    <w:t>成品机制砂堆存</w:t>
                  </w:r>
                  <w:r>
                    <w:rPr>
                      <w:rFonts w:hint="eastAsia" w:eastAsiaTheme="minorEastAsia"/>
                      <w:sz w:val="21"/>
                      <w:szCs w:val="21"/>
                    </w:rPr>
                    <w:t>。成品区用钢结构进行全封闭。</w:t>
                  </w:r>
                </w:p>
              </w:tc>
              <w:tc>
                <w:tcPr>
                  <w:tcW w:w="677" w:type="pct"/>
                  <w:vAlign w:val="center"/>
                </w:tcPr>
                <w:p>
                  <w:pPr>
                    <w:spacing w:line="240" w:lineRule="auto"/>
                    <w:jc w:val="center"/>
                    <w:rPr>
                      <w:rFonts w:eastAsiaTheme="minorEastAsia"/>
                      <w:sz w:val="21"/>
                      <w:szCs w:val="21"/>
                      <w:highlight w:val="green"/>
                    </w:rPr>
                  </w:pPr>
                  <w:r>
                    <w:rPr>
                      <w:rFonts w:hint="eastAsia" w:eastAsiaTheme="minorEastAsia"/>
                      <w:sz w:val="21"/>
                      <w:szCs w:val="21"/>
                      <w:highlight w:val="gree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24" w:type="pct"/>
                  <w:vMerge w:val="continue"/>
                  <w:shd w:val="clear" w:color="auto" w:fill="auto"/>
                  <w:vAlign w:val="center"/>
                </w:tcPr>
                <w:p>
                  <w:pPr>
                    <w:spacing w:line="240" w:lineRule="auto"/>
                    <w:jc w:val="center"/>
                    <w:rPr>
                      <w:rFonts w:eastAsiaTheme="minorEastAsia"/>
                      <w:sz w:val="21"/>
                      <w:szCs w:val="21"/>
                    </w:rPr>
                  </w:pPr>
                </w:p>
              </w:tc>
              <w:tc>
                <w:tcPr>
                  <w:tcW w:w="725" w:type="pct"/>
                  <w:shd w:val="clear" w:color="auto" w:fill="auto"/>
                  <w:vAlign w:val="center"/>
                </w:tcPr>
                <w:p>
                  <w:pPr>
                    <w:spacing w:line="240" w:lineRule="auto"/>
                    <w:jc w:val="center"/>
                    <w:rPr>
                      <w:rFonts w:eastAsiaTheme="minorEastAsia"/>
                      <w:sz w:val="21"/>
                      <w:szCs w:val="21"/>
                    </w:rPr>
                  </w:pPr>
                  <w:r>
                    <w:rPr>
                      <w:rFonts w:eastAsiaTheme="minorEastAsia"/>
                      <w:sz w:val="21"/>
                      <w:szCs w:val="21"/>
                    </w:rPr>
                    <w:t>运输</w:t>
                  </w:r>
                </w:p>
              </w:tc>
              <w:tc>
                <w:tcPr>
                  <w:tcW w:w="2974" w:type="pct"/>
                  <w:shd w:val="clear" w:color="auto" w:fill="auto"/>
                  <w:vAlign w:val="center"/>
                </w:tcPr>
                <w:p>
                  <w:pPr>
                    <w:spacing w:line="240" w:lineRule="auto"/>
                    <w:jc w:val="left"/>
                    <w:rPr>
                      <w:rFonts w:eastAsiaTheme="minorEastAsia"/>
                      <w:sz w:val="21"/>
                      <w:szCs w:val="21"/>
                    </w:rPr>
                  </w:pPr>
                  <w:r>
                    <w:rPr>
                      <w:rFonts w:hint="eastAsia" w:eastAsiaTheme="minorEastAsia"/>
                      <w:sz w:val="21"/>
                      <w:szCs w:val="21"/>
                    </w:rPr>
                    <w:t>对</w:t>
                  </w:r>
                  <w:r>
                    <w:rPr>
                      <w:rFonts w:eastAsiaTheme="minorEastAsia"/>
                      <w:sz w:val="21"/>
                      <w:szCs w:val="21"/>
                    </w:rPr>
                    <w:t>运输车辆加强管理</w:t>
                  </w:r>
                  <w:r>
                    <w:rPr>
                      <w:rFonts w:hint="eastAsia" w:eastAsiaTheme="minorEastAsia"/>
                      <w:sz w:val="21"/>
                      <w:szCs w:val="21"/>
                    </w:rPr>
                    <w:t>，</w:t>
                  </w:r>
                  <w:r>
                    <w:rPr>
                      <w:rFonts w:eastAsiaTheme="minorEastAsia"/>
                      <w:sz w:val="21"/>
                      <w:szCs w:val="21"/>
                    </w:rPr>
                    <w:t>车厢用篷布遮盖，车辆出厂前清洗干净</w:t>
                  </w:r>
                  <w:r>
                    <w:rPr>
                      <w:rFonts w:hint="eastAsia" w:eastAsiaTheme="minorEastAsia"/>
                      <w:sz w:val="21"/>
                      <w:szCs w:val="21"/>
                    </w:rPr>
                    <w:t>；物料输送采用皮带输送机</w:t>
                  </w:r>
                  <w:r>
                    <w:rPr>
                      <w:rFonts w:hint="eastAsia"/>
                      <w:sz w:val="21"/>
                      <w:szCs w:val="21"/>
                    </w:rPr>
                    <w:t>。</w:t>
                  </w:r>
                </w:p>
              </w:tc>
              <w:tc>
                <w:tcPr>
                  <w:tcW w:w="677" w:type="pct"/>
                  <w:vAlign w:val="center"/>
                </w:tcPr>
                <w:p>
                  <w:pPr>
                    <w:spacing w:line="240" w:lineRule="auto"/>
                    <w:jc w:val="center"/>
                    <w:rPr>
                      <w:rFonts w:eastAsiaTheme="minorEastAsia"/>
                      <w:sz w:val="21"/>
                      <w:szCs w:val="21"/>
                      <w:highlight w:val="green"/>
                    </w:rPr>
                  </w:pPr>
                  <w:r>
                    <w:rPr>
                      <w:rFonts w:eastAsiaTheme="minorEastAsia"/>
                      <w:sz w:val="21"/>
                      <w:szCs w:val="21"/>
                      <w:highlight w:val="green"/>
                    </w:rPr>
                    <w:t>已建设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24" w:type="pct"/>
                  <w:vMerge w:val="restart"/>
                  <w:shd w:val="clear" w:color="auto" w:fill="auto"/>
                  <w:vAlign w:val="center"/>
                </w:tcPr>
                <w:p>
                  <w:pPr>
                    <w:spacing w:line="240" w:lineRule="auto"/>
                    <w:jc w:val="center"/>
                    <w:rPr>
                      <w:rFonts w:eastAsiaTheme="minorEastAsia"/>
                      <w:sz w:val="21"/>
                      <w:szCs w:val="21"/>
                    </w:rPr>
                  </w:pPr>
                  <w:r>
                    <w:rPr>
                      <w:rFonts w:eastAsiaTheme="minorEastAsia"/>
                      <w:sz w:val="21"/>
                      <w:szCs w:val="21"/>
                    </w:rPr>
                    <w:t>公用工程</w:t>
                  </w:r>
                </w:p>
              </w:tc>
              <w:tc>
                <w:tcPr>
                  <w:tcW w:w="725" w:type="pct"/>
                  <w:shd w:val="clear" w:color="auto" w:fill="auto"/>
                  <w:vAlign w:val="center"/>
                </w:tcPr>
                <w:p>
                  <w:pPr>
                    <w:spacing w:line="240" w:lineRule="auto"/>
                    <w:jc w:val="center"/>
                    <w:rPr>
                      <w:rFonts w:eastAsiaTheme="minorEastAsia"/>
                      <w:sz w:val="21"/>
                      <w:szCs w:val="21"/>
                    </w:rPr>
                  </w:pPr>
                  <w:r>
                    <w:rPr>
                      <w:rFonts w:eastAsiaTheme="minorEastAsia"/>
                      <w:sz w:val="21"/>
                      <w:szCs w:val="21"/>
                    </w:rPr>
                    <w:t>供电</w:t>
                  </w:r>
                </w:p>
              </w:tc>
              <w:tc>
                <w:tcPr>
                  <w:tcW w:w="2974" w:type="pct"/>
                  <w:shd w:val="clear" w:color="auto" w:fill="auto"/>
                  <w:vAlign w:val="center"/>
                </w:tcPr>
                <w:p>
                  <w:pPr>
                    <w:spacing w:line="240" w:lineRule="auto"/>
                    <w:jc w:val="left"/>
                    <w:rPr>
                      <w:rFonts w:eastAsiaTheme="minorEastAsia"/>
                      <w:sz w:val="21"/>
                      <w:szCs w:val="21"/>
                    </w:rPr>
                  </w:pPr>
                  <w:r>
                    <w:rPr>
                      <w:rFonts w:hint="eastAsia" w:eastAsiaTheme="minorEastAsia"/>
                      <w:sz w:val="21"/>
                      <w:szCs w:val="21"/>
                    </w:rPr>
                    <w:t>设配电室，专线供电，由三坪村电力缆线接入。</w:t>
                  </w:r>
                </w:p>
              </w:tc>
              <w:tc>
                <w:tcPr>
                  <w:tcW w:w="677" w:type="pct"/>
                  <w:vAlign w:val="center"/>
                </w:tcPr>
                <w:p>
                  <w:pPr>
                    <w:spacing w:line="240" w:lineRule="auto"/>
                    <w:jc w:val="center"/>
                    <w:rPr>
                      <w:rFonts w:eastAsiaTheme="minorEastAsia"/>
                      <w:sz w:val="21"/>
                      <w:szCs w:val="21"/>
                      <w:highlight w:val="green"/>
                    </w:rPr>
                  </w:pPr>
                  <w:r>
                    <w:rPr>
                      <w:rFonts w:hint="eastAsia" w:eastAsiaTheme="minorEastAsia"/>
                      <w:sz w:val="21"/>
                      <w:szCs w:val="21"/>
                      <w:highlight w:val="gre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624" w:type="pct"/>
                  <w:vMerge w:val="continue"/>
                  <w:shd w:val="clear" w:color="auto" w:fill="auto"/>
                  <w:vAlign w:val="center"/>
                </w:tcPr>
                <w:p>
                  <w:pPr>
                    <w:spacing w:line="240" w:lineRule="auto"/>
                    <w:jc w:val="center"/>
                    <w:rPr>
                      <w:rFonts w:eastAsiaTheme="minorEastAsia"/>
                      <w:sz w:val="21"/>
                      <w:szCs w:val="21"/>
                    </w:rPr>
                  </w:pPr>
                </w:p>
              </w:tc>
              <w:tc>
                <w:tcPr>
                  <w:tcW w:w="725" w:type="pct"/>
                  <w:shd w:val="clear" w:color="auto" w:fill="auto"/>
                  <w:vAlign w:val="center"/>
                </w:tcPr>
                <w:p>
                  <w:pPr>
                    <w:spacing w:line="240" w:lineRule="auto"/>
                    <w:jc w:val="center"/>
                    <w:rPr>
                      <w:rFonts w:eastAsiaTheme="minorEastAsia"/>
                      <w:sz w:val="21"/>
                      <w:szCs w:val="21"/>
                    </w:rPr>
                  </w:pPr>
                  <w:r>
                    <w:rPr>
                      <w:rFonts w:eastAsiaTheme="minorEastAsia"/>
                      <w:sz w:val="21"/>
                      <w:szCs w:val="21"/>
                    </w:rPr>
                    <w:t>供热</w:t>
                  </w:r>
                </w:p>
              </w:tc>
              <w:tc>
                <w:tcPr>
                  <w:tcW w:w="2974" w:type="pct"/>
                  <w:shd w:val="clear" w:color="auto" w:fill="auto"/>
                  <w:vAlign w:val="center"/>
                </w:tcPr>
                <w:p>
                  <w:pPr>
                    <w:spacing w:line="240" w:lineRule="auto"/>
                    <w:jc w:val="left"/>
                    <w:rPr>
                      <w:rFonts w:eastAsiaTheme="minorEastAsia"/>
                      <w:sz w:val="21"/>
                      <w:szCs w:val="21"/>
                    </w:rPr>
                  </w:pPr>
                  <w:r>
                    <w:rPr>
                      <w:sz w:val="21"/>
                      <w:szCs w:val="21"/>
                    </w:rPr>
                    <w:t>生产线不需要加热，冬季办公区采暖采用分体式空调</w:t>
                  </w:r>
                  <w:r>
                    <w:rPr>
                      <w:rFonts w:hint="eastAsia"/>
                      <w:sz w:val="21"/>
                      <w:szCs w:val="21"/>
                    </w:rPr>
                    <w:t>。</w:t>
                  </w:r>
                </w:p>
              </w:tc>
              <w:tc>
                <w:tcPr>
                  <w:tcW w:w="677" w:type="pct"/>
                  <w:vAlign w:val="center"/>
                </w:tcPr>
                <w:p>
                  <w:pPr>
                    <w:spacing w:line="240" w:lineRule="auto"/>
                    <w:jc w:val="center"/>
                    <w:rPr>
                      <w:sz w:val="21"/>
                      <w:szCs w:val="21"/>
                      <w:highlight w:val="green"/>
                    </w:rPr>
                  </w:pPr>
                  <w:r>
                    <w:rPr>
                      <w:rFonts w:hint="eastAsia"/>
                      <w:sz w:val="21"/>
                      <w:szCs w:val="21"/>
                      <w:highlight w:val="gre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624" w:type="pct"/>
                  <w:vMerge w:val="continue"/>
                  <w:shd w:val="clear" w:color="auto" w:fill="auto"/>
                  <w:vAlign w:val="center"/>
                </w:tcPr>
                <w:p>
                  <w:pPr>
                    <w:spacing w:line="240" w:lineRule="auto"/>
                    <w:jc w:val="center"/>
                    <w:rPr>
                      <w:rFonts w:eastAsiaTheme="minorEastAsia"/>
                      <w:sz w:val="21"/>
                      <w:szCs w:val="21"/>
                    </w:rPr>
                  </w:pPr>
                </w:p>
              </w:tc>
              <w:tc>
                <w:tcPr>
                  <w:tcW w:w="725" w:type="pct"/>
                  <w:shd w:val="clear" w:color="auto" w:fill="auto"/>
                  <w:vAlign w:val="center"/>
                </w:tcPr>
                <w:p>
                  <w:pPr>
                    <w:spacing w:line="240" w:lineRule="auto"/>
                    <w:jc w:val="center"/>
                    <w:rPr>
                      <w:rFonts w:eastAsiaTheme="minorEastAsia"/>
                      <w:sz w:val="21"/>
                      <w:szCs w:val="21"/>
                    </w:rPr>
                  </w:pPr>
                  <w:r>
                    <w:rPr>
                      <w:rFonts w:eastAsiaTheme="minorEastAsia"/>
                      <w:sz w:val="21"/>
                      <w:szCs w:val="21"/>
                    </w:rPr>
                    <w:t>供水</w:t>
                  </w:r>
                </w:p>
              </w:tc>
              <w:tc>
                <w:tcPr>
                  <w:tcW w:w="2974" w:type="pct"/>
                  <w:shd w:val="clear" w:color="auto" w:fill="auto"/>
                  <w:vAlign w:val="center"/>
                </w:tcPr>
                <w:p>
                  <w:pPr>
                    <w:spacing w:line="240" w:lineRule="auto"/>
                    <w:jc w:val="left"/>
                    <w:rPr>
                      <w:rFonts w:eastAsiaTheme="minorEastAsia"/>
                      <w:sz w:val="21"/>
                      <w:szCs w:val="21"/>
                    </w:rPr>
                  </w:pPr>
                  <w:r>
                    <w:rPr>
                      <w:rFonts w:eastAsiaTheme="minorEastAsia"/>
                      <w:sz w:val="21"/>
                      <w:szCs w:val="21"/>
                    </w:rPr>
                    <w:t>项目用水来自</w:t>
                  </w:r>
                  <w:r>
                    <w:rPr>
                      <w:rFonts w:hint="eastAsia" w:eastAsiaTheme="minorEastAsia"/>
                      <w:sz w:val="21"/>
                      <w:szCs w:val="21"/>
                    </w:rPr>
                    <w:t>山泉水。</w:t>
                  </w:r>
                </w:p>
              </w:tc>
              <w:tc>
                <w:tcPr>
                  <w:tcW w:w="677" w:type="pct"/>
                  <w:vAlign w:val="center"/>
                </w:tcPr>
                <w:p>
                  <w:pPr>
                    <w:spacing w:line="240" w:lineRule="auto"/>
                    <w:jc w:val="center"/>
                    <w:rPr>
                      <w:rFonts w:eastAsiaTheme="minorEastAsia"/>
                      <w:sz w:val="21"/>
                      <w:szCs w:val="21"/>
                      <w:highlight w:val="green"/>
                    </w:rPr>
                  </w:pPr>
                  <w:r>
                    <w:rPr>
                      <w:rFonts w:hint="eastAsia" w:eastAsiaTheme="minorEastAsia"/>
                      <w:sz w:val="21"/>
                      <w:szCs w:val="21"/>
                      <w:highlight w:val="gre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624" w:type="pct"/>
                  <w:vMerge w:val="continue"/>
                  <w:shd w:val="clear" w:color="auto" w:fill="auto"/>
                  <w:vAlign w:val="center"/>
                </w:tcPr>
                <w:p>
                  <w:pPr>
                    <w:spacing w:line="240" w:lineRule="auto"/>
                    <w:jc w:val="center"/>
                    <w:rPr>
                      <w:rFonts w:eastAsiaTheme="minorEastAsia"/>
                      <w:sz w:val="21"/>
                      <w:szCs w:val="21"/>
                    </w:rPr>
                  </w:pPr>
                </w:p>
              </w:tc>
              <w:tc>
                <w:tcPr>
                  <w:tcW w:w="725" w:type="pct"/>
                  <w:shd w:val="clear" w:color="auto" w:fill="auto"/>
                  <w:vAlign w:val="center"/>
                </w:tcPr>
                <w:p>
                  <w:pPr>
                    <w:spacing w:line="240" w:lineRule="auto"/>
                    <w:jc w:val="center"/>
                    <w:rPr>
                      <w:rFonts w:eastAsiaTheme="minorEastAsia"/>
                      <w:sz w:val="21"/>
                      <w:szCs w:val="21"/>
                    </w:rPr>
                  </w:pPr>
                  <w:r>
                    <w:rPr>
                      <w:rFonts w:eastAsiaTheme="minorEastAsia"/>
                      <w:sz w:val="21"/>
                      <w:szCs w:val="21"/>
                    </w:rPr>
                    <w:t>排水</w:t>
                  </w:r>
                </w:p>
              </w:tc>
              <w:tc>
                <w:tcPr>
                  <w:tcW w:w="2974" w:type="pct"/>
                  <w:shd w:val="clear" w:color="auto" w:fill="auto"/>
                  <w:vAlign w:val="center"/>
                </w:tcPr>
                <w:p>
                  <w:pPr>
                    <w:spacing w:line="240" w:lineRule="auto"/>
                    <w:jc w:val="left"/>
                    <w:rPr>
                      <w:rFonts w:eastAsiaTheme="minorEastAsia"/>
                      <w:sz w:val="21"/>
                      <w:szCs w:val="21"/>
                    </w:rPr>
                  </w:pPr>
                  <w:r>
                    <w:rPr>
                      <w:rFonts w:eastAsiaTheme="minorEastAsia"/>
                      <w:sz w:val="21"/>
                      <w:szCs w:val="21"/>
                    </w:rPr>
                    <w:t>生产废水经沉淀池处理后回</w:t>
                  </w:r>
                  <w:r>
                    <w:rPr>
                      <w:rFonts w:hint="eastAsia" w:eastAsiaTheme="minorEastAsia"/>
                      <w:sz w:val="21"/>
                      <w:szCs w:val="21"/>
                    </w:rPr>
                    <w:t>用于生产；员工</w:t>
                  </w:r>
                  <w:r>
                    <w:rPr>
                      <w:rFonts w:eastAsiaTheme="minorEastAsia"/>
                      <w:sz w:val="21"/>
                      <w:szCs w:val="21"/>
                    </w:rPr>
                    <w:t>生活污水</w:t>
                  </w:r>
                  <w:r>
                    <w:rPr>
                      <w:sz w:val="21"/>
                      <w:szCs w:val="21"/>
                    </w:rPr>
                    <w:t>经化粪池处理后作为农肥用于周边</w:t>
                  </w:r>
                  <w:r>
                    <w:rPr>
                      <w:rFonts w:hint="eastAsia"/>
                      <w:sz w:val="21"/>
                      <w:szCs w:val="21"/>
                    </w:rPr>
                    <w:t>林地，</w:t>
                  </w:r>
                  <w:r>
                    <w:rPr>
                      <w:sz w:val="21"/>
                      <w:szCs w:val="21"/>
                    </w:rPr>
                    <w:t>不外排</w:t>
                  </w:r>
                  <w:r>
                    <w:rPr>
                      <w:rFonts w:hint="eastAsia"/>
                      <w:sz w:val="21"/>
                      <w:szCs w:val="21"/>
                    </w:rPr>
                    <w:t>。</w:t>
                  </w:r>
                </w:p>
              </w:tc>
              <w:tc>
                <w:tcPr>
                  <w:tcW w:w="677" w:type="pct"/>
                  <w:vAlign w:val="center"/>
                </w:tcPr>
                <w:p>
                  <w:pPr>
                    <w:spacing w:line="240" w:lineRule="auto"/>
                    <w:jc w:val="center"/>
                    <w:rPr>
                      <w:rFonts w:eastAsiaTheme="minorEastAsia"/>
                      <w:sz w:val="21"/>
                      <w:szCs w:val="21"/>
                      <w:highlight w:val="green"/>
                    </w:rPr>
                  </w:pPr>
                  <w:r>
                    <w:rPr>
                      <w:rFonts w:hint="eastAsia" w:eastAsiaTheme="minorEastAsia"/>
                      <w:sz w:val="21"/>
                      <w:szCs w:val="21"/>
                      <w:highlight w:val="gree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jc w:val="center"/>
              </w:trPr>
              <w:tc>
                <w:tcPr>
                  <w:tcW w:w="624" w:type="pct"/>
                  <w:vMerge w:val="restart"/>
                  <w:shd w:val="clear" w:color="auto" w:fill="auto"/>
                  <w:vAlign w:val="center"/>
                </w:tcPr>
                <w:p>
                  <w:pPr>
                    <w:spacing w:line="240" w:lineRule="auto"/>
                    <w:jc w:val="center"/>
                    <w:rPr>
                      <w:rFonts w:eastAsiaTheme="minorEastAsia"/>
                      <w:sz w:val="21"/>
                      <w:szCs w:val="21"/>
                    </w:rPr>
                  </w:pPr>
                  <w:r>
                    <w:rPr>
                      <w:rFonts w:eastAsiaTheme="minorEastAsia"/>
                      <w:sz w:val="21"/>
                      <w:szCs w:val="21"/>
                    </w:rPr>
                    <w:t>环保工程</w:t>
                  </w:r>
                </w:p>
              </w:tc>
              <w:tc>
                <w:tcPr>
                  <w:tcW w:w="725" w:type="pct"/>
                  <w:shd w:val="clear" w:color="auto" w:fill="auto"/>
                  <w:vAlign w:val="center"/>
                </w:tcPr>
                <w:p>
                  <w:pPr>
                    <w:spacing w:line="240" w:lineRule="auto"/>
                    <w:jc w:val="center"/>
                    <w:rPr>
                      <w:rFonts w:eastAsiaTheme="minorEastAsia"/>
                      <w:sz w:val="21"/>
                      <w:szCs w:val="21"/>
                    </w:rPr>
                  </w:pPr>
                  <w:r>
                    <w:rPr>
                      <w:rFonts w:eastAsiaTheme="minorEastAsia"/>
                      <w:sz w:val="21"/>
                      <w:szCs w:val="21"/>
                    </w:rPr>
                    <w:t>废气处理</w:t>
                  </w:r>
                </w:p>
              </w:tc>
              <w:tc>
                <w:tcPr>
                  <w:tcW w:w="2974" w:type="pct"/>
                  <w:shd w:val="clear" w:color="auto" w:fill="auto"/>
                  <w:vAlign w:val="center"/>
                </w:tcPr>
                <w:p>
                  <w:pPr>
                    <w:spacing w:line="240" w:lineRule="auto"/>
                    <w:jc w:val="left"/>
                    <w:rPr>
                      <w:rFonts w:eastAsiaTheme="minorEastAsia"/>
                      <w:sz w:val="21"/>
                      <w:szCs w:val="21"/>
                    </w:rPr>
                  </w:pPr>
                  <w:r>
                    <w:rPr>
                      <w:rFonts w:hint="eastAsia" w:ascii="宋体" w:hAnsi="宋体" w:cs="宋体"/>
                      <w:sz w:val="21"/>
                      <w:szCs w:val="21"/>
                    </w:rPr>
                    <w:t>①</w:t>
                  </w:r>
                  <w:r>
                    <w:rPr>
                      <w:rFonts w:eastAsiaTheme="minorEastAsia"/>
                      <w:sz w:val="21"/>
                      <w:szCs w:val="21"/>
                    </w:rPr>
                    <w:t>破碎筛分粉尘：在封闭厂房内对给料机、碎石机及滚筛区域再进一步设置全封闭围挡，将整个区域</w:t>
                  </w:r>
                  <w:r>
                    <w:rPr>
                      <w:rFonts w:hint="eastAsia" w:eastAsiaTheme="minorEastAsia"/>
                      <w:sz w:val="21"/>
                      <w:szCs w:val="21"/>
                    </w:rPr>
                    <w:t>形成</w:t>
                  </w:r>
                  <w:r>
                    <w:rPr>
                      <w:rFonts w:eastAsiaTheme="minorEastAsia"/>
                      <w:sz w:val="21"/>
                      <w:szCs w:val="21"/>
                    </w:rPr>
                    <w:t>一个沉降室，对破碎筛分粉尘进行沉降；</w:t>
                  </w:r>
                </w:p>
                <w:p>
                  <w:pPr>
                    <w:spacing w:line="240" w:lineRule="auto"/>
                    <w:jc w:val="left"/>
                    <w:rPr>
                      <w:rFonts w:eastAsiaTheme="minorEastAsia"/>
                      <w:sz w:val="21"/>
                      <w:szCs w:val="21"/>
                    </w:rPr>
                  </w:pPr>
                  <w:r>
                    <w:rPr>
                      <w:rFonts w:hint="eastAsia" w:ascii="宋体" w:hAnsi="宋体" w:cs="宋体"/>
                      <w:sz w:val="21"/>
                      <w:szCs w:val="21"/>
                    </w:rPr>
                    <w:t>②</w:t>
                  </w:r>
                  <w:r>
                    <w:rPr>
                      <w:rFonts w:eastAsiaTheme="minorEastAsia"/>
                      <w:sz w:val="21"/>
                      <w:szCs w:val="21"/>
                    </w:rPr>
                    <w:t>制砂粉尘：加强车间密闭，分别在滚筛到下料斗的传送带上空、制砂机进出料口安装雾化喷头对制砂粉尘进行喷雾洒水降尘；</w:t>
                  </w:r>
                </w:p>
                <w:p>
                  <w:pPr>
                    <w:spacing w:line="240" w:lineRule="auto"/>
                    <w:jc w:val="left"/>
                    <w:rPr>
                      <w:rFonts w:eastAsiaTheme="minorEastAsia"/>
                      <w:sz w:val="21"/>
                      <w:szCs w:val="21"/>
                    </w:rPr>
                  </w:pPr>
                  <w:r>
                    <w:rPr>
                      <w:rFonts w:hint="eastAsia" w:ascii="宋体" w:hAnsi="宋体" w:cs="宋体"/>
                      <w:sz w:val="21"/>
                      <w:szCs w:val="21"/>
                    </w:rPr>
                    <w:t>③</w:t>
                  </w:r>
                  <w:r>
                    <w:rPr>
                      <w:rFonts w:eastAsiaTheme="minorEastAsia"/>
                      <w:sz w:val="21"/>
                      <w:szCs w:val="21"/>
                    </w:rPr>
                    <w:t>产品区装卸粉尘：加强产品区厂房密闭，</w:t>
                  </w:r>
                  <w:r>
                    <w:rPr>
                      <w:rFonts w:hint="eastAsia" w:eastAsiaTheme="minorEastAsia"/>
                      <w:sz w:val="21"/>
                      <w:szCs w:val="21"/>
                    </w:rPr>
                    <w:t>厂房</w:t>
                  </w:r>
                  <w:r>
                    <w:rPr>
                      <w:rFonts w:eastAsiaTheme="minorEastAsia"/>
                      <w:sz w:val="21"/>
                      <w:szCs w:val="21"/>
                    </w:rPr>
                    <w:t>顶部安装雾化喷头对粉尘进行喷雾洒水降尘；</w:t>
                  </w:r>
                </w:p>
                <w:p>
                  <w:pPr>
                    <w:pStyle w:val="2"/>
                    <w:spacing w:line="240" w:lineRule="auto"/>
                    <w:rPr>
                      <w:rFonts w:ascii="Times New Roman" w:hAnsi="Times New Roman" w:eastAsiaTheme="minorEastAsia"/>
                      <w:b w:val="0"/>
                      <w:sz w:val="21"/>
                      <w:szCs w:val="21"/>
                    </w:rPr>
                  </w:pPr>
                  <w:r>
                    <w:rPr>
                      <w:rFonts w:hint="eastAsia" w:ascii="宋体" w:hAnsi="宋体" w:eastAsia="宋体" w:cs="宋体"/>
                      <w:b w:val="0"/>
                      <w:sz w:val="21"/>
                      <w:szCs w:val="21"/>
                    </w:rPr>
                    <w:t>④</w:t>
                  </w:r>
                  <w:r>
                    <w:rPr>
                      <w:rFonts w:ascii="Times New Roman" w:hAnsi="Times New Roman" w:eastAsiaTheme="minorEastAsia"/>
                      <w:b w:val="0"/>
                      <w:sz w:val="21"/>
                      <w:szCs w:val="21"/>
                    </w:rPr>
                    <w:t>原料卸料粉尘：</w:t>
                  </w:r>
                  <w:r>
                    <w:rPr>
                      <w:rFonts w:hint="eastAsia" w:ascii="Times New Roman" w:hAnsi="Times New Roman" w:eastAsiaTheme="minorEastAsia"/>
                      <w:b w:val="0"/>
                      <w:sz w:val="21"/>
                      <w:szCs w:val="21"/>
                    </w:rPr>
                    <w:t>采用</w:t>
                  </w:r>
                  <w:r>
                    <w:rPr>
                      <w:rFonts w:ascii="Times New Roman" w:hAnsi="Times New Roman" w:eastAsiaTheme="minorEastAsia"/>
                      <w:b w:val="0"/>
                      <w:sz w:val="21"/>
                      <w:szCs w:val="21"/>
                    </w:rPr>
                    <w:t>沾湿土工布遮盖，并在沿原料堆场</w:t>
                  </w:r>
                  <w:r>
                    <w:rPr>
                      <w:rFonts w:hint="eastAsia" w:ascii="Times New Roman" w:hAnsi="Times New Roman" w:eastAsiaTheme="minorEastAsia"/>
                      <w:b w:val="0"/>
                      <w:sz w:val="21"/>
                      <w:szCs w:val="21"/>
                    </w:rPr>
                    <w:t>装卸</w:t>
                  </w:r>
                  <w:r>
                    <w:rPr>
                      <w:rFonts w:ascii="Times New Roman" w:hAnsi="Times New Roman" w:eastAsiaTheme="minorEastAsia"/>
                      <w:b w:val="0"/>
                      <w:sz w:val="21"/>
                      <w:szCs w:val="21"/>
                    </w:rPr>
                    <w:t>区域及铲车运送物料的通道周围安装雾化喷头对卸料粉尘进行洒水降尘；</w:t>
                  </w:r>
                </w:p>
                <w:p>
                  <w:pPr>
                    <w:spacing w:line="240" w:lineRule="auto"/>
                  </w:pPr>
                  <w:r>
                    <w:rPr>
                      <w:rFonts w:hint="eastAsia" w:ascii="宋体" w:hAnsi="宋体" w:cs="宋体"/>
                      <w:sz w:val="21"/>
                      <w:szCs w:val="21"/>
                    </w:rPr>
                    <w:t>⑤</w:t>
                  </w:r>
                  <w:r>
                    <w:rPr>
                      <w:rFonts w:eastAsiaTheme="minorEastAsia"/>
                      <w:sz w:val="21"/>
                      <w:szCs w:val="21"/>
                    </w:rPr>
                    <w:t>运输车辆扬尘：</w:t>
                  </w:r>
                  <w:r>
                    <w:rPr>
                      <w:rFonts w:hint="eastAsia" w:eastAsiaTheme="minorEastAsia"/>
                      <w:sz w:val="21"/>
                      <w:szCs w:val="21"/>
                    </w:rPr>
                    <w:t>采取</w:t>
                  </w:r>
                  <w:r>
                    <w:rPr>
                      <w:rFonts w:eastAsiaTheme="minorEastAsia"/>
                      <w:sz w:val="21"/>
                      <w:szCs w:val="21"/>
                    </w:rPr>
                    <w:t>厂区道路硬化、沿路安装雾化喷头，定期洒水，保持清洁，对进出车辆加强管理，车厢用篷布遮盖，车辆出厂前冲洗干净，限制车速，严禁运输遗撒等措施减少运输扬尘</w:t>
                  </w:r>
                  <w:r>
                    <w:rPr>
                      <w:rFonts w:hint="eastAsia" w:eastAsiaTheme="minorEastAsia"/>
                      <w:sz w:val="21"/>
                      <w:szCs w:val="21"/>
                    </w:rPr>
                    <w:t>。</w:t>
                  </w:r>
                </w:p>
              </w:tc>
              <w:tc>
                <w:tcPr>
                  <w:tcW w:w="677" w:type="pct"/>
                  <w:vAlign w:val="center"/>
                </w:tcPr>
                <w:p>
                  <w:pPr>
                    <w:spacing w:line="240" w:lineRule="auto"/>
                    <w:ind w:left="136" w:leftChars="57"/>
                    <w:jc w:val="center"/>
                    <w:rPr>
                      <w:sz w:val="21"/>
                      <w:szCs w:val="21"/>
                      <w:highlight w:val="green"/>
                    </w:rPr>
                  </w:pPr>
                  <w:r>
                    <w:rPr>
                      <w:rFonts w:hint="eastAsia"/>
                      <w:sz w:val="21"/>
                      <w:szCs w:val="21"/>
                      <w:highlight w:val="gree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624" w:type="pct"/>
                  <w:vMerge w:val="continue"/>
                  <w:shd w:val="clear" w:color="auto" w:fill="auto"/>
                  <w:vAlign w:val="center"/>
                </w:tcPr>
                <w:p>
                  <w:pPr>
                    <w:spacing w:line="240" w:lineRule="auto"/>
                    <w:jc w:val="center"/>
                    <w:rPr>
                      <w:rFonts w:eastAsiaTheme="minorEastAsia"/>
                      <w:sz w:val="21"/>
                      <w:szCs w:val="21"/>
                    </w:rPr>
                  </w:pPr>
                </w:p>
              </w:tc>
              <w:tc>
                <w:tcPr>
                  <w:tcW w:w="725" w:type="pct"/>
                  <w:shd w:val="clear" w:color="auto" w:fill="auto"/>
                  <w:vAlign w:val="center"/>
                </w:tcPr>
                <w:p>
                  <w:pPr>
                    <w:spacing w:line="240" w:lineRule="auto"/>
                    <w:jc w:val="center"/>
                    <w:rPr>
                      <w:rFonts w:eastAsiaTheme="minorEastAsia"/>
                      <w:sz w:val="21"/>
                      <w:szCs w:val="21"/>
                    </w:rPr>
                  </w:pPr>
                  <w:r>
                    <w:rPr>
                      <w:rFonts w:eastAsiaTheme="minorEastAsia"/>
                      <w:sz w:val="21"/>
                      <w:szCs w:val="21"/>
                    </w:rPr>
                    <w:t>废水处理</w:t>
                  </w:r>
                </w:p>
              </w:tc>
              <w:tc>
                <w:tcPr>
                  <w:tcW w:w="2974" w:type="pct"/>
                  <w:shd w:val="clear" w:color="auto" w:fill="auto"/>
                  <w:vAlign w:val="center"/>
                </w:tcPr>
                <w:p>
                  <w:pPr>
                    <w:spacing w:line="240" w:lineRule="auto"/>
                    <w:rPr>
                      <w:sz w:val="21"/>
                      <w:szCs w:val="21"/>
                    </w:rPr>
                  </w:pPr>
                  <w:r>
                    <w:rPr>
                      <w:rFonts w:eastAsiaTheme="minorEastAsia"/>
                      <w:sz w:val="21"/>
                      <w:szCs w:val="21"/>
                    </w:rPr>
                    <w:t>生产废水</w:t>
                  </w:r>
                  <w:r>
                    <w:rPr>
                      <w:sz w:val="21"/>
                      <w:szCs w:val="21"/>
                    </w:rPr>
                    <w:t>经沉淀池沉淀处理后</w:t>
                  </w:r>
                  <w:r>
                    <w:rPr>
                      <w:rFonts w:hint="eastAsia"/>
                      <w:sz w:val="21"/>
                      <w:szCs w:val="21"/>
                    </w:rPr>
                    <w:t>回用于生产；</w:t>
                  </w:r>
                  <w:r>
                    <w:rPr>
                      <w:rFonts w:eastAsiaTheme="minorEastAsia"/>
                      <w:sz w:val="21"/>
                      <w:szCs w:val="21"/>
                    </w:rPr>
                    <w:t>生活污水</w:t>
                  </w:r>
                  <w:r>
                    <w:rPr>
                      <w:rFonts w:hint="eastAsia"/>
                      <w:sz w:val="21"/>
                      <w:szCs w:val="21"/>
                    </w:rPr>
                    <w:t>经</w:t>
                  </w:r>
                  <w:r>
                    <w:rPr>
                      <w:sz w:val="21"/>
                      <w:szCs w:val="21"/>
                    </w:rPr>
                    <w:t>化粪池处理后作为农肥用于周边</w:t>
                  </w:r>
                  <w:r>
                    <w:rPr>
                      <w:rFonts w:hint="eastAsia"/>
                      <w:sz w:val="21"/>
                      <w:szCs w:val="21"/>
                    </w:rPr>
                    <w:t>林地，不外排。</w:t>
                  </w:r>
                </w:p>
              </w:tc>
              <w:tc>
                <w:tcPr>
                  <w:tcW w:w="677" w:type="pct"/>
                  <w:vAlign w:val="center"/>
                </w:tcPr>
                <w:p>
                  <w:pPr>
                    <w:spacing w:line="240" w:lineRule="auto"/>
                    <w:ind w:left="136" w:leftChars="57"/>
                    <w:jc w:val="center"/>
                    <w:rPr>
                      <w:sz w:val="21"/>
                      <w:szCs w:val="21"/>
                      <w:highlight w:val="green"/>
                    </w:rPr>
                  </w:pPr>
                  <w:r>
                    <w:rPr>
                      <w:rFonts w:hint="eastAsia"/>
                      <w:sz w:val="21"/>
                      <w:szCs w:val="21"/>
                      <w:highlight w:val="gree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624" w:type="pct"/>
                  <w:vMerge w:val="continue"/>
                  <w:shd w:val="clear" w:color="auto" w:fill="auto"/>
                  <w:vAlign w:val="center"/>
                </w:tcPr>
                <w:p>
                  <w:pPr>
                    <w:spacing w:line="240" w:lineRule="auto"/>
                    <w:jc w:val="center"/>
                    <w:rPr>
                      <w:rFonts w:eastAsiaTheme="minorEastAsia"/>
                      <w:sz w:val="21"/>
                      <w:szCs w:val="21"/>
                    </w:rPr>
                  </w:pPr>
                </w:p>
              </w:tc>
              <w:tc>
                <w:tcPr>
                  <w:tcW w:w="725" w:type="pct"/>
                  <w:shd w:val="clear" w:color="auto" w:fill="auto"/>
                  <w:vAlign w:val="center"/>
                </w:tcPr>
                <w:p>
                  <w:pPr>
                    <w:spacing w:line="240" w:lineRule="auto"/>
                    <w:jc w:val="center"/>
                    <w:rPr>
                      <w:rFonts w:eastAsiaTheme="minorEastAsia"/>
                      <w:sz w:val="21"/>
                      <w:szCs w:val="21"/>
                    </w:rPr>
                  </w:pPr>
                  <w:r>
                    <w:rPr>
                      <w:rFonts w:eastAsiaTheme="minorEastAsia"/>
                      <w:sz w:val="21"/>
                      <w:szCs w:val="21"/>
                    </w:rPr>
                    <w:t>噪声处理</w:t>
                  </w:r>
                </w:p>
              </w:tc>
              <w:tc>
                <w:tcPr>
                  <w:tcW w:w="2974" w:type="pct"/>
                  <w:shd w:val="clear" w:color="auto" w:fill="auto"/>
                  <w:vAlign w:val="center"/>
                </w:tcPr>
                <w:p>
                  <w:pPr>
                    <w:spacing w:line="240" w:lineRule="auto"/>
                    <w:jc w:val="left"/>
                    <w:rPr>
                      <w:sz w:val="21"/>
                      <w:szCs w:val="21"/>
                    </w:rPr>
                  </w:pPr>
                  <w:r>
                    <w:rPr>
                      <w:sz w:val="21"/>
                      <w:szCs w:val="21"/>
                    </w:rPr>
                    <w:t>高噪声设备采取隔声、</w:t>
                  </w:r>
                  <w:r>
                    <w:rPr>
                      <w:rFonts w:hint="eastAsia"/>
                      <w:sz w:val="21"/>
                      <w:szCs w:val="21"/>
                    </w:rPr>
                    <w:t>减振</w:t>
                  </w:r>
                  <w:r>
                    <w:rPr>
                      <w:sz w:val="21"/>
                      <w:szCs w:val="21"/>
                    </w:rPr>
                    <w:t>等降噪措施</w:t>
                  </w:r>
                </w:p>
              </w:tc>
              <w:tc>
                <w:tcPr>
                  <w:tcW w:w="677" w:type="pct"/>
                  <w:vAlign w:val="center"/>
                </w:tcPr>
                <w:p>
                  <w:pPr>
                    <w:spacing w:line="240" w:lineRule="auto"/>
                    <w:ind w:firstLine="105" w:firstLineChars="50"/>
                    <w:jc w:val="center"/>
                    <w:rPr>
                      <w:sz w:val="21"/>
                      <w:szCs w:val="21"/>
                      <w:highlight w:val="green"/>
                    </w:rPr>
                  </w:pPr>
                  <w:r>
                    <w:rPr>
                      <w:rFonts w:hint="eastAsia"/>
                      <w:sz w:val="21"/>
                      <w:szCs w:val="21"/>
                      <w:highlight w:val="gree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624" w:type="pct"/>
                  <w:vMerge w:val="continue"/>
                  <w:shd w:val="clear" w:color="auto" w:fill="auto"/>
                  <w:vAlign w:val="center"/>
                </w:tcPr>
                <w:p>
                  <w:pPr>
                    <w:spacing w:line="240" w:lineRule="auto"/>
                    <w:jc w:val="center"/>
                    <w:rPr>
                      <w:rFonts w:eastAsiaTheme="minorEastAsia"/>
                      <w:sz w:val="21"/>
                      <w:szCs w:val="21"/>
                    </w:rPr>
                  </w:pPr>
                </w:p>
              </w:tc>
              <w:tc>
                <w:tcPr>
                  <w:tcW w:w="725" w:type="pct"/>
                  <w:vMerge w:val="restart"/>
                  <w:shd w:val="clear" w:color="auto" w:fill="auto"/>
                  <w:vAlign w:val="center"/>
                </w:tcPr>
                <w:p>
                  <w:pPr>
                    <w:spacing w:line="240" w:lineRule="auto"/>
                    <w:jc w:val="center"/>
                    <w:rPr>
                      <w:rFonts w:eastAsiaTheme="minorEastAsia"/>
                      <w:sz w:val="21"/>
                      <w:szCs w:val="21"/>
                    </w:rPr>
                  </w:pPr>
                  <w:r>
                    <w:rPr>
                      <w:rFonts w:eastAsiaTheme="minorEastAsia"/>
                      <w:sz w:val="21"/>
                      <w:szCs w:val="21"/>
                    </w:rPr>
                    <w:t>固废处理</w:t>
                  </w:r>
                </w:p>
              </w:tc>
              <w:tc>
                <w:tcPr>
                  <w:tcW w:w="2974" w:type="pct"/>
                  <w:shd w:val="clear" w:color="auto" w:fill="auto"/>
                  <w:vAlign w:val="center"/>
                </w:tcPr>
                <w:p>
                  <w:pPr>
                    <w:spacing w:line="240" w:lineRule="auto"/>
                    <w:jc w:val="left"/>
                    <w:rPr>
                      <w:sz w:val="21"/>
                      <w:szCs w:val="21"/>
                    </w:rPr>
                  </w:pPr>
                  <w:r>
                    <w:rPr>
                      <w:kern w:val="0"/>
                      <w:sz w:val="21"/>
                      <w:szCs w:val="21"/>
                    </w:rPr>
                    <w:t>沉淀池底</w:t>
                  </w:r>
                  <w:r>
                    <w:rPr>
                      <w:rFonts w:hint="eastAsia"/>
                      <w:kern w:val="0"/>
                      <w:sz w:val="21"/>
                      <w:szCs w:val="21"/>
                    </w:rPr>
                    <w:t>渣经泥浆压滤机压滤</w:t>
                  </w:r>
                  <w:r>
                    <w:rPr>
                      <w:kern w:val="0"/>
                      <w:sz w:val="21"/>
                      <w:szCs w:val="21"/>
                    </w:rPr>
                    <w:t>后外售至附近免烧砖厂</w:t>
                  </w:r>
                </w:p>
              </w:tc>
              <w:tc>
                <w:tcPr>
                  <w:tcW w:w="677" w:type="pct"/>
                  <w:vAlign w:val="center"/>
                </w:tcPr>
                <w:p>
                  <w:pPr>
                    <w:spacing w:line="240" w:lineRule="auto"/>
                    <w:ind w:left="136" w:leftChars="57"/>
                    <w:jc w:val="center"/>
                    <w:rPr>
                      <w:kern w:val="0"/>
                      <w:sz w:val="21"/>
                      <w:szCs w:val="21"/>
                      <w:highlight w:val="green"/>
                    </w:rPr>
                  </w:pPr>
                  <w:r>
                    <w:rPr>
                      <w:rFonts w:hint="eastAsia"/>
                      <w:kern w:val="0"/>
                      <w:sz w:val="21"/>
                      <w:szCs w:val="21"/>
                      <w:highlight w:val="gree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24" w:type="pct"/>
                  <w:vMerge w:val="continue"/>
                  <w:shd w:val="clear" w:color="auto" w:fill="auto"/>
                  <w:vAlign w:val="center"/>
                </w:tcPr>
                <w:p>
                  <w:pPr>
                    <w:spacing w:line="240" w:lineRule="auto"/>
                    <w:jc w:val="center"/>
                    <w:rPr>
                      <w:rFonts w:eastAsiaTheme="minorEastAsia"/>
                      <w:sz w:val="21"/>
                      <w:szCs w:val="21"/>
                    </w:rPr>
                  </w:pPr>
                </w:p>
              </w:tc>
              <w:tc>
                <w:tcPr>
                  <w:tcW w:w="725" w:type="pct"/>
                  <w:vMerge w:val="continue"/>
                  <w:shd w:val="clear" w:color="auto" w:fill="auto"/>
                  <w:vAlign w:val="center"/>
                </w:tcPr>
                <w:p>
                  <w:pPr>
                    <w:spacing w:line="240" w:lineRule="auto"/>
                    <w:jc w:val="center"/>
                    <w:rPr>
                      <w:rFonts w:eastAsiaTheme="minorEastAsia"/>
                      <w:sz w:val="21"/>
                      <w:szCs w:val="21"/>
                    </w:rPr>
                  </w:pPr>
                </w:p>
              </w:tc>
              <w:tc>
                <w:tcPr>
                  <w:tcW w:w="2974" w:type="pct"/>
                  <w:shd w:val="clear" w:color="auto" w:fill="auto"/>
                  <w:vAlign w:val="center"/>
                </w:tcPr>
                <w:p>
                  <w:pPr>
                    <w:spacing w:line="240" w:lineRule="auto"/>
                    <w:jc w:val="left"/>
                    <w:rPr>
                      <w:kern w:val="0"/>
                      <w:sz w:val="21"/>
                      <w:szCs w:val="21"/>
                    </w:rPr>
                  </w:pPr>
                  <w:r>
                    <w:rPr>
                      <w:kern w:val="0"/>
                      <w:sz w:val="21"/>
                      <w:szCs w:val="21"/>
                    </w:rPr>
                    <w:t>废机油及含油废弃物暂存至危废暂存间，交由资质单位处理</w:t>
                  </w:r>
                </w:p>
              </w:tc>
              <w:tc>
                <w:tcPr>
                  <w:tcW w:w="677" w:type="pct"/>
                  <w:vAlign w:val="center"/>
                </w:tcPr>
                <w:p>
                  <w:pPr>
                    <w:spacing w:line="240" w:lineRule="auto"/>
                    <w:ind w:left="136" w:leftChars="57"/>
                    <w:jc w:val="center"/>
                    <w:rPr>
                      <w:kern w:val="0"/>
                      <w:sz w:val="21"/>
                      <w:szCs w:val="21"/>
                      <w:highlight w:val="green"/>
                    </w:rPr>
                  </w:pPr>
                  <w:r>
                    <w:rPr>
                      <w:rFonts w:hint="eastAsia"/>
                      <w:kern w:val="0"/>
                      <w:sz w:val="21"/>
                      <w:szCs w:val="21"/>
                      <w:highlight w:val="green"/>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624" w:type="pct"/>
                  <w:vMerge w:val="continue"/>
                  <w:shd w:val="clear" w:color="auto" w:fill="auto"/>
                  <w:vAlign w:val="center"/>
                </w:tcPr>
                <w:p>
                  <w:pPr>
                    <w:spacing w:line="240" w:lineRule="auto"/>
                    <w:jc w:val="center"/>
                    <w:rPr>
                      <w:rFonts w:eastAsiaTheme="minorEastAsia"/>
                      <w:sz w:val="21"/>
                      <w:szCs w:val="21"/>
                    </w:rPr>
                  </w:pPr>
                </w:p>
              </w:tc>
              <w:tc>
                <w:tcPr>
                  <w:tcW w:w="725" w:type="pct"/>
                  <w:vMerge w:val="continue"/>
                  <w:shd w:val="clear" w:color="auto" w:fill="auto"/>
                  <w:vAlign w:val="center"/>
                </w:tcPr>
                <w:p>
                  <w:pPr>
                    <w:spacing w:line="240" w:lineRule="auto"/>
                    <w:jc w:val="center"/>
                    <w:rPr>
                      <w:rFonts w:eastAsiaTheme="minorEastAsia"/>
                      <w:sz w:val="21"/>
                      <w:szCs w:val="21"/>
                    </w:rPr>
                  </w:pPr>
                </w:p>
              </w:tc>
              <w:tc>
                <w:tcPr>
                  <w:tcW w:w="2974" w:type="pct"/>
                  <w:shd w:val="clear" w:color="auto" w:fill="auto"/>
                  <w:vAlign w:val="center"/>
                </w:tcPr>
                <w:p>
                  <w:pPr>
                    <w:spacing w:line="240" w:lineRule="auto"/>
                    <w:jc w:val="left"/>
                    <w:rPr>
                      <w:kern w:val="0"/>
                      <w:sz w:val="21"/>
                      <w:szCs w:val="21"/>
                    </w:rPr>
                  </w:pPr>
                  <w:r>
                    <w:rPr>
                      <w:kern w:val="0"/>
                      <w:sz w:val="21"/>
                      <w:szCs w:val="21"/>
                    </w:rPr>
                    <w:t>生活垃圾分类收集至厂区垃圾桶，由环卫部门统一清运</w:t>
                  </w:r>
                </w:p>
              </w:tc>
              <w:tc>
                <w:tcPr>
                  <w:tcW w:w="677" w:type="pct"/>
                  <w:vAlign w:val="center"/>
                </w:tcPr>
                <w:p>
                  <w:pPr>
                    <w:spacing w:line="240" w:lineRule="auto"/>
                    <w:ind w:left="136" w:leftChars="57"/>
                    <w:jc w:val="center"/>
                    <w:rPr>
                      <w:kern w:val="0"/>
                      <w:sz w:val="21"/>
                      <w:szCs w:val="21"/>
                      <w:highlight w:val="green"/>
                    </w:rPr>
                  </w:pPr>
                  <w:r>
                    <w:rPr>
                      <w:kern w:val="0"/>
                      <w:sz w:val="21"/>
                      <w:szCs w:val="21"/>
                      <w:highlight w:val="green"/>
                    </w:rPr>
                    <w:t>新建</w:t>
                  </w:r>
                </w:p>
              </w:tc>
            </w:tr>
          </w:tbl>
          <w:p>
            <w:pPr>
              <w:ind w:firstLine="480" w:firstLineChars="200"/>
              <w:rPr>
                <w:bCs/>
              </w:rPr>
            </w:pPr>
            <w:r>
              <w:rPr>
                <w:bCs/>
              </w:rPr>
              <w:t>3、主要原辅材料消耗及产品方案</w:t>
            </w:r>
          </w:p>
          <w:p>
            <w:pPr>
              <w:ind w:firstLine="480" w:firstLineChars="200"/>
              <w:rPr>
                <w:rFonts w:eastAsiaTheme="minorEastAsia"/>
              </w:rPr>
            </w:pPr>
            <w:r>
              <w:rPr>
                <w:bCs/>
              </w:rPr>
              <w:t>本项目原料主要为各类废弃建筑垃圾，包括水泥块、砖块、渣土及装修垃圾，</w:t>
            </w:r>
            <w:r>
              <w:rPr>
                <w:rFonts w:eastAsiaTheme="minorEastAsia"/>
              </w:rPr>
              <w:t>原辅材料消耗量见表</w:t>
            </w:r>
            <w:r>
              <w:rPr>
                <w:rFonts w:hint="eastAsia" w:eastAsiaTheme="minorEastAsia"/>
              </w:rPr>
              <w:t>1-</w:t>
            </w:r>
            <w:r>
              <w:rPr>
                <w:rFonts w:eastAsiaTheme="minorEastAsia"/>
              </w:rPr>
              <w:t>3。</w:t>
            </w:r>
          </w:p>
          <w:p>
            <w:pPr>
              <w:pStyle w:val="10"/>
              <w:numPr>
                <w:ilvl w:val="0"/>
                <w:numId w:val="2"/>
              </w:numPr>
              <w:spacing w:line="240" w:lineRule="auto"/>
              <w:ind w:left="0" w:firstLine="0" w:firstLineChars="0"/>
              <w:jc w:val="center"/>
              <w:rPr>
                <w:rFonts w:eastAsiaTheme="minorEastAsia"/>
                <w:b/>
                <w:sz w:val="21"/>
                <w:szCs w:val="21"/>
              </w:rPr>
            </w:pPr>
            <w:r>
              <w:rPr>
                <w:rFonts w:eastAsiaTheme="minorEastAsia"/>
                <w:b/>
                <w:sz w:val="21"/>
                <w:szCs w:val="21"/>
              </w:rPr>
              <w:t>主要原辅材料</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9"/>
              <w:gridCol w:w="1434"/>
              <w:gridCol w:w="1277"/>
              <w:gridCol w:w="1557"/>
              <w:gridCol w:w="1702"/>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pct"/>
                  <w:vAlign w:val="center"/>
                </w:tcPr>
                <w:p>
                  <w:pPr>
                    <w:spacing w:line="240" w:lineRule="auto"/>
                    <w:jc w:val="center"/>
                    <w:rPr>
                      <w:sz w:val="21"/>
                      <w:szCs w:val="21"/>
                    </w:rPr>
                  </w:pPr>
                  <w:r>
                    <w:rPr>
                      <w:rFonts w:hint="eastAsia"/>
                      <w:sz w:val="21"/>
                      <w:szCs w:val="21"/>
                    </w:rPr>
                    <w:t>类别</w:t>
                  </w:r>
                </w:p>
              </w:tc>
              <w:tc>
                <w:tcPr>
                  <w:tcW w:w="813" w:type="pct"/>
                  <w:vAlign w:val="center"/>
                </w:tcPr>
                <w:p>
                  <w:pPr>
                    <w:spacing w:line="240" w:lineRule="auto"/>
                    <w:jc w:val="center"/>
                    <w:rPr>
                      <w:sz w:val="21"/>
                      <w:szCs w:val="21"/>
                    </w:rPr>
                  </w:pPr>
                  <w:r>
                    <w:rPr>
                      <w:sz w:val="21"/>
                      <w:szCs w:val="21"/>
                    </w:rPr>
                    <w:t>原料</w:t>
                  </w:r>
                </w:p>
              </w:tc>
              <w:tc>
                <w:tcPr>
                  <w:tcW w:w="724" w:type="pct"/>
                  <w:vAlign w:val="center"/>
                </w:tcPr>
                <w:p>
                  <w:pPr>
                    <w:spacing w:line="240" w:lineRule="auto"/>
                    <w:jc w:val="center"/>
                    <w:rPr>
                      <w:sz w:val="21"/>
                      <w:szCs w:val="21"/>
                    </w:rPr>
                  </w:pPr>
                  <w:r>
                    <w:rPr>
                      <w:sz w:val="21"/>
                      <w:szCs w:val="21"/>
                    </w:rPr>
                    <w:t>年用量</w:t>
                  </w:r>
                </w:p>
              </w:tc>
              <w:tc>
                <w:tcPr>
                  <w:tcW w:w="883" w:type="pct"/>
                  <w:vAlign w:val="center"/>
                </w:tcPr>
                <w:p>
                  <w:pPr>
                    <w:spacing w:line="240" w:lineRule="auto"/>
                    <w:jc w:val="center"/>
                    <w:rPr>
                      <w:sz w:val="21"/>
                      <w:szCs w:val="21"/>
                    </w:rPr>
                  </w:pPr>
                  <w:r>
                    <w:rPr>
                      <w:sz w:val="21"/>
                      <w:szCs w:val="21"/>
                    </w:rPr>
                    <w:t>单位</w:t>
                  </w:r>
                </w:p>
              </w:tc>
              <w:tc>
                <w:tcPr>
                  <w:tcW w:w="965" w:type="pct"/>
                  <w:vAlign w:val="center"/>
                </w:tcPr>
                <w:p>
                  <w:pPr>
                    <w:spacing w:line="240" w:lineRule="auto"/>
                    <w:jc w:val="center"/>
                    <w:rPr>
                      <w:sz w:val="21"/>
                      <w:szCs w:val="21"/>
                    </w:rPr>
                  </w:pPr>
                  <w:r>
                    <w:rPr>
                      <w:sz w:val="21"/>
                      <w:szCs w:val="21"/>
                    </w:rPr>
                    <w:t>储运方式</w:t>
                  </w:r>
                </w:p>
              </w:tc>
              <w:tc>
                <w:tcPr>
                  <w:tcW w:w="918" w:type="pct"/>
                  <w:vAlign w:val="center"/>
                </w:tcPr>
                <w:p>
                  <w:pPr>
                    <w:spacing w:line="240" w:lineRule="auto"/>
                    <w:jc w:val="center"/>
                    <w:rPr>
                      <w:sz w:val="21"/>
                      <w:szCs w:val="21"/>
                    </w:rPr>
                  </w:pPr>
                  <w:r>
                    <w:rPr>
                      <w:rFonts w:hint="eastAsia"/>
                      <w:sz w:val="21"/>
                      <w:szCs w:val="21"/>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pct"/>
                  <w:vAlign w:val="center"/>
                </w:tcPr>
                <w:p>
                  <w:pPr>
                    <w:spacing w:line="240" w:lineRule="auto"/>
                    <w:jc w:val="center"/>
                    <w:rPr>
                      <w:sz w:val="21"/>
                      <w:szCs w:val="21"/>
                    </w:rPr>
                  </w:pPr>
                  <w:r>
                    <w:rPr>
                      <w:rFonts w:hint="eastAsia"/>
                      <w:sz w:val="21"/>
                      <w:szCs w:val="21"/>
                    </w:rPr>
                    <w:t>原料</w:t>
                  </w:r>
                </w:p>
              </w:tc>
              <w:tc>
                <w:tcPr>
                  <w:tcW w:w="813" w:type="pct"/>
                  <w:vAlign w:val="center"/>
                </w:tcPr>
                <w:p>
                  <w:pPr>
                    <w:spacing w:line="240" w:lineRule="auto"/>
                    <w:jc w:val="center"/>
                    <w:rPr>
                      <w:sz w:val="21"/>
                      <w:szCs w:val="21"/>
                    </w:rPr>
                  </w:pPr>
                  <w:r>
                    <w:rPr>
                      <w:sz w:val="21"/>
                      <w:szCs w:val="21"/>
                    </w:rPr>
                    <w:t>洞渣</w:t>
                  </w:r>
                  <w:r>
                    <w:rPr>
                      <w:rFonts w:hint="eastAsia"/>
                      <w:sz w:val="21"/>
                      <w:szCs w:val="21"/>
                    </w:rPr>
                    <w:t>（废石）</w:t>
                  </w:r>
                </w:p>
              </w:tc>
              <w:tc>
                <w:tcPr>
                  <w:tcW w:w="724" w:type="pct"/>
                  <w:vAlign w:val="center"/>
                </w:tcPr>
                <w:p>
                  <w:pPr>
                    <w:spacing w:line="240" w:lineRule="auto"/>
                    <w:jc w:val="center"/>
                    <w:rPr>
                      <w:sz w:val="21"/>
                      <w:szCs w:val="21"/>
                    </w:rPr>
                  </w:pPr>
                  <w:r>
                    <w:rPr>
                      <w:rFonts w:hint="eastAsia"/>
                      <w:sz w:val="21"/>
                      <w:szCs w:val="21"/>
                    </w:rPr>
                    <w:t>3</w:t>
                  </w:r>
                  <w:r>
                    <w:rPr>
                      <w:sz w:val="21"/>
                      <w:szCs w:val="21"/>
                    </w:rPr>
                    <w:t>.035</w:t>
                  </w:r>
                </w:p>
              </w:tc>
              <w:tc>
                <w:tcPr>
                  <w:tcW w:w="883" w:type="pct"/>
                  <w:vAlign w:val="center"/>
                </w:tcPr>
                <w:p>
                  <w:pPr>
                    <w:spacing w:line="240" w:lineRule="auto"/>
                    <w:jc w:val="center"/>
                    <w:rPr>
                      <w:sz w:val="21"/>
                      <w:szCs w:val="21"/>
                    </w:rPr>
                  </w:pPr>
                  <w:r>
                    <w:rPr>
                      <w:sz w:val="21"/>
                      <w:szCs w:val="21"/>
                    </w:rPr>
                    <w:t>万t/a</w:t>
                  </w:r>
                </w:p>
              </w:tc>
              <w:tc>
                <w:tcPr>
                  <w:tcW w:w="965" w:type="pct"/>
                  <w:vAlign w:val="center"/>
                </w:tcPr>
                <w:p>
                  <w:pPr>
                    <w:spacing w:line="240" w:lineRule="auto"/>
                    <w:jc w:val="center"/>
                    <w:rPr>
                      <w:sz w:val="21"/>
                      <w:szCs w:val="21"/>
                    </w:rPr>
                  </w:pPr>
                  <w:r>
                    <w:rPr>
                      <w:sz w:val="21"/>
                      <w:szCs w:val="21"/>
                    </w:rPr>
                    <w:t>原料区堆放</w:t>
                  </w:r>
                  <w:r>
                    <w:rPr>
                      <w:rFonts w:hint="eastAsia"/>
                      <w:sz w:val="21"/>
                      <w:szCs w:val="21"/>
                    </w:rPr>
                    <w:t>，散装</w:t>
                  </w:r>
                  <w:r>
                    <w:rPr>
                      <w:sz w:val="21"/>
                      <w:szCs w:val="21"/>
                    </w:rPr>
                    <w:t>盖篷布运输</w:t>
                  </w:r>
                </w:p>
              </w:tc>
              <w:tc>
                <w:tcPr>
                  <w:tcW w:w="918" w:type="pct"/>
                  <w:vAlign w:val="center"/>
                </w:tcPr>
                <w:p>
                  <w:pPr>
                    <w:spacing w:line="240" w:lineRule="auto"/>
                    <w:jc w:val="center"/>
                    <w:rPr>
                      <w:sz w:val="21"/>
                      <w:szCs w:val="21"/>
                    </w:rPr>
                  </w:pPr>
                  <w:r>
                    <w:rPr>
                      <w:rFonts w:hint="eastAsia"/>
                      <w:sz w:val="21"/>
                      <w:szCs w:val="21"/>
                    </w:rPr>
                    <w:t>巫镇高速鸡心岭隧道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pct"/>
                  <w:vMerge w:val="restart"/>
                  <w:vAlign w:val="center"/>
                </w:tcPr>
                <w:p>
                  <w:pPr>
                    <w:spacing w:line="240" w:lineRule="auto"/>
                    <w:jc w:val="center"/>
                    <w:rPr>
                      <w:sz w:val="21"/>
                      <w:szCs w:val="21"/>
                    </w:rPr>
                  </w:pPr>
                  <w:r>
                    <w:rPr>
                      <w:rFonts w:hint="eastAsia"/>
                      <w:sz w:val="21"/>
                      <w:szCs w:val="21"/>
                    </w:rPr>
                    <w:t>能源</w:t>
                  </w:r>
                  <w:r>
                    <w:rPr>
                      <w:sz w:val="21"/>
                      <w:szCs w:val="21"/>
                    </w:rPr>
                    <w:t>消耗</w:t>
                  </w:r>
                </w:p>
              </w:tc>
              <w:tc>
                <w:tcPr>
                  <w:tcW w:w="813" w:type="pct"/>
                  <w:vAlign w:val="center"/>
                </w:tcPr>
                <w:p>
                  <w:pPr>
                    <w:spacing w:line="240" w:lineRule="auto"/>
                    <w:jc w:val="center"/>
                    <w:rPr>
                      <w:sz w:val="21"/>
                      <w:szCs w:val="21"/>
                    </w:rPr>
                  </w:pPr>
                  <w:r>
                    <w:rPr>
                      <w:sz w:val="21"/>
                      <w:szCs w:val="21"/>
                    </w:rPr>
                    <w:t>水</w:t>
                  </w:r>
                </w:p>
              </w:tc>
              <w:tc>
                <w:tcPr>
                  <w:tcW w:w="724" w:type="pct"/>
                  <w:vAlign w:val="center"/>
                </w:tcPr>
                <w:p>
                  <w:pPr>
                    <w:spacing w:line="240" w:lineRule="auto"/>
                    <w:jc w:val="center"/>
                    <w:rPr>
                      <w:sz w:val="21"/>
                      <w:szCs w:val="21"/>
                    </w:rPr>
                  </w:pPr>
                  <w:r>
                    <w:rPr>
                      <w:sz w:val="21"/>
                      <w:szCs w:val="21"/>
                    </w:rPr>
                    <w:t>1318.2</w:t>
                  </w:r>
                </w:p>
              </w:tc>
              <w:tc>
                <w:tcPr>
                  <w:tcW w:w="883" w:type="pct"/>
                  <w:vAlign w:val="center"/>
                </w:tcPr>
                <w:p>
                  <w:pPr>
                    <w:spacing w:line="240" w:lineRule="auto"/>
                    <w:jc w:val="center"/>
                    <w:rPr>
                      <w:sz w:val="21"/>
                      <w:szCs w:val="21"/>
                    </w:rPr>
                  </w:pPr>
                  <w:r>
                    <w:rPr>
                      <w:sz w:val="21"/>
                      <w:szCs w:val="21"/>
                    </w:rPr>
                    <w:t>m</w:t>
                  </w:r>
                  <w:r>
                    <w:rPr>
                      <w:sz w:val="21"/>
                      <w:szCs w:val="21"/>
                      <w:vertAlign w:val="superscript"/>
                    </w:rPr>
                    <w:t>3</w:t>
                  </w:r>
                  <w:r>
                    <w:rPr>
                      <w:sz w:val="21"/>
                      <w:szCs w:val="21"/>
                    </w:rPr>
                    <w:t>/a</w:t>
                  </w:r>
                </w:p>
              </w:tc>
              <w:tc>
                <w:tcPr>
                  <w:tcW w:w="965" w:type="pct"/>
                  <w:vAlign w:val="center"/>
                </w:tcPr>
                <w:p>
                  <w:pPr>
                    <w:spacing w:line="240" w:lineRule="auto"/>
                    <w:jc w:val="center"/>
                    <w:rPr>
                      <w:sz w:val="21"/>
                      <w:szCs w:val="21"/>
                    </w:rPr>
                  </w:pPr>
                  <w:r>
                    <w:rPr>
                      <w:rFonts w:hint="eastAsia"/>
                      <w:sz w:val="21"/>
                      <w:szCs w:val="21"/>
                    </w:rPr>
                    <w:t>/</w:t>
                  </w:r>
                </w:p>
              </w:tc>
              <w:tc>
                <w:tcPr>
                  <w:tcW w:w="918" w:type="pct"/>
                  <w:vAlign w:val="center"/>
                </w:tcPr>
                <w:p>
                  <w:pPr>
                    <w:spacing w:line="240" w:lineRule="auto"/>
                    <w:jc w:val="center"/>
                    <w:rPr>
                      <w:sz w:val="21"/>
                      <w:szCs w:val="21"/>
                    </w:rPr>
                  </w:pPr>
                  <w:r>
                    <w:rPr>
                      <w:sz w:val="21"/>
                      <w:szCs w:val="21"/>
                    </w:rPr>
                    <w:t>山泉水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pct"/>
                  <w:vMerge w:val="continue"/>
                  <w:vAlign w:val="center"/>
                </w:tcPr>
                <w:p>
                  <w:pPr>
                    <w:spacing w:line="240" w:lineRule="auto"/>
                    <w:jc w:val="center"/>
                    <w:rPr>
                      <w:sz w:val="21"/>
                      <w:szCs w:val="21"/>
                    </w:rPr>
                  </w:pPr>
                </w:p>
              </w:tc>
              <w:tc>
                <w:tcPr>
                  <w:tcW w:w="813" w:type="pct"/>
                  <w:vAlign w:val="center"/>
                </w:tcPr>
                <w:p>
                  <w:pPr>
                    <w:spacing w:line="240" w:lineRule="auto"/>
                    <w:jc w:val="center"/>
                    <w:rPr>
                      <w:sz w:val="21"/>
                      <w:szCs w:val="21"/>
                    </w:rPr>
                  </w:pPr>
                  <w:r>
                    <w:rPr>
                      <w:rFonts w:hint="eastAsia"/>
                      <w:sz w:val="21"/>
                      <w:szCs w:val="21"/>
                    </w:rPr>
                    <w:t>电</w:t>
                  </w:r>
                </w:p>
              </w:tc>
              <w:tc>
                <w:tcPr>
                  <w:tcW w:w="724" w:type="pct"/>
                  <w:vAlign w:val="center"/>
                </w:tcPr>
                <w:p>
                  <w:pPr>
                    <w:spacing w:line="240" w:lineRule="auto"/>
                    <w:jc w:val="center"/>
                    <w:rPr>
                      <w:sz w:val="21"/>
                      <w:szCs w:val="21"/>
                    </w:rPr>
                  </w:pPr>
                  <w:r>
                    <w:rPr>
                      <w:sz w:val="21"/>
                      <w:szCs w:val="21"/>
                    </w:rPr>
                    <w:t>10</w:t>
                  </w:r>
                </w:p>
              </w:tc>
              <w:tc>
                <w:tcPr>
                  <w:tcW w:w="883" w:type="pct"/>
                  <w:vAlign w:val="center"/>
                </w:tcPr>
                <w:p>
                  <w:pPr>
                    <w:spacing w:line="240" w:lineRule="auto"/>
                    <w:jc w:val="center"/>
                    <w:rPr>
                      <w:sz w:val="21"/>
                      <w:szCs w:val="21"/>
                    </w:rPr>
                  </w:pPr>
                  <w:r>
                    <w:rPr>
                      <w:sz w:val="21"/>
                      <w:szCs w:val="21"/>
                    </w:rPr>
                    <w:t>万kW·h/a</w:t>
                  </w:r>
                </w:p>
              </w:tc>
              <w:tc>
                <w:tcPr>
                  <w:tcW w:w="965" w:type="pct"/>
                  <w:vAlign w:val="center"/>
                </w:tcPr>
                <w:p>
                  <w:pPr>
                    <w:spacing w:line="240" w:lineRule="auto"/>
                    <w:jc w:val="center"/>
                    <w:rPr>
                      <w:sz w:val="21"/>
                      <w:szCs w:val="21"/>
                    </w:rPr>
                  </w:pPr>
                  <w:r>
                    <w:rPr>
                      <w:rFonts w:hint="eastAsia"/>
                      <w:sz w:val="21"/>
                      <w:szCs w:val="21"/>
                    </w:rPr>
                    <w:t>/</w:t>
                  </w:r>
                </w:p>
              </w:tc>
              <w:tc>
                <w:tcPr>
                  <w:tcW w:w="918" w:type="pct"/>
                  <w:vAlign w:val="center"/>
                </w:tcPr>
                <w:p>
                  <w:pPr>
                    <w:spacing w:line="240" w:lineRule="auto"/>
                    <w:jc w:val="center"/>
                    <w:rPr>
                      <w:sz w:val="21"/>
                      <w:szCs w:val="21"/>
                    </w:rPr>
                  </w:pPr>
                  <w:r>
                    <w:rPr>
                      <w:rFonts w:hint="eastAsia"/>
                      <w:sz w:val="21"/>
                      <w:szCs w:val="21"/>
                    </w:rPr>
                    <w:t>当地</w:t>
                  </w:r>
                  <w:r>
                    <w:rPr>
                      <w:sz w:val="21"/>
                      <w:szCs w:val="21"/>
                    </w:rPr>
                    <w:t>电网</w:t>
                  </w:r>
                </w:p>
              </w:tc>
            </w:tr>
          </w:tbl>
          <w:p>
            <w:pPr>
              <w:adjustRightInd w:val="0"/>
              <w:snapToGrid w:val="0"/>
              <w:spacing w:before="156" w:beforeLines="50"/>
              <w:ind w:firstLine="482"/>
              <w:rPr>
                <w:rFonts w:eastAsiaTheme="minorEastAsia"/>
                <w:b/>
                <w:sz w:val="21"/>
                <w:szCs w:val="21"/>
                <w:highlight w:val="green"/>
              </w:rPr>
            </w:pPr>
            <w:r>
              <w:rPr>
                <w:rStyle w:val="30"/>
                <w:rFonts w:eastAsiaTheme="minorEastAsia"/>
                <w:highlight w:val="green"/>
              </w:rPr>
              <w:t>根据建设方提供的资料，本项目产品方案见表1-4。</w:t>
            </w:r>
          </w:p>
          <w:p>
            <w:pPr>
              <w:pStyle w:val="10"/>
              <w:numPr>
                <w:ilvl w:val="0"/>
                <w:numId w:val="2"/>
              </w:numPr>
              <w:spacing w:line="240" w:lineRule="auto"/>
              <w:ind w:left="0" w:firstLine="0" w:firstLineChars="0"/>
              <w:jc w:val="center"/>
              <w:rPr>
                <w:rStyle w:val="30"/>
                <w:rFonts w:eastAsiaTheme="minorEastAsia"/>
                <w:sz w:val="21"/>
                <w:szCs w:val="21"/>
                <w:highlight w:val="green"/>
              </w:rPr>
            </w:pPr>
            <w:r>
              <w:rPr>
                <w:rFonts w:eastAsiaTheme="minorEastAsia"/>
                <w:b/>
                <w:sz w:val="21"/>
                <w:szCs w:val="21"/>
                <w:highlight w:val="green"/>
              </w:rPr>
              <w:t>产品方案一览表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2"/>
              <w:gridCol w:w="2104"/>
              <w:gridCol w:w="1843"/>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1362" w:type="pct"/>
                  <w:vAlign w:val="center"/>
                </w:tcPr>
                <w:p>
                  <w:pPr>
                    <w:spacing w:line="240" w:lineRule="auto"/>
                    <w:jc w:val="center"/>
                    <w:rPr>
                      <w:rFonts w:eastAsiaTheme="minorEastAsia"/>
                      <w:sz w:val="21"/>
                      <w:szCs w:val="21"/>
                      <w:highlight w:val="green"/>
                    </w:rPr>
                  </w:pPr>
                  <w:r>
                    <w:rPr>
                      <w:rFonts w:eastAsiaTheme="minorEastAsia"/>
                      <w:sz w:val="21"/>
                      <w:szCs w:val="21"/>
                      <w:highlight w:val="green"/>
                    </w:rPr>
                    <w:t>产品名称</w:t>
                  </w:r>
                </w:p>
              </w:tc>
              <w:tc>
                <w:tcPr>
                  <w:tcW w:w="1193" w:type="pct"/>
                  <w:vAlign w:val="center"/>
                </w:tcPr>
                <w:p>
                  <w:pPr>
                    <w:spacing w:line="240" w:lineRule="auto"/>
                    <w:jc w:val="center"/>
                    <w:rPr>
                      <w:rFonts w:eastAsiaTheme="minorEastAsia"/>
                      <w:sz w:val="21"/>
                      <w:szCs w:val="21"/>
                      <w:highlight w:val="green"/>
                    </w:rPr>
                  </w:pPr>
                  <w:r>
                    <w:rPr>
                      <w:rFonts w:eastAsiaTheme="minorEastAsia"/>
                      <w:sz w:val="21"/>
                      <w:szCs w:val="21"/>
                      <w:highlight w:val="green"/>
                    </w:rPr>
                    <w:t>数量（万t</w:t>
                  </w:r>
                  <w:r>
                    <w:rPr>
                      <w:sz w:val="21"/>
                      <w:szCs w:val="21"/>
                      <w:highlight w:val="green"/>
                    </w:rPr>
                    <w:t>/a</w:t>
                  </w:r>
                  <w:r>
                    <w:rPr>
                      <w:rFonts w:eastAsiaTheme="minorEastAsia"/>
                      <w:sz w:val="21"/>
                      <w:szCs w:val="21"/>
                      <w:highlight w:val="green"/>
                    </w:rPr>
                    <w:t>）</w:t>
                  </w:r>
                </w:p>
              </w:tc>
              <w:tc>
                <w:tcPr>
                  <w:tcW w:w="1045" w:type="pct"/>
                  <w:vAlign w:val="center"/>
                </w:tcPr>
                <w:p>
                  <w:pPr>
                    <w:spacing w:line="240" w:lineRule="auto"/>
                    <w:jc w:val="center"/>
                    <w:rPr>
                      <w:rFonts w:eastAsiaTheme="minorEastAsia"/>
                      <w:sz w:val="21"/>
                      <w:szCs w:val="21"/>
                      <w:highlight w:val="green"/>
                    </w:rPr>
                  </w:pPr>
                  <w:r>
                    <w:rPr>
                      <w:rFonts w:eastAsiaTheme="minorEastAsia"/>
                      <w:sz w:val="21"/>
                      <w:szCs w:val="21"/>
                      <w:highlight w:val="green"/>
                    </w:rPr>
                    <w:t>规格</w:t>
                  </w:r>
                </w:p>
              </w:tc>
              <w:tc>
                <w:tcPr>
                  <w:tcW w:w="1400" w:type="pct"/>
                  <w:vAlign w:val="center"/>
                </w:tcPr>
                <w:p>
                  <w:pPr>
                    <w:spacing w:line="240" w:lineRule="auto"/>
                    <w:jc w:val="center"/>
                    <w:rPr>
                      <w:rFonts w:eastAsiaTheme="minorEastAsia"/>
                      <w:sz w:val="21"/>
                      <w:szCs w:val="21"/>
                      <w:highlight w:val="green"/>
                    </w:rPr>
                  </w:pPr>
                  <w:r>
                    <w:rPr>
                      <w:rFonts w:eastAsiaTheme="minorEastAsia"/>
                      <w:sz w:val="21"/>
                      <w:szCs w:val="21"/>
                      <w:highlight w:val="gree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exact"/>
                <w:jc w:val="center"/>
              </w:trPr>
              <w:tc>
                <w:tcPr>
                  <w:tcW w:w="1362" w:type="pct"/>
                  <w:vAlign w:val="center"/>
                </w:tcPr>
                <w:p>
                  <w:pPr>
                    <w:spacing w:line="240" w:lineRule="auto"/>
                    <w:jc w:val="center"/>
                    <w:rPr>
                      <w:rFonts w:eastAsiaTheme="minorEastAsia"/>
                      <w:sz w:val="21"/>
                      <w:szCs w:val="21"/>
                      <w:highlight w:val="green"/>
                    </w:rPr>
                  </w:pPr>
                  <w:r>
                    <w:rPr>
                      <w:rFonts w:eastAsiaTheme="minorEastAsia"/>
                      <w:sz w:val="21"/>
                      <w:szCs w:val="21"/>
                      <w:highlight w:val="green"/>
                    </w:rPr>
                    <w:t>机制砂</w:t>
                  </w:r>
                </w:p>
              </w:tc>
              <w:tc>
                <w:tcPr>
                  <w:tcW w:w="1193" w:type="pct"/>
                  <w:vAlign w:val="center"/>
                </w:tcPr>
                <w:p>
                  <w:pPr>
                    <w:spacing w:line="240" w:lineRule="auto"/>
                    <w:jc w:val="center"/>
                    <w:rPr>
                      <w:rFonts w:eastAsiaTheme="minorEastAsia"/>
                      <w:sz w:val="21"/>
                      <w:szCs w:val="21"/>
                      <w:highlight w:val="green"/>
                    </w:rPr>
                  </w:pPr>
                  <w:r>
                    <w:rPr>
                      <w:rFonts w:eastAsiaTheme="minorEastAsia"/>
                      <w:sz w:val="21"/>
                      <w:szCs w:val="21"/>
                      <w:highlight w:val="green"/>
                    </w:rPr>
                    <w:t>3</w:t>
                  </w:r>
                </w:p>
              </w:tc>
              <w:tc>
                <w:tcPr>
                  <w:tcW w:w="1045" w:type="pct"/>
                  <w:vAlign w:val="center"/>
                </w:tcPr>
                <w:p>
                  <w:pPr>
                    <w:spacing w:line="240" w:lineRule="auto"/>
                    <w:jc w:val="center"/>
                    <w:rPr>
                      <w:rFonts w:eastAsiaTheme="minorEastAsia"/>
                      <w:sz w:val="21"/>
                      <w:szCs w:val="21"/>
                      <w:highlight w:val="green"/>
                    </w:rPr>
                  </w:pPr>
                  <w:r>
                    <w:rPr>
                      <w:sz w:val="21"/>
                      <w:szCs w:val="21"/>
                      <w:highlight w:val="green"/>
                    </w:rPr>
                    <w:t>0~4m</w:t>
                  </w:r>
                </w:p>
              </w:tc>
              <w:tc>
                <w:tcPr>
                  <w:tcW w:w="1400" w:type="pct"/>
                  <w:vAlign w:val="center"/>
                </w:tcPr>
                <w:p>
                  <w:pPr>
                    <w:spacing w:line="240" w:lineRule="auto"/>
                    <w:jc w:val="center"/>
                    <w:rPr>
                      <w:rFonts w:eastAsiaTheme="minorEastAsia"/>
                      <w:sz w:val="21"/>
                      <w:szCs w:val="21"/>
                      <w:highlight w:val="green"/>
                    </w:rPr>
                  </w:pPr>
                  <w:r>
                    <w:rPr>
                      <w:rFonts w:hint="eastAsia" w:eastAsiaTheme="minorEastAsia"/>
                      <w:sz w:val="21"/>
                      <w:szCs w:val="21"/>
                      <w:highlight w:val="green"/>
                    </w:rPr>
                    <w:t>外运用于搅拌混凝土</w:t>
                  </w:r>
                </w:p>
              </w:tc>
            </w:tr>
          </w:tbl>
          <w:p>
            <w:pPr>
              <w:ind w:firstLine="480" w:firstLineChars="200"/>
              <w:rPr>
                <w:bCs/>
              </w:rPr>
            </w:pPr>
            <w:r>
              <w:rPr>
                <w:bCs/>
              </w:rPr>
              <w:t>4、主要生产设备</w:t>
            </w:r>
          </w:p>
          <w:p>
            <w:pPr>
              <w:ind w:firstLine="480"/>
              <w:rPr>
                <w:rStyle w:val="30"/>
              </w:rPr>
            </w:pPr>
            <w:r>
              <w:rPr>
                <w:rStyle w:val="30"/>
              </w:rPr>
              <w:t>根据建设单位提供的资料，该项目营运过程中主要设备及数量见表1-5。</w:t>
            </w:r>
          </w:p>
          <w:p>
            <w:pPr>
              <w:pStyle w:val="10"/>
              <w:numPr>
                <w:ilvl w:val="0"/>
                <w:numId w:val="2"/>
              </w:numPr>
              <w:spacing w:line="240" w:lineRule="auto"/>
              <w:ind w:left="0" w:firstLine="0" w:firstLineChars="0"/>
              <w:jc w:val="center"/>
              <w:rPr>
                <w:b/>
                <w:sz w:val="21"/>
              </w:rPr>
            </w:pPr>
            <w:r>
              <w:rPr>
                <w:b/>
                <w:sz w:val="21"/>
              </w:rPr>
              <w:t>设备清单一览表</w:t>
            </w:r>
          </w:p>
          <w:tbl>
            <w:tblPr>
              <w:tblStyle w:val="25"/>
              <w:tblW w:w="49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7"/>
              <w:gridCol w:w="2197"/>
              <w:gridCol w:w="2198"/>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exact"/>
                <w:jc w:val="center"/>
              </w:trPr>
              <w:tc>
                <w:tcPr>
                  <w:tcW w:w="1250" w:type="pct"/>
                  <w:vAlign w:val="center"/>
                </w:tcPr>
                <w:p>
                  <w:pPr>
                    <w:widowControl w:val="0"/>
                    <w:tabs>
                      <w:tab w:val="left" w:pos="615"/>
                    </w:tabs>
                    <w:spacing w:line="240" w:lineRule="auto"/>
                    <w:jc w:val="center"/>
                    <w:rPr>
                      <w:rFonts w:eastAsiaTheme="minorEastAsia"/>
                      <w:b/>
                      <w:sz w:val="21"/>
                      <w:szCs w:val="21"/>
                    </w:rPr>
                  </w:pPr>
                  <w:r>
                    <w:rPr>
                      <w:rFonts w:eastAsiaTheme="minorEastAsia"/>
                      <w:b/>
                      <w:sz w:val="21"/>
                      <w:szCs w:val="21"/>
                    </w:rPr>
                    <w:t>序号</w:t>
                  </w:r>
                </w:p>
              </w:tc>
              <w:tc>
                <w:tcPr>
                  <w:tcW w:w="1250" w:type="pct"/>
                  <w:vAlign w:val="center"/>
                </w:tcPr>
                <w:p>
                  <w:pPr>
                    <w:widowControl w:val="0"/>
                    <w:tabs>
                      <w:tab w:val="left" w:pos="615"/>
                    </w:tabs>
                    <w:spacing w:line="240" w:lineRule="auto"/>
                    <w:jc w:val="center"/>
                    <w:rPr>
                      <w:rFonts w:eastAsiaTheme="minorEastAsia"/>
                      <w:b/>
                      <w:sz w:val="21"/>
                      <w:szCs w:val="21"/>
                    </w:rPr>
                  </w:pPr>
                  <w:r>
                    <w:rPr>
                      <w:rFonts w:eastAsiaTheme="minorEastAsia"/>
                      <w:b/>
                      <w:sz w:val="21"/>
                      <w:szCs w:val="21"/>
                    </w:rPr>
                    <w:t>设备名称</w:t>
                  </w:r>
                </w:p>
              </w:tc>
              <w:tc>
                <w:tcPr>
                  <w:tcW w:w="1250" w:type="pct"/>
                  <w:vAlign w:val="center"/>
                </w:tcPr>
                <w:p>
                  <w:pPr>
                    <w:widowControl w:val="0"/>
                    <w:tabs>
                      <w:tab w:val="left" w:pos="615"/>
                    </w:tabs>
                    <w:spacing w:line="240" w:lineRule="auto"/>
                    <w:jc w:val="center"/>
                    <w:rPr>
                      <w:rFonts w:eastAsiaTheme="minorEastAsia"/>
                      <w:b/>
                      <w:sz w:val="21"/>
                      <w:szCs w:val="21"/>
                    </w:rPr>
                  </w:pPr>
                  <w:r>
                    <w:rPr>
                      <w:rFonts w:eastAsiaTheme="minorEastAsia"/>
                      <w:b/>
                      <w:sz w:val="21"/>
                      <w:szCs w:val="21"/>
                    </w:rPr>
                    <w:t>型号</w:t>
                  </w:r>
                </w:p>
              </w:tc>
              <w:tc>
                <w:tcPr>
                  <w:tcW w:w="1250" w:type="pct"/>
                  <w:vAlign w:val="center"/>
                </w:tcPr>
                <w:p>
                  <w:pPr>
                    <w:widowControl w:val="0"/>
                    <w:tabs>
                      <w:tab w:val="left" w:pos="615"/>
                    </w:tabs>
                    <w:spacing w:line="240" w:lineRule="auto"/>
                    <w:jc w:val="center"/>
                    <w:rPr>
                      <w:rFonts w:eastAsiaTheme="minorEastAsia"/>
                      <w:b/>
                      <w:sz w:val="21"/>
                      <w:szCs w:val="21"/>
                    </w:rPr>
                  </w:pPr>
                  <w:r>
                    <w:rPr>
                      <w:rFonts w:eastAsiaTheme="minorEastAsia"/>
                      <w:b/>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exact"/>
                <w:jc w:val="center"/>
              </w:trPr>
              <w:tc>
                <w:tcPr>
                  <w:tcW w:w="1250" w:type="pct"/>
                  <w:vAlign w:val="center"/>
                </w:tcPr>
                <w:p>
                  <w:pPr>
                    <w:widowControl w:val="0"/>
                    <w:tabs>
                      <w:tab w:val="left" w:pos="615"/>
                    </w:tabs>
                    <w:spacing w:line="240" w:lineRule="auto"/>
                    <w:jc w:val="center"/>
                    <w:rPr>
                      <w:rFonts w:eastAsiaTheme="minorEastAsia"/>
                      <w:sz w:val="21"/>
                      <w:szCs w:val="21"/>
                    </w:rPr>
                  </w:pPr>
                  <w:r>
                    <w:rPr>
                      <w:rFonts w:eastAsiaTheme="minorEastAsia"/>
                      <w:sz w:val="21"/>
                      <w:szCs w:val="21"/>
                    </w:rPr>
                    <w:t>1</w:t>
                  </w:r>
                </w:p>
              </w:tc>
              <w:tc>
                <w:tcPr>
                  <w:tcW w:w="1250" w:type="pct"/>
                  <w:vAlign w:val="center"/>
                </w:tcPr>
                <w:p>
                  <w:pPr>
                    <w:widowControl w:val="0"/>
                    <w:tabs>
                      <w:tab w:val="left" w:pos="615"/>
                    </w:tabs>
                    <w:spacing w:line="240" w:lineRule="auto"/>
                    <w:jc w:val="center"/>
                    <w:rPr>
                      <w:rFonts w:eastAsiaTheme="minorEastAsia"/>
                      <w:sz w:val="21"/>
                      <w:szCs w:val="21"/>
                    </w:rPr>
                  </w:pPr>
                  <w:r>
                    <w:rPr>
                      <w:rFonts w:hint="eastAsia" w:eastAsiaTheme="minorEastAsia"/>
                      <w:sz w:val="21"/>
                      <w:szCs w:val="21"/>
                    </w:rPr>
                    <w:t>给料机</w:t>
                  </w:r>
                </w:p>
              </w:tc>
              <w:tc>
                <w:tcPr>
                  <w:tcW w:w="1250" w:type="pct"/>
                  <w:vAlign w:val="center"/>
                </w:tcPr>
                <w:p>
                  <w:pPr>
                    <w:widowControl w:val="0"/>
                    <w:tabs>
                      <w:tab w:val="left" w:pos="615"/>
                    </w:tabs>
                    <w:spacing w:line="240" w:lineRule="auto"/>
                    <w:jc w:val="center"/>
                    <w:rPr>
                      <w:rFonts w:eastAsiaTheme="minorEastAsia"/>
                      <w:sz w:val="21"/>
                      <w:szCs w:val="21"/>
                    </w:rPr>
                  </w:pPr>
                  <w:r>
                    <w:rPr>
                      <w:rFonts w:hint="eastAsia" w:eastAsiaTheme="minorEastAsia"/>
                      <w:sz w:val="21"/>
                      <w:szCs w:val="21"/>
                    </w:rPr>
                    <w:t>/</w:t>
                  </w:r>
                </w:p>
              </w:tc>
              <w:tc>
                <w:tcPr>
                  <w:tcW w:w="1250" w:type="pct"/>
                  <w:vAlign w:val="center"/>
                </w:tcPr>
                <w:p>
                  <w:pPr>
                    <w:widowControl w:val="0"/>
                    <w:tabs>
                      <w:tab w:val="left" w:pos="615"/>
                    </w:tabs>
                    <w:spacing w:line="240" w:lineRule="auto"/>
                    <w:jc w:val="center"/>
                    <w:rPr>
                      <w:rFonts w:eastAsiaTheme="minorEastAsia"/>
                      <w:sz w:val="21"/>
                      <w:szCs w:val="21"/>
                    </w:rPr>
                  </w:pPr>
                  <w:r>
                    <w:rPr>
                      <w:rFonts w:eastAsiaTheme="minorEastAsia"/>
                      <w:sz w:val="21"/>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exact"/>
                <w:jc w:val="center"/>
              </w:trPr>
              <w:tc>
                <w:tcPr>
                  <w:tcW w:w="1250" w:type="pct"/>
                  <w:vAlign w:val="center"/>
                </w:tcPr>
                <w:p>
                  <w:pPr>
                    <w:widowControl/>
                    <w:spacing w:line="240" w:lineRule="auto"/>
                    <w:jc w:val="center"/>
                    <w:rPr>
                      <w:rFonts w:eastAsiaTheme="minorEastAsia"/>
                      <w:sz w:val="21"/>
                      <w:szCs w:val="21"/>
                    </w:rPr>
                  </w:pPr>
                  <w:r>
                    <w:rPr>
                      <w:rFonts w:eastAsiaTheme="minorEastAsia"/>
                      <w:sz w:val="21"/>
                      <w:szCs w:val="21"/>
                    </w:rPr>
                    <w:t>2</w:t>
                  </w:r>
                </w:p>
              </w:tc>
              <w:tc>
                <w:tcPr>
                  <w:tcW w:w="1250" w:type="pct"/>
                  <w:vAlign w:val="center"/>
                </w:tcPr>
                <w:p>
                  <w:pPr>
                    <w:widowControl w:val="0"/>
                    <w:tabs>
                      <w:tab w:val="left" w:pos="615"/>
                    </w:tabs>
                    <w:spacing w:line="240" w:lineRule="auto"/>
                    <w:jc w:val="center"/>
                    <w:rPr>
                      <w:rFonts w:eastAsiaTheme="minorEastAsia"/>
                      <w:sz w:val="21"/>
                      <w:szCs w:val="21"/>
                    </w:rPr>
                  </w:pPr>
                  <w:r>
                    <w:rPr>
                      <w:rFonts w:hint="eastAsia" w:eastAsiaTheme="minorEastAsia"/>
                      <w:sz w:val="21"/>
                      <w:szCs w:val="21"/>
                    </w:rPr>
                    <w:t>碎石机</w:t>
                  </w:r>
                </w:p>
              </w:tc>
              <w:tc>
                <w:tcPr>
                  <w:tcW w:w="1250" w:type="pct"/>
                  <w:vAlign w:val="center"/>
                </w:tcPr>
                <w:p>
                  <w:pPr>
                    <w:widowControl w:val="0"/>
                    <w:tabs>
                      <w:tab w:val="left" w:pos="615"/>
                    </w:tabs>
                    <w:spacing w:line="240" w:lineRule="auto"/>
                    <w:jc w:val="center"/>
                    <w:rPr>
                      <w:rFonts w:eastAsiaTheme="minorEastAsia"/>
                      <w:sz w:val="21"/>
                      <w:szCs w:val="21"/>
                    </w:rPr>
                  </w:pPr>
                  <w:r>
                    <w:rPr>
                      <w:rFonts w:hint="eastAsia" w:eastAsiaTheme="minorEastAsia"/>
                      <w:sz w:val="21"/>
                      <w:szCs w:val="21"/>
                    </w:rPr>
                    <w:t>1</w:t>
                  </w:r>
                  <w:r>
                    <w:rPr>
                      <w:rFonts w:eastAsiaTheme="minorEastAsia"/>
                      <w:sz w:val="21"/>
                      <w:szCs w:val="21"/>
                    </w:rPr>
                    <w:t>215型</w:t>
                  </w:r>
                </w:p>
              </w:tc>
              <w:tc>
                <w:tcPr>
                  <w:tcW w:w="1250" w:type="pct"/>
                  <w:vAlign w:val="center"/>
                </w:tcPr>
                <w:p>
                  <w:pPr>
                    <w:pStyle w:val="31"/>
                    <w:widowControl w:val="0"/>
                    <w:snapToGrid/>
                    <w:rPr>
                      <w:rFonts w:eastAsiaTheme="minorEastAsia"/>
                      <w:b w:val="0"/>
                      <w:szCs w:val="21"/>
                    </w:rPr>
                  </w:pPr>
                  <w:r>
                    <w:rPr>
                      <w:rFonts w:eastAsiaTheme="minorEastAsia"/>
                      <w:b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exact"/>
                <w:jc w:val="center"/>
              </w:trPr>
              <w:tc>
                <w:tcPr>
                  <w:tcW w:w="1250" w:type="pct"/>
                  <w:vAlign w:val="center"/>
                </w:tcPr>
                <w:p>
                  <w:pPr>
                    <w:widowControl w:val="0"/>
                    <w:spacing w:line="240" w:lineRule="auto"/>
                    <w:jc w:val="center"/>
                    <w:rPr>
                      <w:rFonts w:eastAsiaTheme="minorEastAsia"/>
                      <w:sz w:val="21"/>
                      <w:szCs w:val="21"/>
                    </w:rPr>
                  </w:pPr>
                  <w:r>
                    <w:rPr>
                      <w:rFonts w:eastAsiaTheme="minorEastAsia"/>
                      <w:sz w:val="21"/>
                      <w:szCs w:val="21"/>
                    </w:rPr>
                    <w:t>3</w:t>
                  </w:r>
                </w:p>
              </w:tc>
              <w:tc>
                <w:tcPr>
                  <w:tcW w:w="1250" w:type="pct"/>
                  <w:vAlign w:val="center"/>
                </w:tcPr>
                <w:p>
                  <w:pPr>
                    <w:widowControl w:val="0"/>
                    <w:tabs>
                      <w:tab w:val="left" w:pos="615"/>
                    </w:tabs>
                    <w:spacing w:line="240" w:lineRule="auto"/>
                    <w:jc w:val="center"/>
                    <w:rPr>
                      <w:rFonts w:eastAsiaTheme="minorEastAsia"/>
                      <w:sz w:val="21"/>
                      <w:szCs w:val="21"/>
                    </w:rPr>
                  </w:pPr>
                  <w:r>
                    <w:rPr>
                      <w:rFonts w:hint="eastAsia" w:eastAsiaTheme="minorEastAsia"/>
                      <w:sz w:val="21"/>
                      <w:szCs w:val="21"/>
                    </w:rPr>
                    <w:t>滚筛</w:t>
                  </w:r>
                </w:p>
              </w:tc>
              <w:tc>
                <w:tcPr>
                  <w:tcW w:w="1250" w:type="pct"/>
                  <w:vAlign w:val="center"/>
                </w:tcPr>
                <w:p>
                  <w:pPr>
                    <w:widowControl w:val="0"/>
                    <w:tabs>
                      <w:tab w:val="left" w:pos="615"/>
                    </w:tabs>
                    <w:spacing w:line="240" w:lineRule="auto"/>
                    <w:jc w:val="center"/>
                    <w:rPr>
                      <w:rFonts w:eastAsiaTheme="minorEastAsia"/>
                      <w:sz w:val="21"/>
                      <w:szCs w:val="21"/>
                    </w:rPr>
                  </w:pPr>
                  <w:r>
                    <w:rPr>
                      <w:rFonts w:hint="eastAsia" w:eastAsiaTheme="minorEastAsia"/>
                      <w:sz w:val="21"/>
                      <w:szCs w:val="21"/>
                    </w:rPr>
                    <w:t>/</w:t>
                  </w:r>
                </w:p>
              </w:tc>
              <w:tc>
                <w:tcPr>
                  <w:tcW w:w="1250" w:type="pct"/>
                  <w:vAlign w:val="center"/>
                </w:tcPr>
                <w:p>
                  <w:pPr>
                    <w:pStyle w:val="31"/>
                    <w:widowControl w:val="0"/>
                    <w:snapToGrid/>
                    <w:rPr>
                      <w:rFonts w:eastAsiaTheme="minorEastAsia"/>
                      <w:b w:val="0"/>
                      <w:szCs w:val="21"/>
                    </w:rPr>
                  </w:pPr>
                  <w:r>
                    <w:rPr>
                      <w:rFonts w:eastAsiaTheme="minorEastAsia"/>
                      <w:b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exact"/>
                <w:jc w:val="center"/>
              </w:trPr>
              <w:tc>
                <w:tcPr>
                  <w:tcW w:w="1250" w:type="pct"/>
                  <w:vAlign w:val="center"/>
                </w:tcPr>
                <w:p>
                  <w:pPr>
                    <w:widowControl w:val="0"/>
                    <w:spacing w:line="240" w:lineRule="auto"/>
                    <w:jc w:val="center"/>
                    <w:rPr>
                      <w:rFonts w:eastAsiaTheme="minorEastAsia"/>
                      <w:sz w:val="21"/>
                      <w:szCs w:val="21"/>
                    </w:rPr>
                  </w:pPr>
                  <w:r>
                    <w:rPr>
                      <w:rFonts w:eastAsiaTheme="minorEastAsia"/>
                      <w:sz w:val="21"/>
                      <w:szCs w:val="21"/>
                    </w:rPr>
                    <w:t>4</w:t>
                  </w:r>
                </w:p>
              </w:tc>
              <w:tc>
                <w:tcPr>
                  <w:tcW w:w="1250" w:type="pct"/>
                  <w:vAlign w:val="center"/>
                </w:tcPr>
                <w:p>
                  <w:pPr>
                    <w:widowControl w:val="0"/>
                    <w:tabs>
                      <w:tab w:val="left" w:pos="615"/>
                    </w:tabs>
                    <w:spacing w:line="240" w:lineRule="auto"/>
                    <w:jc w:val="center"/>
                    <w:rPr>
                      <w:rFonts w:eastAsiaTheme="minorEastAsia"/>
                      <w:sz w:val="21"/>
                      <w:szCs w:val="21"/>
                    </w:rPr>
                  </w:pPr>
                  <w:r>
                    <w:rPr>
                      <w:rFonts w:hint="eastAsia" w:eastAsiaTheme="minorEastAsia"/>
                      <w:sz w:val="21"/>
                      <w:szCs w:val="21"/>
                    </w:rPr>
                    <w:t>下料</w:t>
                  </w:r>
                  <w:r>
                    <w:rPr>
                      <w:rFonts w:eastAsiaTheme="minorEastAsia"/>
                      <w:sz w:val="21"/>
                      <w:szCs w:val="21"/>
                    </w:rPr>
                    <w:t>斗</w:t>
                  </w:r>
                </w:p>
              </w:tc>
              <w:tc>
                <w:tcPr>
                  <w:tcW w:w="1250" w:type="pct"/>
                  <w:vAlign w:val="center"/>
                </w:tcPr>
                <w:p>
                  <w:pPr>
                    <w:widowControl w:val="0"/>
                    <w:tabs>
                      <w:tab w:val="left" w:pos="615"/>
                    </w:tabs>
                    <w:spacing w:line="240" w:lineRule="auto"/>
                    <w:jc w:val="center"/>
                    <w:rPr>
                      <w:rFonts w:eastAsiaTheme="minorEastAsia"/>
                      <w:sz w:val="21"/>
                      <w:szCs w:val="21"/>
                    </w:rPr>
                  </w:pPr>
                  <w:r>
                    <w:rPr>
                      <w:rFonts w:hint="eastAsia" w:eastAsiaTheme="minorEastAsia"/>
                      <w:sz w:val="21"/>
                      <w:szCs w:val="21"/>
                    </w:rPr>
                    <w:t>/</w:t>
                  </w:r>
                </w:p>
              </w:tc>
              <w:tc>
                <w:tcPr>
                  <w:tcW w:w="1250" w:type="pct"/>
                  <w:vAlign w:val="center"/>
                </w:tcPr>
                <w:p>
                  <w:pPr>
                    <w:pStyle w:val="31"/>
                    <w:widowControl w:val="0"/>
                    <w:snapToGrid/>
                    <w:rPr>
                      <w:rFonts w:eastAsiaTheme="minorEastAsia"/>
                      <w:b w:val="0"/>
                      <w:szCs w:val="21"/>
                    </w:rPr>
                  </w:pPr>
                  <w:r>
                    <w:rPr>
                      <w:rFonts w:eastAsiaTheme="minorEastAsia"/>
                      <w:b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exact"/>
                <w:jc w:val="center"/>
              </w:trPr>
              <w:tc>
                <w:tcPr>
                  <w:tcW w:w="1250" w:type="pct"/>
                  <w:vAlign w:val="center"/>
                </w:tcPr>
                <w:p>
                  <w:pPr>
                    <w:widowControl w:val="0"/>
                    <w:spacing w:line="240" w:lineRule="auto"/>
                    <w:jc w:val="center"/>
                    <w:rPr>
                      <w:rFonts w:eastAsiaTheme="minorEastAsia"/>
                      <w:sz w:val="21"/>
                      <w:szCs w:val="21"/>
                    </w:rPr>
                  </w:pPr>
                  <w:r>
                    <w:rPr>
                      <w:rFonts w:eastAsiaTheme="minorEastAsia"/>
                      <w:sz w:val="21"/>
                      <w:szCs w:val="21"/>
                    </w:rPr>
                    <w:t>5</w:t>
                  </w:r>
                </w:p>
              </w:tc>
              <w:tc>
                <w:tcPr>
                  <w:tcW w:w="1250" w:type="pct"/>
                  <w:vAlign w:val="center"/>
                </w:tcPr>
                <w:p>
                  <w:pPr>
                    <w:widowControl w:val="0"/>
                    <w:tabs>
                      <w:tab w:val="left" w:pos="615"/>
                    </w:tabs>
                    <w:spacing w:line="240" w:lineRule="auto"/>
                    <w:jc w:val="center"/>
                    <w:rPr>
                      <w:rFonts w:eastAsiaTheme="minorEastAsia"/>
                      <w:sz w:val="21"/>
                      <w:szCs w:val="21"/>
                    </w:rPr>
                  </w:pPr>
                  <w:r>
                    <w:rPr>
                      <w:rFonts w:eastAsiaTheme="minorEastAsia"/>
                      <w:sz w:val="21"/>
                      <w:szCs w:val="21"/>
                    </w:rPr>
                    <w:t>制砂机</w:t>
                  </w:r>
                </w:p>
              </w:tc>
              <w:tc>
                <w:tcPr>
                  <w:tcW w:w="1250" w:type="pct"/>
                  <w:vAlign w:val="center"/>
                </w:tcPr>
                <w:p>
                  <w:pPr>
                    <w:widowControl w:val="0"/>
                    <w:tabs>
                      <w:tab w:val="left" w:pos="615"/>
                    </w:tabs>
                    <w:spacing w:line="240" w:lineRule="auto"/>
                    <w:jc w:val="center"/>
                    <w:rPr>
                      <w:rFonts w:eastAsiaTheme="minorEastAsia"/>
                      <w:sz w:val="21"/>
                      <w:szCs w:val="21"/>
                    </w:rPr>
                  </w:pPr>
                  <w:r>
                    <w:rPr>
                      <w:rFonts w:eastAsiaTheme="minorEastAsia"/>
                      <w:sz w:val="21"/>
                      <w:szCs w:val="21"/>
                    </w:rPr>
                    <w:t>PDX0808型号</w:t>
                  </w:r>
                </w:p>
              </w:tc>
              <w:tc>
                <w:tcPr>
                  <w:tcW w:w="1250" w:type="pct"/>
                  <w:vAlign w:val="center"/>
                </w:tcPr>
                <w:p>
                  <w:pPr>
                    <w:pStyle w:val="31"/>
                    <w:widowControl w:val="0"/>
                    <w:snapToGrid/>
                    <w:rPr>
                      <w:rFonts w:eastAsiaTheme="minorEastAsia"/>
                      <w:b w:val="0"/>
                      <w:szCs w:val="21"/>
                    </w:rPr>
                  </w:pPr>
                  <w:r>
                    <w:rPr>
                      <w:rFonts w:eastAsiaTheme="minorEastAsia"/>
                      <w:b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exact"/>
                <w:jc w:val="center"/>
              </w:trPr>
              <w:tc>
                <w:tcPr>
                  <w:tcW w:w="1250" w:type="pct"/>
                  <w:vAlign w:val="center"/>
                </w:tcPr>
                <w:p>
                  <w:pPr>
                    <w:widowControl w:val="0"/>
                    <w:spacing w:line="240" w:lineRule="auto"/>
                    <w:jc w:val="center"/>
                    <w:rPr>
                      <w:rFonts w:eastAsiaTheme="minorEastAsia"/>
                      <w:sz w:val="21"/>
                      <w:szCs w:val="21"/>
                    </w:rPr>
                  </w:pPr>
                  <w:r>
                    <w:rPr>
                      <w:rFonts w:hint="eastAsia" w:eastAsiaTheme="minorEastAsia"/>
                      <w:sz w:val="21"/>
                      <w:szCs w:val="21"/>
                    </w:rPr>
                    <w:t>6</w:t>
                  </w:r>
                </w:p>
              </w:tc>
              <w:tc>
                <w:tcPr>
                  <w:tcW w:w="1250" w:type="pct"/>
                  <w:vAlign w:val="center"/>
                </w:tcPr>
                <w:p>
                  <w:pPr>
                    <w:widowControl w:val="0"/>
                    <w:tabs>
                      <w:tab w:val="left" w:pos="615"/>
                    </w:tabs>
                    <w:spacing w:line="240" w:lineRule="auto"/>
                    <w:jc w:val="center"/>
                    <w:rPr>
                      <w:rFonts w:eastAsiaTheme="minorEastAsia"/>
                      <w:sz w:val="21"/>
                      <w:szCs w:val="21"/>
                    </w:rPr>
                  </w:pPr>
                  <w:r>
                    <w:rPr>
                      <w:rFonts w:eastAsiaTheme="minorEastAsia"/>
                      <w:sz w:val="21"/>
                      <w:szCs w:val="21"/>
                    </w:rPr>
                    <w:t>洗砂机</w:t>
                  </w:r>
                </w:p>
              </w:tc>
              <w:tc>
                <w:tcPr>
                  <w:tcW w:w="1250" w:type="pct"/>
                  <w:vAlign w:val="center"/>
                </w:tcPr>
                <w:p>
                  <w:pPr>
                    <w:widowControl w:val="0"/>
                    <w:tabs>
                      <w:tab w:val="left" w:pos="615"/>
                    </w:tabs>
                    <w:spacing w:line="240" w:lineRule="auto"/>
                    <w:jc w:val="center"/>
                    <w:rPr>
                      <w:rFonts w:eastAsiaTheme="minorEastAsia"/>
                      <w:sz w:val="21"/>
                      <w:szCs w:val="21"/>
                    </w:rPr>
                  </w:pPr>
                  <w:r>
                    <w:rPr>
                      <w:rFonts w:hint="eastAsia" w:eastAsiaTheme="minorEastAsia"/>
                      <w:sz w:val="21"/>
                      <w:szCs w:val="21"/>
                    </w:rPr>
                    <w:t>/</w:t>
                  </w:r>
                </w:p>
              </w:tc>
              <w:tc>
                <w:tcPr>
                  <w:tcW w:w="1250" w:type="pct"/>
                  <w:vAlign w:val="center"/>
                </w:tcPr>
                <w:p>
                  <w:pPr>
                    <w:pStyle w:val="31"/>
                    <w:widowControl w:val="0"/>
                    <w:snapToGrid/>
                    <w:rPr>
                      <w:rFonts w:eastAsiaTheme="minorEastAsia"/>
                      <w:b w:val="0"/>
                      <w:szCs w:val="21"/>
                    </w:rPr>
                  </w:pPr>
                  <w:r>
                    <w:rPr>
                      <w:rFonts w:eastAsiaTheme="minorEastAsia"/>
                      <w:b w:val="0"/>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exact"/>
                <w:jc w:val="center"/>
              </w:trPr>
              <w:tc>
                <w:tcPr>
                  <w:tcW w:w="1250" w:type="pct"/>
                  <w:vAlign w:val="center"/>
                </w:tcPr>
                <w:p>
                  <w:pPr>
                    <w:widowControl w:val="0"/>
                    <w:spacing w:line="240" w:lineRule="auto"/>
                    <w:jc w:val="center"/>
                    <w:rPr>
                      <w:rFonts w:eastAsiaTheme="minorEastAsia"/>
                      <w:sz w:val="21"/>
                      <w:szCs w:val="21"/>
                    </w:rPr>
                  </w:pPr>
                  <w:r>
                    <w:rPr>
                      <w:rFonts w:eastAsiaTheme="minorEastAsia"/>
                      <w:sz w:val="21"/>
                      <w:szCs w:val="21"/>
                    </w:rPr>
                    <w:t>7</w:t>
                  </w:r>
                </w:p>
              </w:tc>
              <w:tc>
                <w:tcPr>
                  <w:tcW w:w="1250" w:type="pct"/>
                  <w:vAlign w:val="center"/>
                </w:tcPr>
                <w:p>
                  <w:pPr>
                    <w:widowControl w:val="0"/>
                    <w:tabs>
                      <w:tab w:val="left" w:pos="615"/>
                    </w:tabs>
                    <w:spacing w:line="240" w:lineRule="auto"/>
                    <w:jc w:val="center"/>
                    <w:rPr>
                      <w:rFonts w:eastAsiaTheme="minorEastAsia"/>
                      <w:sz w:val="21"/>
                      <w:szCs w:val="21"/>
                    </w:rPr>
                  </w:pPr>
                  <w:r>
                    <w:rPr>
                      <w:rFonts w:hint="eastAsia" w:eastAsiaTheme="minorEastAsia"/>
                      <w:sz w:val="21"/>
                      <w:szCs w:val="21"/>
                    </w:rPr>
                    <w:t>传送带</w:t>
                  </w:r>
                </w:p>
              </w:tc>
              <w:tc>
                <w:tcPr>
                  <w:tcW w:w="1250" w:type="pct"/>
                  <w:vAlign w:val="center"/>
                </w:tcPr>
                <w:p>
                  <w:pPr>
                    <w:widowControl w:val="0"/>
                    <w:tabs>
                      <w:tab w:val="left" w:pos="615"/>
                    </w:tabs>
                    <w:spacing w:line="240" w:lineRule="auto"/>
                    <w:jc w:val="center"/>
                    <w:rPr>
                      <w:rFonts w:eastAsiaTheme="minorEastAsia"/>
                      <w:sz w:val="21"/>
                      <w:szCs w:val="21"/>
                    </w:rPr>
                  </w:pPr>
                  <w:r>
                    <w:rPr>
                      <w:rFonts w:hint="eastAsia" w:eastAsiaTheme="minorEastAsia"/>
                      <w:sz w:val="21"/>
                      <w:szCs w:val="21"/>
                    </w:rPr>
                    <w:t>/</w:t>
                  </w:r>
                </w:p>
              </w:tc>
              <w:tc>
                <w:tcPr>
                  <w:tcW w:w="1250" w:type="pct"/>
                  <w:vAlign w:val="center"/>
                </w:tcPr>
                <w:p>
                  <w:pPr>
                    <w:pStyle w:val="31"/>
                    <w:widowControl w:val="0"/>
                    <w:snapToGrid/>
                    <w:rPr>
                      <w:rFonts w:eastAsiaTheme="minorEastAsia"/>
                      <w:b w:val="0"/>
                      <w:szCs w:val="21"/>
                    </w:rPr>
                  </w:pPr>
                  <w:r>
                    <w:rPr>
                      <w:rFonts w:eastAsiaTheme="minorEastAsia"/>
                      <w:b w:val="0"/>
                      <w:szCs w:val="21"/>
                    </w:rPr>
                    <w:t>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exact"/>
                <w:jc w:val="center"/>
              </w:trPr>
              <w:tc>
                <w:tcPr>
                  <w:tcW w:w="1250" w:type="pct"/>
                  <w:vAlign w:val="center"/>
                </w:tcPr>
                <w:p>
                  <w:pPr>
                    <w:widowControl w:val="0"/>
                    <w:spacing w:line="240" w:lineRule="auto"/>
                    <w:jc w:val="center"/>
                    <w:rPr>
                      <w:rFonts w:eastAsiaTheme="minorEastAsia"/>
                      <w:sz w:val="21"/>
                      <w:szCs w:val="21"/>
                    </w:rPr>
                  </w:pPr>
                  <w:r>
                    <w:rPr>
                      <w:rFonts w:hint="eastAsia" w:eastAsiaTheme="minorEastAsia"/>
                      <w:sz w:val="21"/>
                      <w:szCs w:val="21"/>
                    </w:rPr>
                    <w:t>8</w:t>
                  </w:r>
                </w:p>
              </w:tc>
              <w:tc>
                <w:tcPr>
                  <w:tcW w:w="1250" w:type="pct"/>
                  <w:vAlign w:val="center"/>
                </w:tcPr>
                <w:p>
                  <w:pPr>
                    <w:widowControl w:val="0"/>
                    <w:tabs>
                      <w:tab w:val="left" w:pos="615"/>
                    </w:tabs>
                    <w:spacing w:line="240" w:lineRule="auto"/>
                    <w:jc w:val="center"/>
                    <w:rPr>
                      <w:rFonts w:eastAsiaTheme="minorEastAsia"/>
                      <w:sz w:val="21"/>
                      <w:szCs w:val="21"/>
                    </w:rPr>
                  </w:pPr>
                  <w:r>
                    <w:rPr>
                      <w:rFonts w:hint="eastAsia"/>
                      <w:sz w:val="21"/>
                      <w:szCs w:val="21"/>
                    </w:rPr>
                    <w:t>雾化喷淋设施</w:t>
                  </w:r>
                </w:p>
              </w:tc>
              <w:tc>
                <w:tcPr>
                  <w:tcW w:w="1250" w:type="pct"/>
                  <w:vAlign w:val="center"/>
                </w:tcPr>
                <w:p>
                  <w:pPr>
                    <w:widowControl w:val="0"/>
                    <w:tabs>
                      <w:tab w:val="left" w:pos="615"/>
                    </w:tabs>
                    <w:spacing w:line="240" w:lineRule="auto"/>
                    <w:jc w:val="center"/>
                    <w:rPr>
                      <w:rFonts w:eastAsiaTheme="minorEastAsia"/>
                      <w:sz w:val="21"/>
                      <w:szCs w:val="21"/>
                    </w:rPr>
                  </w:pPr>
                  <w:r>
                    <w:rPr>
                      <w:rFonts w:hint="eastAsia" w:eastAsiaTheme="minorEastAsia"/>
                      <w:sz w:val="21"/>
                      <w:szCs w:val="21"/>
                    </w:rPr>
                    <w:t>/</w:t>
                  </w:r>
                </w:p>
              </w:tc>
              <w:tc>
                <w:tcPr>
                  <w:tcW w:w="1250" w:type="pct"/>
                  <w:vAlign w:val="center"/>
                </w:tcPr>
                <w:p>
                  <w:pPr>
                    <w:pStyle w:val="31"/>
                    <w:widowControl w:val="0"/>
                    <w:snapToGrid/>
                    <w:rPr>
                      <w:rFonts w:eastAsiaTheme="minorEastAsia"/>
                      <w:b w:val="0"/>
                      <w:szCs w:val="21"/>
                    </w:rPr>
                  </w:pPr>
                  <w:r>
                    <w:rPr>
                      <w:rFonts w:hint="eastAsia" w:eastAsiaTheme="minorEastAsia"/>
                      <w:b w:val="0"/>
                      <w:szCs w:val="21"/>
                    </w:rPr>
                    <w:t>1</w:t>
                  </w:r>
                  <w:r>
                    <w:rPr>
                      <w:rFonts w:eastAsiaTheme="minorEastAsia"/>
                      <w:b w:val="0"/>
                      <w:szCs w:val="21"/>
                    </w:rPr>
                    <w:t>套</w:t>
                  </w:r>
                </w:p>
              </w:tc>
            </w:tr>
          </w:tbl>
          <w:p>
            <w:pPr>
              <w:ind w:firstLine="480" w:firstLineChars="200"/>
              <w:rPr>
                <w:rStyle w:val="30"/>
                <w:bCs/>
                <w:szCs w:val="22"/>
              </w:rPr>
            </w:pPr>
            <w:r>
              <w:rPr>
                <w:rStyle w:val="30"/>
                <w:bCs/>
                <w:szCs w:val="22"/>
              </w:rPr>
              <w:t>5、劳动定员及工作制度</w:t>
            </w:r>
          </w:p>
          <w:p>
            <w:pPr>
              <w:ind w:firstLine="480" w:firstLineChars="200"/>
              <w:rPr>
                <w:rStyle w:val="30"/>
                <w:b/>
                <w:bCs/>
                <w:szCs w:val="22"/>
              </w:rPr>
            </w:pPr>
            <w:r>
              <w:t>本项目建成运营后劳动定员6人</w:t>
            </w:r>
            <w:r>
              <w:rPr>
                <w:rFonts w:hint="eastAsia"/>
              </w:rPr>
              <w:t>，</w:t>
            </w:r>
            <w:r>
              <w:t>均在厂区食宿</w:t>
            </w:r>
            <w:r>
              <w:rPr>
                <w:rFonts w:hint="eastAsia"/>
              </w:rPr>
              <w:t>；</w:t>
            </w:r>
            <w:r>
              <w:t>年工作260天，一班工作</w:t>
            </w:r>
            <w:r>
              <w:rPr>
                <w:rFonts w:hint="eastAsia"/>
              </w:rPr>
              <w:t>制</w:t>
            </w:r>
            <w:r>
              <w:t>，工作时间10小时</w:t>
            </w:r>
            <w:r>
              <w:rPr>
                <w:rFonts w:hint="eastAsia"/>
              </w:rPr>
              <w:t>。</w:t>
            </w:r>
          </w:p>
          <w:p>
            <w:pPr>
              <w:ind w:left="480" w:leftChars="200"/>
              <w:rPr>
                <w:rStyle w:val="30"/>
                <w:bCs/>
                <w:szCs w:val="22"/>
              </w:rPr>
            </w:pPr>
            <w:r>
              <w:rPr>
                <w:rStyle w:val="30"/>
                <w:rFonts w:hint="eastAsia"/>
                <w:bCs/>
                <w:szCs w:val="22"/>
              </w:rPr>
              <w:t>五、</w:t>
            </w:r>
            <w:r>
              <w:rPr>
                <w:rStyle w:val="30"/>
                <w:bCs/>
                <w:szCs w:val="22"/>
              </w:rPr>
              <w:t>公用工程</w:t>
            </w:r>
          </w:p>
          <w:p>
            <w:pPr>
              <w:ind w:firstLine="480"/>
            </w:pPr>
            <w:r>
              <w:rPr>
                <w:rFonts w:hint="eastAsia"/>
              </w:rPr>
              <w:t>1、</w:t>
            </w:r>
            <w:r>
              <w:t>供电工程</w:t>
            </w:r>
          </w:p>
          <w:p>
            <w:pPr>
              <w:pStyle w:val="86"/>
              <w:ind w:firstLine="480"/>
            </w:pPr>
            <w:r>
              <w:rPr>
                <w:szCs w:val="22"/>
              </w:rPr>
              <w:t>本项目</w:t>
            </w:r>
            <w:r>
              <w:rPr>
                <w:rFonts w:hint="eastAsia"/>
                <w:szCs w:val="22"/>
              </w:rPr>
              <w:t>设有</w:t>
            </w:r>
            <w:r>
              <w:rPr>
                <w:rFonts w:hint="eastAsia"/>
                <w:szCs w:val="21"/>
              </w:rPr>
              <w:t>配电室，采用10KV双回路专线供电方式，由三坪村电力缆线接入</w:t>
            </w:r>
            <w:r>
              <w:rPr>
                <w:szCs w:val="22"/>
              </w:rPr>
              <w:t>。</w:t>
            </w:r>
          </w:p>
          <w:p>
            <w:pPr>
              <w:ind w:firstLine="480"/>
            </w:pPr>
            <w:r>
              <w:rPr>
                <w:rFonts w:hint="eastAsia"/>
              </w:rPr>
              <w:t>2、</w:t>
            </w:r>
            <w:r>
              <w:t>给水工程</w:t>
            </w:r>
          </w:p>
          <w:p>
            <w:pPr>
              <w:pStyle w:val="86"/>
              <w:ind w:firstLine="480"/>
              <w:rPr>
                <w:szCs w:val="24"/>
              </w:rPr>
            </w:pPr>
            <w:r>
              <w:rPr>
                <w:szCs w:val="24"/>
              </w:rPr>
              <w:t>本项目运营期用水主要为</w:t>
            </w:r>
            <w:r>
              <w:rPr>
                <w:rFonts w:hint="eastAsia"/>
                <w:szCs w:val="24"/>
              </w:rPr>
              <w:t>员工</w:t>
            </w:r>
            <w:r>
              <w:rPr>
                <w:szCs w:val="24"/>
              </w:rPr>
              <w:t>生活用水</w:t>
            </w:r>
            <w:r>
              <w:rPr>
                <w:rFonts w:hint="eastAsia"/>
                <w:szCs w:val="24"/>
              </w:rPr>
              <w:t>、洗砂用水、雾化喷淋用水、运输车辆清洗用水，均</w:t>
            </w:r>
            <w:r>
              <w:rPr>
                <w:rFonts w:hint="eastAsia"/>
                <w:szCs w:val="21"/>
              </w:rPr>
              <w:t>来源于当地山泉水。</w:t>
            </w:r>
          </w:p>
          <w:p>
            <w:pPr>
              <w:ind w:firstLine="480" w:firstLineChars="200"/>
              <w:rPr>
                <w:rFonts w:ascii="宋体" w:hAnsi="宋体" w:cs="宋体"/>
              </w:rPr>
            </w:pPr>
            <w:r>
              <w:rPr>
                <w:rFonts w:hint="eastAsia" w:ascii="宋体" w:hAnsi="宋体" w:cs="宋体"/>
              </w:rPr>
              <w:t>（1）生活用水</w:t>
            </w:r>
          </w:p>
          <w:p>
            <w:pPr>
              <w:ind w:firstLine="480" w:firstLineChars="200"/>
            </w:pPr>
            <w:r>
              <w:t>本项目劳动定员6人，</w:t>
            </w:r>
            <w:r>
              <w:rPr>
                <w:rFonts w:hint="eastAsia"/>
              </w:rPr>
              <w:t>均在厂区</w:t>
            </w:r>
            <w:r>
              <w:t>食宿</w:t>
            </w:r>
            <w:r>
              <w:rPr>
                <w:rFonts w:hint="eastAsia"/>
              </w:rPr>
              <w:t>，</w:t>
            </w:r>
            <w:r>
              <w:t>年工作260天。根据《行业用水定额》（陕西省地方标准 DB 61/T 943-2014）</w:t>
            </w:r>
            <w:r>
              <w:rPr>
                <w:rFonts w:hint="eastAsia"/>
              </w:rPr>
              <w:t>，员工</w:t>
            </w:r>
            <w:r>
              <w:t>生活用水按</w:t>
            </w:r>
            <w:r>
              <w:rPr>
                <w:rFonts w:hint="eastAsia"/>
              </w:rPr>
              <w:t>8</w:t>
            </w:r>
            <w:r>
              <w:t>0L/（人·d）计</w:t>
            </w:r>
            <w:r>
              <w:rPr>
                <w:rFonts w:hint="eastAsia"/>
              </w:rPr>
              <w:t>，</w:t>
            </w:r>
            <w:r>
              <w:t>则</w:t>
            </w:r>
            <w:r>
              <w:rPr>
                <w:rFonts w:hint="eastAsia"/>
              </w:rPr>
              <w:t>本项目</w:t>
            </w:r>
            <w:r>
              <w:t>生活用水量为</w:t>
            </w:r>
            <w:r>
              <w:rPr>
                <w:rFonts w:hint="eastAsia"/>
              </w:rPr>
              <w:t>0</w:t>
            </w:r>
            <w:r>
              <w:t>.48m</w:t>
            </w:r>
            <w:r>
              <w:rPr>
                <w:vertAlign w:val="superscript"/>
              </w:rPr>
              <w:t>3</w:t>
            </w:r>
            <w:r>
              <w:t>/d</w:t>
            </w:r>
            <w:r>
              <w:rPr>
                <w:rFonts w:hint="eastAsia"/>
              </w:rPr>
              <w:t>，1</w:t>
            </w:r>
            <w:r>
              <w:t>24.8m</w:t>
            </w:r>
            <w:r>
              <w:rPr>
                <w:vertAlign w:val="superscript"/>
              </w:rPr>
              <w:t>3</w:t>
            </w:r>
            <w:r>
              <w:t>/a</w:t>
            </w:r>
            <w:r>
              <w:rPr>
                <w:rFonts w:hint="eastAsia"/>
              </w:rPr>
              <w:t>。</w:t>
            </w:r>
            <w:r>
              <w:t>污水排放系数取0.8，则生活污水排放量为0.384m</w:t>
            </w:r>
            <w:r>
              <w:rPr>
                <w:vertAlign w:val="superscript"/>
              </w:rPr>
              <w:t>3</w:t>
            </w:r>
            <w:r>
              <w:t>/d</w:t>
            </w:r>
            <w:r>
              <w:rPr>
                <w:rFonts w:hint="eastAsia"/>
              </w:rPr>
              <w:t>，</w:t>
            </w:r>
            <w:r>
              <w:t>99.84m</w:t>
            </w:r>
            <w:r>
              <w:rPr>
                <w:vertAlign w:val="superscript"/>
              </w:rPr>
              <w:t>3</w:t>
            </w:r>
            <w:r>
              <w:t>/a。</w:t>
            </w:r>
          </w:p>
          <w:p>
            <w:pPr>
              <w:ind w:firstLine="480" w:firstLineChars="200"/>
            </w:pPr>
            <w:r>
              <w:rPr>
                <w:rFonts w:hint="eastAsia" w:ascii="宋体" w:hAnsi="宋体" w:cs="宋体"/>
              </w:rPr>
              <w:t>（2）洗砂用水</w:t>
            </w:r>
          </w:p>
          <w:p>
            <w:pPr>
              <w:ind w:firstLine="480" w:firstLineChars="200"/>
            </w:pPr>
            <w:r>
              <w:t>本项目为保证产品质量</w:t>
            </w:r>
            <w:r>
              <w:rPr>
                <w:rFonts w:hint="eastAsia"/>
              </w:rPr>
              <w:t>，</w:t>
            </w:r>
            <w:r>
              <w:t>生产过程中需破碎后的石料进行清洗</w:t>
            </w:r>
            <w:r>
              <w:rPr>
                <w:rFonts w:hint="eastAsia"/>
              </w:rPr>
              <w:t>，</w:t>
            </w:r>
            <w:r>
              <w:t>去除污泥</w:t>
            </w:r>
            <w:r>
              <w:rPr>
                <w:rFonts w:hint="eastAsia"/>
              </w:rPr>
              <w:t>。根据企业提供的资料，洗砂用水约0</w:t>
            </w:r>
            <w:r>
              <w:t>.1</w:t>
            </w:r>
            <w:r>
              <w:rPr>
                <w:rFonts w:hint="eastAsia"/>
              </w:rPr>
              <w:t>t</w:t>
            </w:r>
            <w:r>
              <w:t>/</w:t>
            </w:r>
            <w:r>
              <w:rPr>
                <w:rFonts w:hint="eastAsia"/>
              </w:rPr>
              <w:t>t砂，</w:t>
            </w:r>
            <w:r>
              <w:t>项目</w:t>
            </w:r>
            <w:r>
              <w:rPr>
                <w:rFonts w:hint="eastAsia"/>
              </w:rPr>
              <w:t>平均</w:t>
            </w:r>
            <w:r>
              <w:t>每天洗砂量约为115.4t</w:t>
            </w:r>
            <w:r>
              <w:rPr>
                <w:rFonts w:hint="eastAsia"/>
              </w:rPr>
              <w:t>，</w:t>
            </w:r>
            <w:r>
              <w:t>用水量为11.54m</w:t>
            </w:r>
            <w:r>
              <w:rPr>
                <w:vertAlign w:val="superscript"/>
              </w:rPr>
              <w:t>3</w:t>
            </w:r>
            <w:r>
              <w:t>/d</w:t>
            </w:r>
            <w:r>
              <w:rPr>
                <w:rFonts w:hint="eastAsia"/>
              </w:rPr>
              <w:t>，</w:t>
            </w:r>
            <w:r>
              <w:t>3000m</w:t>
            </w:r>
            <w:r>
              <w:rPr>
                <w:vertAlign w:val="superscript"/>
              </w:rPr>
              <w:t>3</w:t>
            </w:r>
            <w:r>
              <w:t>/a</w:t>
            </w:r>
            <w:r>
              <w:rPr>
                <w:rFonts w:hint="eastAsia"/>
              </w:rPr>
              <w:t>。</w:t>
            </w:r>
            <w:r>
              <w:t>洗砂用水损耗率为</w:t>
            </w:r>
            <w:r>
              <w:rPr>
                <w:rFonts w:hint="eastAsia"/>
              </w:rPr>
              <w:t>2</w:t>
            </w:r>
            <w:r>
              <w:t>0</w:t>
            </w:r>
            <w:r>
              <w:rPr>
                <w:rFonts w:hint="eastAsia"/>
              </w:rPr>
              <w:t>%，1</w:t>
            </w:r>
            <w:r>
              <w:t>8</w:t>
            </w:r>
            <w:r>
              <w:rPr>
                <w:rFonts w:hint="eastAsia"/>
              </w:rPr>
              <w:t>%</w:t>
            </w:r>
            <w:r>
              <w:t>进入产品</w:t>
            </w:r>
            <w:r>
              <w:rPr>
                <w:rFonts w:hint="eastAsia"/>
              </w:rPr>
              <w:t>，</w:t>
            </w:r>
            <w:r>
              <w:t>另外2</w:t>
            </w:r>
            <w:r>
              <w:rPr>
                <w:rFonts w:hint="eastAsia"/>
              </w:rPr>
              <w:t>%</w:t>
            </w:r>
            <w:r>
              <w:t>蒸发损耗</w:t>
            </w:r>
            <w:r>
              <w:rPr>
                <w:rFonts w:hint="eastAsia"/>
              </w:rPr>
              <w:t>，其余8</w:t>
            </w:r>
            <w:r>
              <w:t>0</w:t>
            </w:r>
            <w:r>
              <w:rPr>
                <w:rFonts w:hint="eastAsia"/>
              </w:rPr>
              <w:t>%排入</w:t>
            </w:r>
            <w:r>
              <w:t>三级沉淀池处理后</w:t>
            </w:r>
            <w:r>
              <w:rPr>
                <w:rFonts w:hint="eastAsia"/>
              </w:rPr>
              <w:t>，循环使用，</w:t>
            </w:r>
            <w:r>
              <w:t>不外排</w:t>
            </w:r>
            <w:r>
              <w:rPr>
                <w:rFonts w:hint="eastAsia"/>
              </w:rPr>
              <w:t>，</w:t>
            </w:r>
            <w:r>
              <w:t>则项目循环水量为9.23m</w:t>
            </w:r>
            <w:r>
              <w:rPr>
                <w:vertAlign w:val="superscript"/>
              </w:rPr>
              <w:t>3</w:t>
            </w:r>
            <w:r>
              <w:t>/d</w:t>
            </w:r>
            <w:r>
              <w:rPr>
                <w:rFonts w:hint="eastAsia"/>
              </w:rPr>
              <w:t>，</w:t>
            </w:r>
            <w:r>
              <w:t>2400m</w:t>
            </w:r>
            <w:r>
              <w:rPr>
                <w:vertAlign w:val="superscript"/>
              </w:rPr>
              <w:t>3</w:t>
            </w:r>
            <w:r>
              <w:t>/a</w:t>
            </w:r>
            <w:r>
              <w:rPr>
                <w:rFonts w:hint="eastAsia"/>
              </w:rPr>
              <w:t>，</w:t>
            </w:r>
            <w:r>
              <w:t>需补充水量2.31m</w:t>
            </w:r>
            <w:r>
              <w:rPr>
                <w:vertAlign w:val="superscript"/>
              </w:rPr>
              <w:t>3</w:t>
            </w:r>
            <w:r>
              <w:t>/d</w:t>
            </w:r>
            <w:r>
              <w:rPr>
                <w:rFonts w:hint="eastAsia"/>
              </w:rPr>
              <w:t>，</w:t>
            </w:r>
            <w:r>
              <w:t>600m</w:t>
            </w:r>
            <w:r>
              <w:rPr>
                <w:vertAlign w:val="superscript"/>
              </w:rPr>
              <w:t>3</w:t>
            </w:r>
            <w:r>
              <w:t>/a</w:t>
            </w:r>
            <w:r>
              <w:rPr>
                <w:rFonts w:hint="eastAsia"/>
              </w:rPr>
              <w:t>。</w:t>
            </w:r>
          </w:p>
          <w:p>
            <w:pPr>
              <w:ind w:firstLine="480" w:firstLineChars="200"/>
            </w:pPr>
            <w:r>
              <w:rPr>
                <w:rFonts w:hint="eastAsia" w:ascii="宋体" w:hAnsi="宋体"/>
              </w:rPr>
              <w:t>（3）雾化喷淋用水</w:t>
            </w:r>
          </w:p>
          <w:p>
            <w:pPr>
              <w:ind w:firstLine="480" w:firstLineChars="200"/>
              <w:rPr>
                <w:color w:val="000000"/>
              </w:rPr>
            </w:pPr>
            <w:r>
              <w:rPr>
                <w:rFonts w:hint="eastAsia"/>
                <w:highlight w:val="green"/>
              </w:rPr>
              <w:t>本项目配备雾化喷淋设施，在滚筛到下料斗的传送带上空安装2个喷头、制砂机进出料口分别安装1个喷头，成品区厂房顶部安装</w:t>
            </w:r>
            <w:r>
              <w:rPr>
                <w:highlight w:val="green"/>
              </w:rPr>
              <w:t>8个喷头</w:t>
            </w:r>
            <w:r>
              <w:rPr>
                <w:rFonts w:hint="eastAsia"/>
                <w:highlight w:val="green"/>
              </w:rPr>
              <w:t>、</w:t>
            </w:r>
            <w:r>
              <w:rPr>
                <w:rFonts w:hint="eastAsia"/>
                <w:bCs/>
                <w:color w:val="000000"/>
                <w:szCs w:val="22"/>
                <w:highlight w:val="green"/>
              </w:rPr>
              <w:t>原料堆场装卸区域及铲车运送通道上分别安装</w:t>
            </w:r>
            <w:r>
              <w:rPr>
                <w:bCs/>
                <w:color w:val="000000"/>
                <w:szCs w:val="22"/>
                <w:highlight w:val="green"/>
              </w:rPr>
              <w:t>4个喷头</w:t>
            </w:r>
            <w:r>
              <w:rPr>
                <w:rFonts w:hint="eastAsia"/>
                <w:bCs/>
                <w:color w:val="000000"/>
                <w:szCs w:val="22"/>
                <w:highlight w:val="green"/>
              </w:rPr>
              <w:t>，</w:t>
            </w:r>
            <w:r>
              <w:rPr>
                <w:rFonts w:hint="eastAsia"/>
                <w:highlight w:val="green"/>
              </w:rPr>
              <w:t>厂区运输通道上安装1</w:t>
            </w:r>
            <w:r>
              <w:rPr>
                <w:highlight w:val="green"/>
              </w:rPr>
              <w:t>0个</w:t>
            </w:r>
            <w:r>
              <w:rPr>
                <w:rFonts w:hint="eastAsia"/>
                <w:highlight w:val="green"/>
              </w:rPr>
              <w:t>喷头，共安装</w:t>
            </w:r>
            <w:r>
              <w:rPr>
                <w:highlight w:val="green"/>
              </w:rPr>
              <w:t>30个</w:t>
            </w:r>
            <w:r>
              <w:rPr>
                <w:bCs/>
                <w:color w:val="000000"/>
                <w:highlight w:val="green"/>
              </w:rPr>
              <w:t>雾化喷头</w:t>
            </w:r>
            <w:r>
              <w:rPr>
                <w:rFonts w:hint="eastAsia"/>
                <w:highlight w:val="green"/>
              </w:rPr>
              <w:t>。经类比同类项目，单个喷头喷雾所需水量约为0.72L/min，传送带、制砂机及铲车运送通道的配套喷头（共</w:t>
            </w:r>
            <w:r>
              <w:rPr>
                <w:highlight w:val="green"/>
              </w:rPr>
              <w:t>8</w:t>
            </w:r>
            <w:r>
              <w:rPr>
                <w:rFonts w:hint="eastAsia"/>
                <w:highlight w:val="green"/>
              </w:rPr>
              <w:t>个）每天运行时间为8h，成品区、原料堆场装卸区及厂区汽车运输通道的配套喷头（共2</w:t>
            </w:r>
            <w:r>
              <w:rPr>
                <w:highlight w:val="green"/>
              </w:rPr>
              <w:t>2个</w:t>
            </w:r>
            <w:r>
              <w:rPr>
                <w:rFonts w:hint="eastAsia"/>
                <w:highlight w:val="green"/>
              </w:rPr>
              <w:t>）平均每天运行时间为</w:t>
            </w:r>
            <w:r>
              <w:rPr>
                <w:highlight w:val="green"/>
              </w:rPr>
              <w:t>2h</w:t>
            </w:r>
            <w:r>
              <w:rPr>
                <w:rFonts w:hint="eastAsia"/>
                <w:highlight w:val="green"/>
              </w:rPr>
              <w:t>，则雾化喷淋用水量为</w:t>
            </w:r>
            <w:r>
              <w:rPr>
                <w:color w:val="000000"/>
                <w:highlight w:val="green"/>
              </w:rPr>
              <w:t>4.66m</w:t>
            </w:r>
            <w:r>
              <w:rPr>
                <w:color w:val="000000"/>
                <w:highlight w:val="green"/>
                <w:vertAlign w:val="superscript"/>
              </w:rPr>
              <w:t>3</w:t>
            </w:r>
            <w:r>
              <w:rPr>
                <w:color w:val="000000"/>
                <w:highlight w:val="green"/>
              </w:rPr>
              <w:t>/d、1211.6m</w:t>
            </w:r>
            <w:r>
              <w:rPr>
                <w:color w:val="000000"/>
                <w:highlight w:val="green"/>
                <w:vertAlign w:val="superscript"/>
              </w:rPr>
              <w:t>3</w:t>
            </w:r>
            <w:r>
              <w:rPr>
                <w:color w:val="000000"/>
                <w:highlight w:val="green"/>
              </w:rPr>
              <w:t>/a。</w:t>
            </w:r>
          </w:p>
          <w:p>
            <w:pPr>
              <w:ind w:firstLine="480" w:firstLineChars="200"/>
              <w:rPr>
                <w:rFonts w:ascii="宋体" w:hAnsi="宋体" w:cs="宋体"/>
                <w:color w:val="000000"/>
                <w:kern w:val="0"/>
                <w:lang w:bidi="ar"/>
              </w:rPr>
            </w:pPr>
            <w:r>
              <w:rPr>
                <w:rFonts w:hint="eastAsia" w:ascii="宋体" w:hAnsi="宋体" w:cs="宋体"/>
                <w:color w:val="000000"/>
                <w:kern w:val="0"/>
                <w:lang w:bidi="ar"/>
              </w:rPr>
              <w:t>雾化喷头出水为雾状，不会凝结成水滴，该部分水在使用过程中损耗，</w:t>
            </w:r>
            <w:r>
              <w:t>80</w:t>
            </w:r>
            <w:r>
              <w:rPr>
                <w:rFonts w:hint="eastAsia"/>
              </w:rPr>
              <w:t>%</w:t>
            </w:r>
            <w:r>
              <w:t>进入产品</w:t>
            </w:r>
            <w:r>
              <w:rPr>
                <w:rFonts w:hint="eastAsia"/>
              </w:rPr>
              <w:t>，</w:t>
            </w:r>
            <w:r>
              <w:t>另外20</w:t>
            </w:r>
            <w:r>
              <w:rPr>
                <w:rFonts w:hint="eastAsia"/>
              </w:rPr>
              <w:t>%</w:t>
            </w:r>
            <w:r>
              <w:t>蒸发损耗</w:t>
            </w:r>
            <w:r>
              <w:rPr>
                <w:rFonts w:hint="eastAsia"/>
              </w:rPr>
              <w:t>，</w:t>
            </w:r>
            <w:r>
              <w:rPr>
                <w:rFonts w:hint="eastAsia" w:ascii="宋体" w:hAnsi="宋体" w:cs="宋体"/>
                <w:color w:val="000000"/>
                <w:kern w:val="0"/>
                <w:lang w:bidi="ar"/>
              </w:rPr>
              <w:t>不会产生废水。</w:t>
            </w:r>
          </w:p>
          <w:p>
            <w:pPr>
              <w:ind w:firstLine="480" w:firstLineChars="200"/>
            </w:pPr>
            <w:r>
              <w:rPr>
                <w:rFonts w:hint="eastAsia" w:ascii="宋体" w:hAnsi="宋体"/>
              </w:rPr>
              <w:t>（4）</w:t>
            </w:r>
            <w:r>
              <w:t>运输车辆冲洗用水</w:t>
            </w:r>
          </w:p>
          <w:p>
            <w:pPr>
              <w:ind w:firstLine="480" w:firstLineChars="200"/>
            </w:pPr>
            <w:r>
              <w:t>根据建设单位提供的资料，平均每天出入厂区的运输车辆车次约为5次，为防止运输扬尘污染沿线环境，建设单位配备洗车设备（高压水枪、毛刷等）和沉淀池，对出入厂区的运输车辆进行清洗，减少运输扬尘产生。参考《建筑给水排水标准》（GB50015-2009）中汽车冲洗用水定额，载重汽车高压水枪冲洗用水量为80～120L/辆·次，本次评价取120L/辆·次，经计算车辆冲洗用水量为0.6m</w:t>
            </w:r>
            <w:r>
              <w:rPr>
                <w:vertAlign w:val="superscript"/>
              </w:rPr>
              <w:t>3</w:t>
            </w:r>
            <w:r>
              <w:t>/d，156m</w:t>
            </w:r>
            <w:r>
              <w:rPr>
                <w:vertAlign w:val="superscript"/>
              </w:rPr>
              <w:t>3</w:t>
            </w:r>
            <w:r>
              <w:t>/a</w:t>
            </w:r>
            <w:r>
              <w:rPr>
                <w:rFonts w:hint="eastAsia"/>
              </w:rPr>
              <w:t>。</w:t>
            </w:r>
            <w:r>
              <w:t>废水量按用水量的90%计，则车辆冲洗废水产生量为0.54m</w:t>
            </w:r>
            <w:r>
              <w:rPr>
                <w:vertAlign w:val="superscript"/>
              </w:rPr>
              <w:t>3</w:t>
            </w:r>
            <w:r>
              <w:t>/d</w:t>
            </w:r>
            <w:r>
              <w:rPr>
                <w:rFonts w:hint="eastAsia"/>
              </w:rPr>
              <w:t>、</w:t>
            </w:r>
            <w:r>
              <w:rPr>
                <w:color w:val="000000"/>
              </w:rPr>
              <w:t>140.4m</w:t>
            </w:r>
            <w:r>
              <w:rPr>
                <w:color w:val="000000"/>
                <w:vertAlign w:val="superscript"/>
              </w:rPr>
              <w:t>3</w:t>
            </w:r>
            <w:r>
              <w:rPr>
                <w:color w:val="000000"/>
              </w:rPr>
              <w:t>/a</w:t>
            </w:r>
            <w:r>
              <w:rPr>
                <w:rFonts w:hint="eastAsia"/>
                <w:color w:val="000000"/>
              </w:rPr>
              <w:t>，</w:t>
            </w:r>
            <w:r>
              <w:t>经沉淀处理后，补充新鲜水，循环利用不外排</w:t>
            </w:r>
            <w:r>
              <w:rPr>
                <w:rFonts w:hint="eastAsia"/>
              </w:rPr>
              <w:t>，</w:t>
            </w:r>
            <w:r>
              <w:t>则项目循环水量为0.54m</w:t>
            </w:r>
            <w:r>
              <w:rPr>
                <w:vertAlign w:val="superscript"/>
              </w:rPr>
              <w:t>3</w:t>
            </w:r>
            <w:r>
              <w:t>/d</w:t>
            </w:r>
            <w:r>
              <w:rPr>
                <w:rFonts w:hint="eastAsia"/>
              </w:rPr>
              <w:t>，8</w:t>
            </w:r>
            <w:r>
              <w:t>32m</w:t>
            </w:r>
            <w:r>
              <w:rPr>
                <w:vertAlign w:val="superscript"/>
              </w:rPr>
              <w:t>3</w:t>
            </w:r>
            <w:r>
              <w:t>/a</w:t>
            </w:r>
            <w:r>
              <w:rPr>
                <w:rFonts w:hint="eastAsia"/>
              </w:rPr>
              <w:t>，</w:t>
            </w:r>
            <w:r>
              <w:t>需补充水量0.06m</w:t>
            </w:r>
            <w:r>
              <w:rPr>
                <w:vertAlign w:val="superscript"/>
              </w:rPr>
              <w:t>3</w:t>
            </w:r>
            <w:r>
              <w:t>/d</w:t>
            </w:r>
            <w:r>
              <w:rPr>
                <w:rFonts w:hint="eastAsia"/>
              </w:rPr>
              <w:t>，</w:t>
            </w:r>
            <w:r>
              <w:t>15.6m</w:t>
            </w:r>
            <w:r>
              <w:rPr>
                <w:vertAlign w:val="superscript"/>
              </w:rPr>
              <w:t>3</w:t>
            </w:r>
            <w:r>
              <w:t>/a</w:t>
            </w:r>
            <w:r>
              <w:rPr>
                <w:rFonts w:hint="eastAsia"/>
              </w:rPr>
              <w:t>。</w:t>
            </w:r>
          </w:p>
          <w:p>
            <w:pPr>
              <w:ind w:firstLine="480" w:firstLineChars="200"/>
            </w:pPr>
            <w:r>
              <w:t>（5）排水工程</w:t>
            </w:r>
          </w:p>
          <w:p>
            <w:pPr>
              <w:ind w:firstLine="480" w:firstLineChars="200"/>
            </w:pPr>
            <w:r>
              <w:t>排水系统采用雨、污分流制排水方式，雨水经厂区周边</w:t>
            </w:r>
            <w:r>
              <w:rPr>
                <w:szCs w:val="21"/>
              </w:rPr>
              <w:t>截排水沟排放</w:t>
            </w:r>
            <w:r>
              <w:t>；</w:t>
            </w:r>
            <w:r>
              <w:rPr>
                <w:rFonts w:hint="eastAsia"/>
              </w:rPr>
              <w:t>洗砂废水、运输车辆清洗废水</w:t>
            </w:r>
            <w:r>
              <w:t>进入沉淀池，经沉淀处理后</w:t>
            </w:r>
            <w:r>
              <w:rPr>
                <w:rFonts w:hint="eastAsia"/>
              </w:rPr>
              <w:t>回用于</w:t>
            </w:r>
            <w:r>
              <w:t>生产；喷淋废水自然损耗，部分进入产品；生活污水</w:t>
            </w:r>
            <w:r>
              <w:rPr>
                <w:rFonts w:hint="eastAsia"/>
              </w:rPr>
              <w:t>经</w:t>
            </w:r>
            <w:r>
              <w:t>厂区化粪池处理后作为农肥用于周边林地，不外排。</w:t>
            </w:r>
          </w:p>
          <w:p>
            <w:pPr>
              <w:ind w:firstLine="480"/>
            </w:pPr>
            <w:r>
              <w:t>经计算</w:t>
            </w:r>
            <w:r>
              <w:rPr>
                <w:rFonts w:hint="eastAsia"/>
              </w:rPr>
              <w:t>，</w:t>
            </w:r>
            <w:r>
              <w:t>本项目用排水情况详见表1</w:t>
            </w:r>
            <w:r>
              <w:rPr>
                <w:rFonts w:hint="eastAsia"/>
              </w:rPr>
              <w:t>-</w:t>
            </w:r>
            <w:r>
              <w:t>6</w:t>
            </w:r>
            <w:r>
              <w:rPr>
                <w:rFonts w:hint="eastAsia"/>
              </w:rPr>
              <w:t>，</w:t>
            </w:r>
            <w:r>
              <w:t>。</w:t>
            </w:r>
          </w:p>
          <w:p>
            <w:pPr>
              <w:pStyle w:val="10"/>
              <w:numPr>
                <w:ilvl w:val="0"/>
                <w:numId w:val="2"/>
              </w:numPr>
              <w:spacing w:line="240" w:lineRule="auto"/>
              <w:ind w:left="0" w:firstLine="0" w:firstLineChars="0"/>
              <w:jc w:val="center"/>
              <w:rPr>
                <w:b/>
                <w:sz w:val="21"/>
              </w:rPr>
            </w:pPr>
            <w:r>
              <w:rPr>
                <w:rFonts w:hint="eastAsia"/>
                <w:b/>
                <w:sz w:val="21"/>
              </w:rPr>
              <w:t>本项目用排水情况</w:t>
            </w:r>
          </w:p>
          <w:tbl>
            <w:tblPr>
              <w:tblStyle w:val="24"/>
              <w:tblW w:w="8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1532"/>
              <w:gridCol w:w="1604"/>
              <w:gridCol w:w="1096"/>
              <w:gridCol w:w="1096"/>
              <w:gridCol w:w="1096"/>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746" w:type="dxa"/>
                  <w:vAlign w:val="center"/>
                </w:tcPr>
                <w:p>
                  <w:pPr>
                    <w:spacing w:line="280" w:lineRule="exact"/>
                    <w:jc w:val="center"/>
                    <w:rPr>
                      <w:color w:val="000000"/>
                      <w:sz w:val="21"/>
                      <w:szCs w:val="21"/>
                    </w:rPr>
                  </w:pPr>
                  <w:r>
                    <w:rPr>
                      <w:color w:val="000000"/>
                      <w:sz w:val="21"/>
                      <w:szCs w:val="21"/>
                    </w:rPr>
                    <w:t>用水种类</w:t>
                  </w:r>
                </w:p>
              </w:tc>
              <w:tc>
                <w:tcPr>
                  <w:tcW w:w="1532" w:type="dxa"/>
                  <w:vAlign w:val="center"/>
                </w:tcPr>
                <w:p>
                  <w:pPr>
                    <w:spacing w:line="280" w:lineRule="exact"/>
                    <w:jc w:val="center"/>
                    <w:rPr>
                      <w:color w:val="000000"/>
                      <w:sz w:val="21"/>
                      <w:szCs w:val="21"/>
                    </w:rPr>
                  </w:pPr>
                  <w:r>
                    <w:rPr>
                      <w:color w:val="000000"/>
                      <w:sz w:val="21"/>
                      <w:szCs w:val="21"/>
                    </w:rPr>
                    <w:t>用水指标</w:t>
                  </w:r>
                </w:p>
              </w:tc>
              <w:tc>
                <w:tcPr>
                  <w:tcW w:w="1604" w:type="dxa"/>
                  <w:vAlign w:val="center"/>
                </w:tcPr>
                <w:p>
                  <w:pPr>
                    <w:spacing w:line="280" w:lineRule="exact"/>
                    <w:jc w:val="center"/>
                    <w:rPr>
                      <w:color w:val="000000"/>
                      <w:sz w:val="21"/>
                      <w:szCs w:val="21"/>
                    </w:rPr>
                  </w:pPr>
                  <w:r>
                    <w:rPr>
                      <w:color w:val="000000"/>
                      <w:sz w:val="21"/>
                      <w:szCs w:val="21"/>
                    </w:rPr>
                    <w:t>用水要求</w:t>
                  </w:r>
                </w:p>
              </w:tc>
              <w:tc>
                <w:tcPr>
                  <w:tcW w:w="1096" w:type="dxa"/>
                  <w:vAlign w:val="center"/>
                </w:tcPr>
                <w:p>
                  <w:pPr>
                    <w:spacing w:line="280" w:lineRule="exact"/>
                    <w:jc w:val="center"/>
                    <w:rPr>
                      <w:color w:val="000000"/>
                      <w:sz w:val="21"/>
                      <w:szCs w:val="21"/>
                    </w:rPr>
                  </w:pPr>
                  <w:r>
                    <w:rPr>
                      <w:color w:val="000000"/>
                      <w:sz w:val="21"/>
                      <w:szCs w:val="21"/>
                    </w:rPr>
                    <w:t>用水量</w:t>
                  </w:r>
                </w:p>
                <w:p>
                  <w:pPr>
                    <w:spacing w:line="280" w:lineRule="exact"/>
                    <w:jc w:val="center"/>
                    <w:rPr>
                      <w:color w:val="000000"/>
                      <w:sz w:val="21"/>
                      <w:szCs w:val="21"/>
                    </w:rPr>
                  </w:pPr>
                  <w:r>
                    <w:rPr>
                      <w:color w:val="000000"/>
                      <w:sz w:val="21"/>
                      <w:szCs w:val="21"/>
                    </w:rPr>
                    <w:t>（m</w:t>
                  </w:r>
                  <w:r>
                    <w:rPr>
                      <w:color w:val="000000"/>
                      <w:sz w:val="21"/>
                      <w:szCs w:val="21"/>
                      <w:vertAlign w:val="superscript"/>
                    </w:rPr>
                    <w:t>3</w:t>
                  </w:r>
                  <w:r>
                    <w:rPr>
                      <w:color w:val="000000"/>
                      <w:sz w:val="21"/>
                      <w:szCs w:val="21"/>
                    </w:rPr>
                    <w:t>/d）</w:t>
                  </w:r>
                </w:p>
              </w:tc>
              <w:tc>
                <w:tcPr>
                  <w:tcW w:w="1096" w:type="dxa"/>
                  <w:vAlign w:val="center"/>
                </w:tcPr>
                <w:p>
                  <w:pPr>
                    <w:spacing w:line="280" w:lineRule="exact"/>
                    <w:jc w:val="center"/>
                    <w:rPr>
                      <w:color w:val="000000"/>
                      <w:sz w:val="21"/>
                      <w:szCs w:val="21"/>
                    </w:rPr>
                  </w:pPr>
                  <w:r>
                    <w:rPr>
                      <w:rFonts w:hint="eastAsia"/>
                      <w:color w:val="000000"/>
                      <w:sz w:val="21"/>
                      <w:szCs w:val="21"/>
                    </w:rPr>
                    <w:t>循环</w:t>
                  </w:r>
                  <w:r>
                    <w:rPr>
                      <w:color w:val="000000"/>
                      <w:sz w:val="21"/>
                      <w:szCs w:val="21"/>
                    </w:rPr>
                    <w:t>水量</w:t>
                  </w:r>
                </w:p>
                <w:p>
                  <w:pPr>
                    <w:spacing w:line="280" w:lineRule="exact"/>
                    <w:jc w:val="center"/>
                    <w:rPr>
                      <w:color w:val="000000"/>
                      <w:sz w:val="21"/>
                      <w:szCs w:val="21"/>
                    </w:rPr>
                  </w:pPr>
                  <w:r>
                    <w:rPr>
                      <w:color w:val="000000"/>
                      <w:sz w:val="21"/>
                      <w:szCs w:val="21"/>
                    </w:rPr>
                    <w:t>（m</w:t>
                  </w:r>
                  <w:r>
                    <w:rPr>
                      <w:color w:val="000000"/>
                      <w:sz w:val="21"/>
                      <w:szCs w:val="21"/>
                      <w:vertAlign w:val="superscript"/>
                    </w:rPr>
                    <w:t>3</w:t>
                  </w:r>
                  <w:r>
                    <w:rPr>
                      <w:color w:val="000000"/>
                      <w:sz w:val="21"/>
                      <w:szCs w:val="21"/>
                    </w:rPr>
                    <w:t>/d）</w:t>
                  </w:r>
                </w:p>
              </w:tc>
              <w:tc>
                <w:tcPr>
                  <w:tcW w:w="1096" w:type="dxa"/>
                  <w:vAlign w:val="center"/>
                </w:tcPr>
                <w:p>
                  <w:pPr>
                    <w:spacing w:line="280" w:lineRule="exact"/>
                    <w:jc w:val="center"/>
                    <w:rPr>
                      <w:color w:val="000000"/>
                      <w:sz w:val="21"/>
                      <w:szCs w:val="21"/>
                    </w:rPr>
                  </w:pPr>
                  <w:r>
                    <w:rPr>
                      <w:color w:val="000000"/>
                      <w:sz w:val="21"/>
                      <w:szCs w:val="21"/>
                    </w:rPr>
                    <w:t>废水量</w:t>
                  </w:r>
                </w:p>
                <w:p>
                  <w:pPr>
                    <w:spacing w:line="280" w:lineRule="exact"/>
                    <w:jc w:val="center"/>
                    <w:rPr>
                      <w:color w:val="000000"/>
                      <w:sz w:val="21"/>
                      <w:szCs w:val="21"/>
                    </w:rPr>
                  </w:pPr>
                  <w:r>
                    <w:rPr>
                      <w:color w:val="000000"/>
                      <w:sz w:val="21"/>
                      <w:szCs w:val="21"/>
                    </w:rPr>
                    <w:t>（m</w:t>
                  </w:r>
                  <w:r>
                    <w:rPr>
                      <w:color w:val="000000"/>
                      <w:sz w:val="21"/>
                      <w:szCs w:val="21"/>
                      <w:vertAlign w:val="superscript"/>
                    </w:rPr>
                    <w:t>3</w:t>
                  </w:r>
                  <w:r>
                    <w:rPr>
                      <w:color w:val="000000"/>
                      <w:sz w:val="21"/>
                      <w:szCs w:val="21"/>
                    </w:rPr>
                    <w:t>/d）</w:t>
                  </w:r>
                </w:p>
              </w:tc>
              <w:tc>
                <w:tcPr>
                  <w:tcW w:w="1588" w:type="dxa"/>
                  <w:vAlign w:val="center"/>
                </w:tcPr>
                <w:p>
                  <w:pPr>
                    <w:spacing w:line="280" w:lineRule="exact"/>
                    <w:jc w:val="center"/>
                    <w:rPr>
                      <w:color w:val="000000"/>
                      <w:sz w:val="21"/>
                      <w:szCs w:val="21"/>
                    </w:rPr>
                  </w:pPr>
                  <w:r>
                    <w:rPr>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46" w:type="dxa"/>
                  <w:vAlign w:val="center"/>
                </w:tcPr>
                <w:p>
                  <w:pPr>
                    <w:spacing w:line="280" w:lineRule="exact"/>
                    <w:jc w:val="center"/>
                    <w:rPr>
                      <w:color w:val="000000"/>
                      <w:sz w:val="21"/>
                      <w:szCs w:val="21"/>
                    </w:rPr>
                  </w:pPr>
                  <w:r>
                    <w:rPr>
                      <w:color w:val="000000"/>
                      <w:sz w:val="21"/>
                      <w:szCs w:val="21"/>
                    </w:rPr>
                    <w:t>生活用水</w:t>
                  </w:r>
                </w:p>
              </w:tc>
              <w:tc>
                <w:tcPr>
                  <w:tcW w:w="1532" w:type="dxa"/>
                  <w:vAlign w:val="center"/>
                </w:tcPr>
                <w:p>
                  <w:pPr>
                    <w:spacing w:line="280" w:lineRule="exact"/>
                    <w:jc w:val="center"/>
                    <w:rPr>
                      <w:snapToGrid w:val="0"/>
                      <w:color w:val="000000"/>
                      <w:sz w:val="21"/>
                      <w:szCs w:val="21"/>
                    </w:rPr>
                  </w:pPr>
                  <w:r>
                    <w:rPr>
                      <w:sz w:val="21"/>
                      <w:szCs w:val="21"/>
                    </w:rPr>
                    <w:t>80L/（人</w:t>
                  </w:r>
                  <w:r>
                    <w:rPr>
                      <w:sz w:val="21"/>
                      <w:szCs w:val="21"/>
                    </w:rPr>
                    <w:sym w:font="Wingdings" w:char="F09E"/>
                  </w:r>
                  <w:r>
                    <w:rPr>
                      <w:sz w:val="21"/>
                      <w:szCs w:val="21"/>
                    </w:rPr>
                    <w:t>d）</w:t>
                  </w:r>
                </w:p>
              </w:tc>
              <w:tc>
                <w:tcPr>
                  <w:tcW w:w="1604" w:type="dxa"/>
                  <w:vAlign w:val="center"/>
                </w:tcPr>
                <w:p>
                  <w:pPr>
                    <w:spacing w:line="280" w:lineRule="exact"/>
                    <w:jc w:val="center"/>
                    <w:rPr>
                      <w:color w:val="000000"/>
                      <w:sz w:val="21"/>
                      <w:szCs w:val="21"/>
                    </w:rPr>
                  </w:pPr>
                  <w:r>
                    <w:rPr>
                      <w:color w:val="000000"/>
                      <w:sz w:val="21"/>
                      <w:szCs w:val="21"/>
                    </w:rPr>
                    <w:t>260d</w:t>
                  </w:r>
                </w:p>
              </w:tc>
              <w:tc>
                <w:tcPr>
                  <w:tcW w:w="1096" w:type="dxa"/>
                  <w:vAlign w:val="center"/>
                </w:tcPr>
                <w:p>
                  <w:pPr>
                    <w:spacing w:line="280" w:lineRule="exact"/>
                    <w:jc w:val="center"/>
                    <w:rPr>
                      <w:color w:val="000000"/>
                      <w:sz w:val="21"/>
                      <w:szCs w:val="21"/>
                    </w:rPr>
                  </w:pPr>
                  <w:r>
                    <w:rPr>
                      <w:color w:val="000000"/>
                      <w:sz w:val="21"/>
                      <w:szCs w:val="21"/>
                    </w:rPr>
                    <w:t>0.48</w:t>
                  </w:r>
                </w:p>
              </w:tc>
              <w:tc>
                <w:tcPr>
                  <w:tcW w:w="1096" w:type="dxa"/>
                  <w:vAlign w:val="center"/>
                </w:tcPr>
                <w:p>
                  <w:pPr>
                    <w:spacing w:line="280" w:lineRule="exact"/>
                    <w:jc w:val="center"/>
                    <w:rPr>
                      <w:color w:val="000000"/>
                      <w:sz w:val="21"/>
                      <w:szCs w:val="21"/>
                    </w:rPr>
                  </w:pPr>
                  <w:r>
                    <w:rPr>
                      <w:color w:val="000000"/>
                      <w:sz w:val="21"/>
                      <w:szCs w:val="21"/>
                    </w:rPr>
                    <w:t>0</w:t>
                  </w:r>
                </w:p>
              </w:tc>
              <w:tc>
                <w:tcPr>
                  <w:tcW w:w="1096" w:type="dxa"/>
                  <w:vAlign w:val="center"/>
                </w:tcPr>
                <w:p>
                  <w:pPr>
                    <w:spacing w:line="280" w:lineRule="exact"/>
                    <w:jc w:val="center"/>
                    <w:rPr>
                      <w:color w:val="000000"/>
                      <w:sz w:val="21"/>
                      <w:szCs w:val="21"/>
                    </w:rPr>
                  </w:pPr>
                  <w:r>
                    <w:rPr>
                      <w:color w:val="000000"/>
                      <w:sz w:val="21"/>
                      <w:szCs w:val="21"/>
                    </w:rPr>
                    <w:t>0.384</w:t>
                  </w:r>
                </w:p>
              </w:tc>
              <w:tc>
                <w:tcPr>
                  <w:tcW w:w="1588" w:type="dxa"/>
                  <w:vAlign w:val="center"/>
                </w:tcPr>
                <w:p>
                  <w:pPr>
                    <w:spacing w:line="280" w:lineRule="exact"/>
                    <w:jc w:val="center"/>
                    <w:rPr>
                      <w:color w:val="000000"/>
                      <w:sz w:val="21"/>
                      <w:szCs w:val="21"/>
                    </w:rPr>
                  </w:pPr>
                  <w:r>
                    <w:rPr>
                      <w:rFonts w:hint="eastAsia"/>
                      <w:color w:val="000000"/>
                      <w:sz w:val="21"/>
                      <w:szCs w:val="21"/>
                    </w:rPr>
                    <w:t>排</w:t>
                  </w:r>
                  <w:r>
                    <w:rPr>
                      <w:color w:val="000000"/>
                      <w:sz w:val="21"/>
                      <w:szCs w:val="21"/>
                    </w:rPr>
                    <w:t>水量按用水量80%计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746" w:type="dxa"/>
                  <w:vAlign w:val="center"/>
                </w:tcPr>
                <w:p>
                  <w:pPr>
                    <w:spacing w:line="280" w:lineRule="exact"/>
                    <w:jc w:val="center"/>
                    <w:rPr>
                      <w:color w:val="000000"/>
                      <w:sz w:val="21"/>
                      <w:szCs w:val="21"/>
                    </w:rPr>
                  </w:pPr>
                  <w:r>
                    <w:rPr>
                      <w:color w:val="000000"/>
                      <w:sz w:val="21"/>
                      <w:szCs w:val="21"/>
                    </w:rPr>
                    <w:t>洗砂用水</w:t>
                  </w:r>
                </w:p>
              </w:tc>
              <w:tc>
                <w:tcPr>
                  <w:tcW w:w="1532" w:type="dxa"/>
                  <w:vAlign w:val="center"/>
                </w:tcPr>
                <w:p>
                  <w:pPr>
                    <w:spacing w:line="280" w:lineRule="exact"/>
                    <w:jc w:val="center"/>
                    <w:rPr>
                      <w:snapToGrid w:val="0"/>
                      <w:color w:val="000000"/>
                      <w:sz w:val="21"/>
                      <w:szCs w:val="21"/>
                    </w:rPr>
                  </w:pPr>
                  <w:r>
                    <w:rPr>
                      <w:sz w:val="21"/>
                      <w:szCs w:val="21"/>
                    </w:rPr>
                    <w:t>0.1t水/t砂</w:t>
                  </w:r>
                </w:p>
              </w:tc>
              <w:tc>
                <w:tcPr>
                  <w:tcW w:w="1604" w:type="dxa"/>
                  <w:vAlign w:val="center"/>
                </w:tcPr>
                <w:p>
                  <w:pPr>
                    <w:spacing w:line="280" w:lineRule="exact"/>
                    <w:jc w:val="center"/>
                    <w:rPr>
                      <w:color w:val="000000"/>
                      <w:sz w:val="21"/>
                      <w:szCs w:val="21"/>
                    </w:rPr>
                  </w:pPr>
                  <w:r>
                    <w:rPr>
                      <w:sz w:val="21"/>
                      <w:szCs w:val="21"/>
                    </w:rPr>
                    <w:t>洗砂11.54t/d，260d</w:t>
                  </w:r>
                </w:p>
              </w:tc>
              <w:tc>
                <w:tcPr>
                  <w:tcW w:w="1096" w:type="dxa"/>
                  <w:vAlign w:val="center"/>
                </w:tcPr>
                <w:p>
                  <w:pPr>
                    <w:spacing w:line="280" w:lineRule="exact"/>
                    <w:jc w:val="center"/>
                    <w:rPr>
                      <w:color w:val="000000"/>
                      <w:sz w:val="21"/>
                      <w:szCs w:val="21"/>
                    </w:rPr>
                  </w:pPr>
                  <w:r>
                    <w:rPr>
                      <w:color w:val="000000"/>
                      <w:sz w:val="21"/>
                      <w:szCs w:val="21"/>
                    </w:rPr>
                    <w:t>11.54</w:t>
                  </w:r>
                </w:p>
              </w:tc>
              <w:tc>
                <w:tcPr>
                  <w:tcW w:w="1096" w:type="dxa"/>
                  <w:vAlign w:val="center"/>
                </w:tcPr>
                <w:p>
                  <w:pPr>
                    <w:spacing w:line="280" w:lineRule="exact"/>
                    <w:jc w:val="center"/>
                    <w:rPr>
                      <w:color w:val="000000"/>
                      <w:sz w:val="21"/>
                      <w:szCs w:val="21"/>
                    </w:rPr>
                  </w:pPr>
                  <w:r>
                    <w:rPr>
                      <w:rFonts w:hint="eastAsia"/>
                      <w:color w:val="000000"/>
                      <w:sz w:val="21"/>
                      <w:szCs w:val="21"/>
                    </w:rPr>
                    <w:t>9</w:t>
                  </w:r>
                  <w:r>
                    <w:rPr>
                      <w:color w:val="000000"/>
                      <w:sz w:val="21"/>
                      <w:szCs w:val="21"/>
                    </w:rPr>
                    <w:t>.23</w:t>
                  </w:r>
                </w:p>
              </w:tc>
              <w:tc>
                <w:tcPr>
                  <w:tcW w:w="1096" w:type="dxa"/>
                  <w:vAlign w:val="center"/>
                </w:tcPr>
                <w:p>
                  <w:pPr>
                    <w:spacing w:line="280" w:lineRule="exact"/>
                    <w:jc w:val="center"/>
                    <w:rPr>
                      <w:color w:val="000000"/>
                      <w:sz w:val="21"/>
                      <w:szCs w:val="21"/>
                    </w:rPr>
                  </w:pPr>
                  <w:r>
                    <w:rPr>
                      <w:color w:val="000000"/>
                      <w:sz w:val="21"/>
                      <w:szCs w:val="21"/>
                    </w:rPr>
                    <w:t>0</w:t>
                  </w:r>
                </w:p>
              </w:tc>
              <w:tc>
                <w:tcPr>
                  <w:tcW w:w="1588" w:type="dxa"/>
                  <w:vAlign w:val="center"/>
                </w:tcPr>
                <w:p>
                  <w:pPr>
                    <w:spacing w:line="280" w:lineRule="exact"/>
                    <w:jc w:val="center"/>
                    <w:rPr>
                      <w:color w:val="000000"/>
                      <w:sz w:val="21"/>
                      <w:szCs w:val="21"/>
                    </w:rPr>
                  </w:pPr>
                  <w:r>
                    <w:rPr>
                      <w:rFonts w:hint="eastAsia"/>
                      <w:color w:val="000000"/>
                      <w:sz w:val="21"/>
                      <w:szCs w:val="21"/>
                    </w:rPr>
                    <w:t>排</w:t>
                  </w:r>
                  <w:r>
                    <w:rPr>
                      <w:color w:val="000000"/>
                      <w:sz w:val="21"/>
                      <w:szCs w:val="21"/>
                    </w:rPr>
                    <w:t>水量按用水量80%计；补充新鲜水，循环利用，不外排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46" w:type="dxa"/>
                  <w:vAlign w:val="center"/>
                </w:tcPr>
                <w:p>
                  <w:pPr>
                    <w:spacing w:line="280" w:lineRule="exact"/>
                    <w:jc w:val="center"/>
                    <w:rPr>
                      <w:color w:val="000000"/>
                      <w:sz w:val="21"/>
                      <w:szCs w:val="21"/>
                    </w:rPr>
                  </w:pPr>
                  <w:r>
                    <w:rPr>
                      <w:color w:val="000000"/>
                      <w:sz w:val="21"/>
                      <w:szCs w:val="21"/>
                    </w:rPr>
                    <w:t>雾化喷淋用水</w:t>
                  </w:r>
                </w:p>
              </w:tc>
              <w:tc>
                <w:tcPr>
                  <w:tcW w:w="1532" w:type="dxa"/>
                  <w:vAlign w:val="center"/>
                </w:tcPr>
                <w:p>
                  <w:pPr>
                    <w:spacing w:line="280" w:lineRule="exact"/>
                    <w:jc w:val="center"/>
                    <w:rPr>
                      <w:snapToGrid w:val="0"/>
                      <w:color w:val="000000"/>
                      <w:sz w:val="21"/>
                      <w:szCs w:val="21"/>
                      <w:highlight w:val="green"/>
                    </w:rPr>
                  </w:pPr>
                  <w:r>
                    <w:rPr>
                      <w:snapToGrid w:val="0"/>
                      <w:color w:val="000000"/>
                      <w:sz w:val="21"/>
                      <w:szCs w:val="21"/>
                      <w:highlight w:val="green"/>
                    </w:rPr>
                    <w:t>单个喷头0.72L/min，共设置20个喷头</w:t>
                  </w:r>
                </w:p>
              </w:tc>
              <w:tc>
                <w:tcPr>
                  <w:tcW w:w="1604" w:type="dxa"/>
                  <w:vAlign w:val="center"/>
                </w:tcPr>
                <w:p>
                  <w:pPr>
                    <w:spacing w:line="280" w:lineRule="exact"/>
                    <w:jc w:val="center"/>
                    <w:rPr>
                      <w:snapToGrid w:val="0"/>
                      <w:color w:val="000000"/>
                      <w:sz w:val="21"/>
                      <w:szCs w:val="21"/>
                      <w:highlight w:val="green"/>
                      <w:lang w:bidi="ar"/>
                    </w:rPr>
                  </w:pPr>
                  <w:r>
                    <w:rPr>
                      <w:color w:val="000000"/>
                      <w:sz w:val="21"/>
                      <w:szCs w:val="21"/>
                      <w:highlight w:val="green"/>
                    </w:rPr>
                    <w:t>8个喷头：8h/d；另外22个喷头2h/d，260d</w:t>
                  </w:r>
                </w:p>
              </w:tc>
              <w:tc>
                <w:tcPr>
                  <w:tcW w:w="1096" w:type="dxa"/>
                  <w:vAlign w:val="center"/>
                </w:tcPr>
                <w:p>
                  <w:pPr>
                    <w:spacing w:line="280" w:lineRule="exact"/>
                    <w:jc w:val="center"/>
                    <w:rPr>
                      <w:color w:val="000000"/>
                      <w:sz w:val="21"/>
                      <w:szCs w:val="21"/>
                      <w:highlight w:val="green"/>
                    </w:rPr>
                  </w:pPr>
                  <w:r>
                    <w:rPr>
                      <w:color w:val="000000"/>
                      <w:sz w:val="21"/>
                      <w:szCs w:val="21"/>
                      <w:highlight w:val="green"/>
                    </w:rPr>
                    <w:t>4.66</w:t>
                  </w:r>
                </w:p>
              </w:tc>
              <w:tc>
                <w:tcPr>
                  <w:tcW w:w="1096" w:type="dxa"/>
                  <w:vAlign w:val="center"/>
                </w:tcPr>
                <w:p>
                  <w:pPr>
                    <w:spacing w:line="280" w:lineRule="exact"/>
                    <w:jc w:val="center"/>
                    <w:rPr>
                      <w:color w:val="000000"/>
                      <w:sz w:val="21"/>
                      <w:szCs w:val="21"/>
                    </w:rPr>
                  </w:pPr>
                  <w:r>
                    <w:rPr>
                      <w:rFonts w:hint="eastAsia"/>
                      <w:color w:val="000000"/>
                      <w:sz w:val="21"/>
                      <w:szCs w:val="21"/>
                    </w:rPr>
                    <w:t>0</w:t>
                  </w:r>
                </w:p>
              </w:tc>
              <w:tc>
                <w:tcPr>
                  <w:tcW w:w="1096" w:type="dxa"/>
                  <w:vAlign w:val="center"/>
                </w:tcPr>
                <w:p>
                  <w:pPr>
                    <w:spacing w:line="280" w:lineRule="exact"/>
                    <w:jc w:val="center"/>
                    <w:rPr>
                      <w:color w:val="000000"/>
                      <w:sz w:val="21"/>
                      <w:szCs w:val="21"/>
                    </w:rPr>
                  </w:pPr>
                  <w:r>
                    <w:rPr>
                      <w:color w:val="000000"/>
                      <w:sz w:val="21"/>
                      <w:szCs w:val="21"/>
                    </w:rPr>
                    <w:t>0</w:t>
                  </w:r>
                </w:p>
              </w:tc>
              <w:tc>
                <w:tcPr>
                  <w:tcW w:w="1588" w:type="dxa"/>
                  <w:vAlign w:val="center"/>
                </w:tcPr>
                <w:p>
                  <w:pPr>
                    <w:spacing w:line="280" w:lineRule="exact"/>
                    <w:jc w:val="center"/>
                    <w:rPr>
                      <w:color w:val="000000"/>
                      <w:sz w:val="21"/>
                      <w:szCs w:val="21"/>
                    </w:rPr>
                  </w:pPr>
                  <w:r>
                    <w:rPr>
                      <w:sz w:val="21"/>
                      <w:szCs w:val="21"/>
                    </w:rPr>
                    <w:t>自然损耗，部分进入产品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746" w:type="dxa"/>
                  <w:vAlign w:val="center"/>
                </w:tcPr>
                <w:p>
                  <w:pPr>
                    <w:spacing w:line="280" w:lineRule="exact"/>
                    <w:jc w:val="center"/>
                    <w:rPr>
                      <w:color w:val="000000"/>
                      <w:sz w:val="21"/>
                      <w:szCs w:val="21"/>
                    </w:rPr>
                  </w:pPr>
                  <w:r>
                    <w:rPr>
                      <w:color w:val="000000"/>
                      <w:sz w:val="21"/>
                      <w:szCs w:val="21"/>
                    </w:rPr>
                    <w:t>车辆冲洗用水</w:t>
                  </w:r>
                </w:p>
              </w:tc>
              <w:tc>
                <w:tcPr>
                  <w:tcW w:w="1532" w:type="dxa"/>
                  <w:vAlign w:val="center"/>
                </w:tcPr>
                <w:p>
                  <w:pPr>
                    <w:spacing w:line="280" w:lineRule="exact"/>
                    <w:jc w:val="center"/>
                    <w:rPr>
                      <w:snapToGrid w:val="0"/>
                      <w:color w:val="000000"/>
                      <w:sz w:val="21"/>
                      <w:szCs w:val="21"/>
                    </w:rPr>
                  </w:pPr>
                  <w:r>
                    <w:rPr>
                      <w:sz w:val="21"/>
                      <w:szCs w:val="21"/>
                    </w:rPr>
                    <w:t>120L/辆·次</w:t>
                  </w:r>
                </w:p>
              </w:tc>
              <w:tc>
                <w:tcPr>
                  <w:tcW w:w="1604" w:type="dxa"/>
                  <w:vAlign w:val="center"/>
                </w:tcPr>
                <w:p>
                  <w:pPr>
                    <w:spacing w:line="280" w:lineRule="exact"/>
                    <w:jc w:val="center"/>
                    <w:rPr>
                      <w:color w:val="000000"/>
                      <w:sz w:val="21"/>
                      <w:szCs w:val="21"/>
                    </w:rPr>
                  </w:pPr>
                  <w:r>
                    <w:rPr>
                      <w:sz w:val="21"/>
                      <w:szCs w:val="21"/>
                    </w:rPr>
                    <w:t>5次/d，</w:t>
                  </w:r>
                  <w:r>
                    <w:rPr>
                      <w:color w:val="000000"/>
                      <w:sz w:val="21"/>
                      <w:szCs w:val="21"/>
                    </w:rPr>
                    <w:t>260d</w:t>
                  </w:r>
                </w:p>
              </w:tc>
              <w:tc>
                <w:tcPr>
                  <w:tcW w:w="1096" w:type="dxa"/>
                  <w:vAlign w:val="center"/>
                </w:tcPr>
                <w:p>
                  <w:pPr>
                    <w:spacing w:line="280" w:lineRule="exact"/>
                    <w:jc w:val="center"/>
                    <w:rPr>
                      <w:color w:val="000000"/>
                      <w:sz w:val="21"/>
                      <w:szCs w:val="21"/>
                    </w:rPr>
                  </w:pPr>
                  <w:r>
                    <w:rPr>
                      <w:color w:val="000000"/>
                      <w:sz w:val="21"/>
                      <w:szCs w:val="21"/>
                    </w:rPr>
                    <w:t>0.6</w:t>
                  </w:r>
                </w:p>
              </w:tc>
              <w:tc>
                <w:tcPr>
                  <w:tcW w:w="1096" w:type="dxa"/>
                  <w:vAlign w:val="center"/>
                </w:tcPr>
                <w:p>
                  <w:pPr>
                    <w:spacing w:line="280" w:lineRule="exact"/>
                    <w:jc w:val="center"/>
                    <w:rPr>
                      <w:color w:val="000000"/>
                      <w:sz w:val="21"/>
                      <w:szCs w:val="21"/>
                    </w:rPr>
                  </w:pPr>
                  <w:r>
                    <w:rPr>
                      <w:color w:val="000000"/>
                      <w:sz w:val="21"/>
                      <w:szCs w:val="21"/>
                    </w:rPr>
                    <w:t>0.54</w:t>
                  </w:r>
                </w:p>
              </w:tc>
              <w:tc>
                <w:tcPr>
                  <w:tcW w:w="1096" w:type="dxa"/>
                  <w:vAlign w:val="center"/>
                </w:tcPr>
                <w:p>
                  <w:pPr>
                    <w:spacing w:line="280" w:lineRule="exact"/>
                    <w:jc w:val="center"/>
                    <w:rPr>
                      <w:color w:val="000000"/>
                      <w:sz w:val="21"/>
                      <w:szCs w:val="21"/>
                    </w:rPr>
                  </w:pPr>
                  <w:r>
                    <w:rPr>
                      <w:rFonts w:hint="eastAsia"/>
                      <w:color w:val="000000"/>
                      <w:sz w:val="21"/>
                      <w:szCs w:val="21"/>
                    </w:rPr>
                    <w:t>0</w:t>
                  </w:r>
                </w:p>
              </w:tc>
              <w:tc>
                <w:tcPr>
                  <w:tcW w:w="1588" w:type="dxa"/>
                  <w:vAlign w:val="center"/>
                </w:tcPr>
                <w:p>
                  <w:pPr>
                    <w:spacing w:line="280" w:lineRule="exact"/>
                    <w:jc w:val="center"/>
                    <w:rPr>
                      <w:color w:val="000000"/>
                      <w:sz w:val="21"/>
                      <w:szCs w:val="21"/>
                    </w:rPr>
                  </w:pPr>
                  <w:r>
                    <w:rPr>
                      <w:rFonts w:hint="eastAsia"/>
                      <w:color w:val="000000"/>
                      <w:sz w:val="21"/>
                      <w:szCs w:val="21"/>
                    </w:rPr>
                    <w:t>排</w:t>
                  </w:r>
                  <w:r>
                    <w:rPr>
                      <w:color w:val="000000"/>
                      <w:sz w:val="21"/>
                      <w:szCs w:val="21"/>
                    </w:rPr>
                    <w:t>水量按用水量90%计；补充新鲜水，循环利用，不外排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882" w:type="dxa"/>
                  <w:gridSpan w:val="3"/>
                  <w:vAlign w:val="center"/>
                </w:tcPr>
                <w:p>
                  <w:pPr>
                    <w:spacing w:line="280" w:lineRule="exact"/>
                    <w:jc w:val="center"/>
                    <w:rPr>
                      <w:snapToGrid w:val="0"/>
                      <w:color w:val="000000"/>
                      <w:sz w:val="21"/>
                      <w:szCs w:val="21"/>
                      <w:lang w:bidi="ar"/>
                    </w:rPr>
                  </w:pPr>
                  <w:r>
                    <w:rPr>
                      <w:color w:val="000000"/>
                      <w:sz w:val="21"/>
                      <w:szCs w:val="21"/>
                    </w:rPr>
                    <w:t>合计</w:t>
                  </w:r>
                </w:p>
              </w:tc>
              <w:tc>
                <w:tcPr>
                  <w:tcW w:w="1096" w:type="dxa"/>
                  <w:vAlign w:val="center"/>
                </w:tcPr>
                <w:p>
                  <w:pPr>
                    <w:spacing w:line="280" w:lineRule="exact"/>
                    <w:jc w:val="center"/>
                    <w:rPr>
                      <w:snapToGrid w:val="0"/>
                      <w:color w:val="000000"/>
                      <w:sz w:val="21"/>
                      <w:szCs w:val="21"/>
                      <w:lang w:bidi="ar"/>
                    </w:rPr>
                  </w:pPr>
                  <w:r>
                    <w:rPr>
                      <w:color w:val="000000"/>
                      <w:sz w:val="21"/>
                      <w:szCs w:val="21"/>
                      <w:highlight w:val="green"/>
                    </w:rPr>
                    <w:t>17.28</w:t>
                  </w:r>
                </w:p>
              </w:tc>
              <w:tc>
                <w:tcPr>
                  <w:tcW w:w="1096" w:type="dxa"/>
                  <w:vAlign w:val="center"/>
                </w:tcPr>
                <w:p>
                  <w:pPr>
                    <w:spacing w:line="280" w:lineRule="exact"/>
                    <w:jc w:val="center"/>
                    <w:rPr>
                      <w:color w:val="000000"/>
                      <w:sz w:val="21"/>
                      <w:szCs w:val="21"/>
                    </w:rPr>
                  </w:pPr>
                  <w:r>
                    <w:rPr>
                      <w:color w:val="000000"/>
                      <w:sz w:val="21"/>
                      <w:szCs w:val="21"/>
                    </w:rPr>
                    <w:t>9.77</w:t>
                  </w:r>
                </w:p>
              </w:tc>
              <w:tc>
                <w:tcPr>
                  <w:tcW w:w="1096" w:type="dxa"/>
                  <w:vAlign w:val="center"/>
                </w:tcPr>
                <w:p>
                  <w:pPr>
                    <w:spacing w:line="280" w:lineRule="exact"/>
                    <w:jc w:val="center"/>
                    <w:rPr>
                      <w:color w:val="000000"/>
                      <w:sz w:val="21"/>
                      <w:szCs w:val="21"/>
                    </w:rPr>
                  </w:pPr>
                  <w:r>
                    <w:rPr>
                      <w:color w:val="000000"/>
                      <w:sz w:val="21"/>
                      <w:szCs w:val="21"/>
                    </w:rPr>
                    <w:t>0.384</w:t>
                  </w:r>
                </w:p>
              </w:tc>
              <w:tc>
                <w:tcPr>
                  <w:tcW w:w="1588" w:type="dxa"/>
                  <w:vAlign w:val="center"/>
                </w:tcPr>
                <w:p>
                  <w:pPr>
                    <w:spacing w:line="280" w:lineRule="exact"/>
                    <w:jc w:val="center"/>
                    <w:rPr>
                      <w:color w:val="000000"/>
                      <w:sz w:val="21"/>
                      <w:szCs w:val="21"/>
                    </w:rPr>
                  </w:pPr>
                  <w:r>
                    <w:rPr>
                      <w:color w:val="000000"/>
                      <w:sz w:val="21"/>
                      <w:szCs w:val="21"/>
                      <w:highlight w:val="green"/>
                    </w:rPr>
                    <w:t>新鲜水用量7.51m</w:t>
                  </w:r>
                  <w:r>
                    <w:rPr>
                      <w:color w:val="000000"/>
                      <w:sz w:val="21"/>
                      <w:szCs w:val="21"/>
                      <w:highlight w:val="green"/>
                      <w:vertAlign w:val="superscript"/>
                    </w:rPr>
                    <w:t>3</w:t>
                  </w:r>
                  <w:r>
                    <w:rPr>
                      <w:color w:val="000000"/>
                      <w:sz w:val="21"/>
                      <w:szCs w:val="21"/>
                      <w:highlight w:val="green"/>
                    </w:rPr>
                    <w:t>/d</w:t>
                  </w:r>
                </w:p>
              </w:tc>
            </w:tr>
          </w:tbl>
          <w:p>
            <w:pPr>
              <w:pStyle w:val="2"/>
              <w:ind w:firstLine="480" w:firstLineChars="200"/>
              <w:rPr>
                <w:rFonts w:ascii="Times New Roman" w:hAnsi="Times New Roman" w:eastAsiaTheme="minorEastAsia"/>
                <w:b w:val="0"/>
                <w:sz w:val="24"/>
              </w:rPr>
            </w:pPr>
            <w:r>
              <w:rPr>
                <w:rFonts w:ascii="Times New Roman" w:hAnsi="Times New Roman" w:eastAsiaTheme="minorEastAsia"/>
                <w:b w:val="0"/>
                <w:sz w:val="24"/>
              </w:rPr>
              <w:t>项目水平衡图见图1-1。</w:t>
            </w:r>
          </w:p>
          <w:p>
            <w:pPr>
              <w:jc w:val="center"/>
            </w:pPr>
            <w:r>
              <w:object>
                <v:shape id="_x0000_i1025" o:spt="75" type="#_x0000_t75" style="height:200.95pt;width:411.6pt;" o:ole="t" filled="f" o:preferrelative="t" stroked="f" coordsize="21600,21600">
                  <v:path/>
                  <v:fill on="f" focussize="0,0"/>
                  <v:stroke on="f" joinstyle="miter"/>
                  <v:imagedata r:id="rId9" o:title=""/>
                  <o:lock v:ext="edit" aspectratio="t"/>
                  <w10:wrap type="none"/>
                  <w10:anchorlock/>
                </v:shape>
                <o:OLEObject Type="Embed" ProgID="Visio.Drawing.15" ShapeID="_x0000_i1025" DrawAspect="Content" ObjectID="_1468075725" r:id="rId8">
                  <o:LockedField>false</o:LockedField>
                </o:OLEObject>
              </w:object>
            </w:r>
          </w:p>
          <w:p>
            <w:pPr>
              <w:jc w:val="center"/>
              <w:rPr>
                <w:b/>
                <w:sz w:val="21"/>
              </w:rPr>
            </w:pPr>
            <w:r>
              <w:rPr>
                <w:b/>
                <w:sz w:val="21"/>
              </w:rPr>
              <w:t>图1-1  项目水平衡图</w:t>
            </w:r>
            <w:r>
              <w:rPr>
                <w:rFonts w:hint="eastAsia"/>
                <w:b/>
                <w:sz w:val="21"/>
              </w:rPr>
              <w:t xml:space="preserve"> </w:t>
            </w:r>
            <w:r>
              <w:rPr>
                <w:b/>
                <w:sz w:val="21"/>
              </w:rPr>
              <w:t xml:space="preserve">    m</w:t>
            </w:r>
            <w:r>
              <w:rPr>
                <w:b/>
                <w:sz w:val="21"/>
                <w:vertAlign w:val="superscript"/>
              </w:rPr>
              <w:t>3</w:t>
            </w:r>
            <w:r>
              <w:rPr>
                <w:b/>
                <w:sz w:val="21"/>
              </w:rPr>
              <w:t>/d</w:t>
            </w:r>
          </w:p>
          <w:p>
            <w:pPr>
              <w:autoSpaceDE w:val="0"/>
              <w:autoSpaceDN w:val="0"/>
              <w:adjustRightInd w:val="0"/>
              <w:ind w:firstLine="480" w:firstLineChars="200"/>
              <w:rPr>
                <w:rStyle w:val="30"/>
                <w:b/>
                <w:bCs/>
                <w:szCs w:val="22"/>
              </w:rPr>
            </w:pPr>
            <w:r>
              <w:rPr>
                <w:rStyle w:val="30"/>
                <w:rFonts w:hint="eastAsia"/>
                <w:b/>
                <w:bCs/>
                <w:szCs w:val="22"/>
              </w:rPr>
              <w:t>五</w:t>
            </w:r>
            <w:r>
              <w:rPr>
                <w:rStyle w:val="30"/>
                <w:b/>
                <w:bCs/>
                <w:szCs w:val="22"/>
              </w:rPr>
              <w:t>、项目平面布置及合理性分析</w:t>
            </w:r>
          </w:p>
          <w:p>
            <w:pPr>
              <w:ind w:firstLine="480" w:firstLineChars="200"/>
              <w:rPr>
                <w:bCs/>
              </w:rPr>
            </w:pPr>
            <w:r>
              <w:t>本项目生产区和成品区均在封闭厂房内，生产厂房位于厂区西</w:t>
            </w:r>
            <w:r>
              <w:rPr>
                <w:rFonts w:hint="eastAsia"/>
              </w:rPr>
              <w:t>北</w:t>
            </w:r>
            <w:r>
              <w:t>侧，产品区位于厂</w:t>
            </w:r>
            <w:r>
              <w:rPr>
                <w:rFonts w:hint="eastAsia"/>
              </w:rPr>
              <w:t>区</w:t>
            </w:r>
            <w:r>
              <w:t>东北侧。原料区位于厂区东南侧，用土工布遮盖。厂房</w:t>
            </w:r>
            <w:r>
              <w:rPr>
                <w:rFonts w:hint="eastAsia"/>
              </w:rPr>
              <w:t>西南</w:t>
            </w:r>
            <w:r>
              <w:t>侧为</w:t>
            </w:r>
            <w:r>
              <w:rPr>
                <w:rFonts w:hint="eastAsia"/>
              </w:rPr>
              <w:t>生活</w:t>
            </w:r>
            <w:r>
              <w:t>区、内设宿舍</w:t>
            </w:r>
            <w:r>
              <w:rPr>
                <w:rFonts w:hint="eastAsia"/>
              </w:rPr>
              <w:t>、</w:t>
            </w:r>
            <w:r>
              <w:t>食堂等，</w:t>
            </w:r>
            <w:r>
              <w:rPr>
                <w:rFonts w:hint="eastAsia"/>
              </w:rPr>
              <w:t>中间</w:t>
            </w:r>
            <w:r>
              <w:t>为水泥硬化的运输道路</w:t>
            </w:r>
            <w:r>
              <w:rPr>
                <w:rFonts w:hint="eastAsia"/>
              </w:rPr>
              <w:t>，</w:t>
            </w:r>
            <w:r>
              <w:t>运输条件便利。项目各功能分区比较明确，总体来说，项目平面布置较为合理。</w:t>
            </w:r>
            <w:r>
              <w:rPr>
                <w:bCs/>
              </w:rPr>
              <w:t>项目</w:t>
            </w:r>
            <w:r>
              <w:rPr>
                <w:rStyle w:val="30"/>
              </w:rPr>
              <w:t>平面布置见附图</w:t>
            </w:r>
            <w:r>
              <w:rPr>
                <w:rStyle w:val="30"/>
                <w:rFonts w:hint="eastAsia"/>
              </w:rPr>
              <w:t>3</w:t>
            </w:r>
            <w:r>
              <w:rPr>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39" w:hRule="atLeast"/>
          <w:jc w:val="center"/>
        </w:trPr>
        <w:tc>
          <w:tcPr>
            <w:tcW w:w="5000" w:type="pct"/>
            <w:gridSpan w:val="7"/>
            <w:tcMar>
              <w:left w:w="57" w:type="dxa"/>
              <w:right w:w="57" w:type="dxa"/>
            </w:tcMar>
          </w:tcPr>
          <w:p>
            <w:pPr>
              <w:rPr>
                <w:rFonts w:eastAsiaTheme="minorEastAsia"/>
                <w:b/>
                <w:highlight w:val="green"/>
              </w:rPr>
            </w:pPr>
            <w:r>
              <w:rPr>
                <w:rFonts w:eastAsiaTheme="minorEastAsia"/>
                <w:b/>
                <w:highlight w:val="green"/>
              </w:rPr>
              <w:t>与本项目有关的原有污染情况及主要环境问题</w:t>
            </w:r>
          </w:p>
          <w:p>
            <w:pPr>
              <w:pStyle w:val="2"/>
              <w:ind w:firstLine="480" w:firstLineChars="200"/>
              <w:rPr>
                <w:rFonts w:ascii="Times New Roman" w:hAnsi="Times New Roman" w:eastAsiaTheme="minorEastAsia"/>
                <w:b w:val="0"/>
                <w:sz w:val="24"/>
                <w:highlight w:val="green"/>
              </w:rPr>
            </w:pPr>
            <w:r>
              <w:rPr>
                <w:rFonts w:ascii="Times New Roman" w:hAnsi="Times New Roman" w:eastAsiaTheme="minorEastAsia"/>
                <w:b w:val="0"/>
                <w:sz w:val="24"/>
                <w:highlight w:val="green"/>
              </w:rPr>
              <w:t>本项目为新建项目，项目</w:t>
            </w:r>
            <w:r>
              <w:rPr>
                <w:rFonts w:hint="eastAsia" w:asciiTheme="minorEastAsia" w:hAnsiTheme="minorEastAsia" w:eastAsiaTheme="minorEastAsia"/>
                <w:b w:val="0"/>
                <w:sz w:val="24"/>
                <w:highlight w:val="green"/>
              </w:rPr>
              <w:t>用地为中铁十二局集团第四工程有限公司巫镇高速总承包指挥部五分部所属渣石场</w:t>
            </w:r>
            <w:r>
              <w:rPr>
                <w:rFonts w:hint="eastAsia" w:ascii="Times New Roman" w:hAnsi="Times New Roman" w:eastAsiaTheme="minorEastAsia"/>
                <w:b w:val="0"/>
                <w:sz w:val="24"/>
                <w:highlight w:val="green"/>
              </w:rPr>
              <w:t>。根据现场调查，</w:t>
            </w:r>
            <w:r>
              <w:rPr>
                <w:rFonts w:hint="eastAsia" w:ascii="Times New Roman" w:hAnsi="Times New Roman" w:eastAsia="宋体"/>
                <w:b w:val="0"/>
                <w:sz w:val="24"/>
                <w:highlight w:val="green"/>
              </w:rPr>
              <w:t>本项目主体工程已建设完成，部分设备已安装到位，尚未进行生产加工活动，</w:t>
            </w:r>
            <w:r>
              <w:rPr>
                <w:rFonts w:ascii="Times New Roman" w:hAnsi="Times New Roman" w:eastAsiaTheme="minorEastAsia"/>
                <w:b w:val="0"/>
                <w:sz w:val="24"/>
                <w:highlight w:val="green"/>
              </w:rPr>
              <w:t>存在未批先建的环境违法行为</w:t>
            </w:r>
            <w:r>
              <w:rPr>
                <w:rFonts w:hint="eastAsia" w:ascii="Times New Roman" w:hAnsi="Times New Roman" w:eastAsiaTheme="minorEastAsia"/>
                <w:b w:val="0"/>
                <w:sz w:val="24"/>
                <w:highlight w:val="green"/>
              </w:rPr>
              <w:t>。与本项目有关的原有污染情况及主要环境问题如下：</w:t>
            </w:r>
          </w:p>
          <w:p>
            <w:pPr>
              <w:pStyle w:val="2"/>
              <w:ind w:firstLine="480" w:firstLineChars="200"/>
              <w:rPr>
                <w:rFonts w:ascii="Times New Roman" w:hAnsi="Times New Roman" w:eastAsiaTheme="minorEastAsia"/>
                <w:b w:val="0"/>
                <w:sz w:val="24"/>
                <w:highlight w:val="green"/>
              </w:rPr>
            </w:pPr>
            <w:r>
              <w:rPr>
                <w:rFonts w:ascii="Times New Roman" w:hAnsi="Times New Roman" w:eastAsiaTheme="minorEastAsia"/>
                <w:b w:val="0"/>
                <w:sz w:val="24"/>
                <w:highlight w:val="green"/>
              </w:rPr>
              <w:t>一</w:t>
            </w:r>
            <w:r>
              <w:rPr>
                <w:rFonts w:hint="eastAsia" w:ascii="Times New Roman" w:hAnsi="Times New Roman" w:eastAsiaTheme="minorEastAsia"/>
                <w:b w:val="0"/>
                <w:sz w:val="24"/>
                <w:highlight w:val="green"/>
              </w:rPr>
              <w:t>、弃渣场原有污染情况</w:t>
            </w:r>
          </w:p>
          <w:p>
            <w:pPr>
              <w:pStyle w:val="2"/>
              <w:ind w:firstLine="480" w:firstLineChars="200"/>
              <w:rPr>
                <w:rFonts w:ascii="Times New Roman" w:hAnsi="Times New Roman" w:eastAsiaTheme="minorEastAsia"/>
                <w:b w:val="0"/>
                <w:sz w:val="24"/>
                <w:highlight w:val="green"/>
              </w:rPr>
            </w:pPr>
            <w:r>
              <w:rPr>
                <w:rFonts w:hint="eastAsia" w:ascii="Times New Roman" w:hAnsi="Times New Roman" w:eastAsiaTheme="minorEastAsia"/>
                <w:b w:val="0"/>
                <w:sz w:val="24"/>
                <w:highlight w:val="green"/>
              </w:rPr>
              <w:t>本项目用地为弃渣场，存在的环境问题为废渣堆放粉尘和废渣运输扬尘。</w:t>
            </w:r>
          </w:p>
          <w:p>
            <w:pPr>
              <w:pStyle w:val="2"/>
              <w:ind w:firstLine="480" w:firstLineChars="200"/>
              <w:rPr>
                <w:rFonts w:asciiTheme="minorEastAsia" w:hAnsiTheme="minorEastAsia" w:eastAsiaTheme="minorEastAsia"/>
                <w:b w:val="0"/>
                <w:sz w:val="24"/>
                <w:highlight w:val="green"/>
              </w:rPr>
            </w:pPr>
            <w:r>
              <w:rPr>
                <w:rFonts w:hint="eastAsia" w:ascii="Times New Roman" w:hAnsi="Times New Roman" w:eastAsiaTheme="minorEastAsia"/>
                <w:b w:val="0"/>
                <w:sz w:val="24"/>
                <w:highlight w:val="green"/>
              </w:rPr>
              <w:t>原有高速废渣露天堆放和废渣运输过程，会引起扬尘污染，对周边大气环境造成一定影响。</w:t>
            </w:r>
            <w:r>
              <w:rPr>
                <w:rFonts w:asciiTheme="minorEastAsia" w:hAnsiTheme="minorEastAsia" w:eastAsiaTheme="minorEastAsia"/>
                <w:b w:val="0"/>
                <w:sz w:val="24"/>
                <w:highlight w:val="green"/>
              </w:rPr>
              <w:t>本项目的建设将对</w:t>
            </w:r>
            <w:r>
              <w:rPr>
                <w:rFonts w:hint="eastAsia" w:asciiTheme="minorEastAsia" w:hAnsiTheme="minorEastAsia" w:eastAsiaTheme="minorEastAsia"/>
                <w:b w:val="0"/>
                <w:sz w:val="24"/>
                <w:highlight w:val="green"/>
              </w:rPr>
              <w:t>场地进行整理、硬化，并采取封闭、洒水等抑尘措施，可较大程度的减轻原有弃渣场废渣堆放和运输带来的大气环境影响。</w:t>
            </w:r>
          </w:p>
          <w:p>
            <w:pPr>
              <w:ind w:firstLine="480" w:firstLineChars="200"/>
              <w:rPr>
                <w:highlight w:val="green"/>
              </w:rPr>
            </w:pPr>
            <w:r>
              <w:rPr>
                <w:highlight w:val="green"/>
              </w:rPr>
              <w:t>二</w:t>
            </w:r>
            <w:r>
              <w:rPr>
                <w:rFonts w:hint="eastAsia"/>
                <w:highlight w:val="green"/>
              </w:rPr>
              <w:t>、本项目建设存在的环境问题</w:t>
            </w:r>
          </w:p>
          <w:p>
            <w:pPr>
              <w:pStyle w:val="2"/>
              <w:ind w:firstLine="480" w:firstLineChars="200"/>
              <w:rPr>
                <w:rFonts w:ascii="Times New Roman" w:hAnsi="Times New Roman" w:eastAsiaTheme="minorEastAsia"/>
                <w:b w:val="0"/>
                <w:sz w:val="24"/>
                <w:highlight w:val="green"/>
              </w:rPr>
            </w:pPr>
            <w:r>
              <w:rPr>
                <w:rFonts w:hint="eastAsia" w:ascii="Times New Roman" w:hAnsi="Times New Roman" w:eastAsiaTheme="minorEastAsia"/>
                <w:b w:val="0"/>
                <w:sz w:val="24"/>
                <w:highlight w:val="green"/>
              </w:rPr>
              <w:t>1、环境影响评价审批手续问题。</w:t>
            </w:r>
          </w:p>
          <w:p>
            <w:pPr>
              <w:pStyle w:val="2"/>
              <w:ind w:firstLine="480" w:firstLineChars="200"/>
              <w:rPr>
                <w:rFonts w:ascii="Times New Roman" w:hAnsi="Times New Roman" w:eastAsiaTheme="minorEastAsia"/>
                <w:b w:val="0"/>
                <w:sz w:val="24"/>
                <w:highlight w:val="green"/>
              </w:rPr>
            </w:pPr>
            <w:r>
              <w:rPr>
                <w:rFonts w:hint="eastAsia" w:ascii="Times New Roman" w:hAnsi="Times New Roman" w:eastAsiaTheme="minorEastAsia"/>
                <w:b w:val="0"/>
                <w:sz w:val="24"/>
                <w:highlight w:val="green"/>
              </w:rPr>
              <w:t>本</w:t>
            </w:r>
            <w:r>
              <w:rPr>
                <w:rFonts w:ascii="Times New Roman" w:hAnsi="Times New Roman" w:eastAsiaTheme="minorEastAsia"/>
                <w:b w:val="0"/>
                <w:sz w:val="24"/>
                <w:highlight w:val="green"/>
              </w:rPr>
              <w:t>项目未取得环境影响评价手续</w:t>
            </w:r>
            <w:r>
              <w:rPr>
                <w:rFonts w:hint="eastAsia" w:ascii="Times New Roman" w:hAnsi="Times New Roman" w:eastAsiaTheme="minorEastAsia"/>
                <w:b w:val="0"/>
                <w:sz w:val="24"/>
                <w:highlight w:val="green"/>
              </w:rPr>
              <w:t>，擅自开工建设，存在未批先建</w:t>
            </w:r>
            <w:r>
              <w:rPr>
                <w:rFonts w:ascii="Times New Roman" w:hAnsi="Times New Roman" w:eastAsiaTheme="minorEastAsia"/>
                <w:b w:val="0"/>
                <w:sz w:val="24"/>
                <w:highlight w:val="green"/>
              </w:rPr>
              <w:t>环境违法行为</w:t>
            </w:r>
            <w:r>
              <w:rPr>
                <w:rFonts w:hint="eastAsia" w:ascii="Times New Roman" w:hAnsi="Times New Roman" w:eastAsiaTheme="minorEastAsia"/>
                <w:b w:val="0"/>
                <w:sz w:val="24"/>
                <w:highlight w:val="green"/>
              </w:rPr>
              <w:t>。2020年9月3日</w:t>
            </w:r>
            <w:r>
              <w:rPr>
                <w:rFonts w:ascii="Times New Roman" w:hAnsi="Times New Roman" w:eastAsiaTheme="minorEastAsia"/>
                <w:b w:val="0"/>
                <w:sz w:val="24"/>
                <w:highlight w:val="green"/>
              </w:rPr>
              <w:t>安康市生态环境局为</w:t>
            </w:r>
            <w:r>
              <w:rPr>
                <w:rFonts w:hint="eastAsia" w:ascii="Times New Roman" w:hAnsi="Times New Roman" w:eastAsiaTheme="minorEastAsia"/>
                <w:b w:val="0"/>
                <w:sz w:val="24"/>
                <w:highlight w:val="green"/>
              </w:rPr>
              <w:t>旬阳县华拓工贸有限公司开具了行政处罚事先告知书和责令</w:t>
            </w:r>
            <w:r>
              <w:rPr>
                <w:rFonts w:ascii="Times New Roman" w:hAnsi="Times New Roman" w:eastAsiaTheme="minorEastAsia"/>
                <w:b w:val="0"/>
                <w:sz w:val="24"/>
                <w:highlight w:val="green"/>
              </w:rPr>
              <w:t>改正违法行为决定书，对其进行行政处罚</w:t>
            </w:r>
            <w:r>
              <w:rPr>
                <w:rFonts w:hint="eastAsia" w:ascii="Times New Roman" w:hAnsi="Times New Roman" w:eastAsiaTheme="minorEastAsia"/>
                <w:b w:val="0"/>
                <w:sz w:val="24"/>
                <w:highlight w:val="green"/>
              </w:rPr>
              <w:t>，要求旬阳县华拓工贸有限公司依据相关条例接受处罚，补办环评文件并予以批准后方能继续开工建设。目前，本项目正在办理环境影响评价相关手续。</w:t>
            </w:r>
          </w:p>
          <w:p>
            <w:pPr>
              <w:pStyle w:val="2"/>
              <w:ind w:firstLine="480" w:firstLineChars="200"/>
              <w:rPr>
                <w:rFonts w:ascii="Times New Roman" w:hAnsi="Times New Roman" w:eastAsiaTheme="minorEastAsia"/>
                <w:b w:val="0"/>
                <w:sz w:val="24"/>
                <w:highlight w:val="green"/>
              </w:rPr>
            </w:pPr>
            <w:r>
              <w:rPr>
                <w:rFonts w:hint="eastAsia" w:ascii="Times New Roman" w:hAnsi="Times New Roman" w:eastAsiaTheme="minorEastAsia"/>
                <w:b w:val="0"/>
                <w:sz w:val="24"/>
                <w:highlight w:val="green"/>
              </w:rPr>
              <w:t>2、现有建成区存在的环境问题</w:t>
            </w:r>
          </w:p>
          <w:p>
            <w:pPr>
              <w:ind w:firstLine="480" w:firstLineChars="200"/>
              <w:rPr>
                <w:rFonts w:ascii="宋体" w:hAnsi="宋体"/>
                <w:highlight w:val="green"/>
              </w:rPr>
            </w:pPr>
            <w:r>
              <w:rPr>
                <w:rFonts w:hint="eastAsia" w:ascii="宋体" w:hAnsi="宋体"/>
                <w:highlight w:val="green"/>
              </w:rPr>
              <w:t>⑴给料机、碎石机、滚筛、制砂机等设备未采取厂房封闭、</w:t>
            </w:r>
            <w:r>
              <w:rPr>
                <w:rFonts w:ascii="宋体" w:hAnsi="宋体"/>
                <w:highlight w:val="green"/>
              </w:rPr>
              <w:t>抑尘等措施</w:t>
            </w:r>
            <w:r>
              <w:rPr>
                <w:rFonts w:hint="eastAsia" w:ascii="宋体" w:hAnsi="宋体"/>
                <w:highlight w:val="green"/>
              </w:rPr>
              <w:t>；</w:t>
            </w:r>
          </w:p>
          <w:p>
            <w:pPr>
              <w:ind w:firstLine="480" w:firstLineChars="200"/>
              <w:rPr>
                <w:rFonts w:ascii="宋体" w:hAnsi="宋体"/>
                <w:highlight w:val="green"/>
              </w:rPr>
            </w:pPr>
            <w:r>
              <w:rPr>
                <w:rFonts w:hint="eastAsia" w:ascii="宋体" w:hAnsi="宋体"/>
                <w:highlight w:val="green"/>
              </w:rPr>
              <w:t>⑵项目生产工艺中洗砂工序会产生洗砂废水，目前未建设生产废水处理措施；</w:t>
            </w:r>
          </w:p>
          <w:p>
            <w:pPr>
              <w:ind w:firstLine="480" w:firstLineChars="200"/>
              <w:rPr>
                <w:highlight w:val="green"/>
              </w:rPr>
            </w:pPr>
            <w:r>
              <w:rPr>
                <w:rFonts w:hint="eastAsia" w:ascii="宋体" w:hAnsi="宋体"/>
                <w:highlight w:val="green"/>
              </w:rPr>
              <w:t>⑶项目未建设封闭的成品堆场，未对废渣原料</w:t>
            </w:r>
            <w:r>
              <w:rPr>
                <w:highlight w:val="green"/>
              </w:rPr>
              <w:t>堆</w:t>
            </w:r>
            <w:r>
              <w:rPr>
                <w:rFonts w:hint="eastAsia"/>
                <w:highlight w:val="green"/>
              </w:rPr>
              <w:t>场采取</w:t>
            </w:r>
            <w:r>
              <w:rPr>
                <w:highlight w:val="green"/>
              </w:rPr>
              <w:t>抑尘措施</w:t>
            </w:r>
            <w:r>
              <w:rPr>
                <w:rFonts w:hint="eastAsia"/>
                <w:highlight w:val="green"/>
              </w:rPr>
              <w:t>；</w:t>
            </w:r>
          </w:p>
          <w:p>
            <w:pPr>
              <w:ind w:firstLine="480" w:firstLineChars="200"/>
              <w:rPr>
                <w:rFonts w:ascii="宋体" w:hAnsi="宋体"/>
                <w:highlight w:val="green"/>
              </w:rPr>
            </w:pPr>
            <w:r>
              <w:rPr>
                <w:rFonts w:hint="eastAsia" w:ascii="宋体" w:hAnsi="宋体"/>
                <w:highlight w:val="green"/>
              </w:rPr>
              <w:t>⑷项目生活区目前使用旱厕，未建设化粪池，员工生活污水处理不当。</w:t>
            </w:r>
          </w:p>
          <w:p>
            <w:pPr>
              <w:pStyle w:val="2"/>
              <w:ind w:firstLine="480" w:firstLineChars="200"/>
              <w:rPr>
                <w:rFonts w:ascii="宋体" w:hAnsi="宋体" w:eastAsia="宋体"/>
                <w:b w:val="0"/>
                <w:sz w:val="24"/>
              </w:rPr>
            </w:pPr>
            <w:r>
              <w:rPr>
                <w:rFonts w:ascii="宋体" w:hAnsi="宋体" w:eastAsia="宋体"/>
                <w:b w:val="0"/>
                <w:sz w:val="24"/>
                <w:highlight w:val="green"/>
              </w:rPr>
              <w:t>针对以上环境问题</w:t>
            </w:r>
            <w:r>
              <w:rPr>
                <w:rFonts w:hint="eastAsia" w:ascii="宋体" w:hAnsi="宋体" w:eastAsia="宋体"/>
                <w:b w:val="0"/>
                <w:sz w:val="24"/>
                <w:highlight w:val="green"/>
              </w:rPr>
              <w:t>，</w:t>
            </w:r>
            <w:r>
              <w:rPr>
                <w:rFonts w:ascii="宋体" w:hAnsi="宋体" w:eastAsia="宋体"/>
                <w:b w:val="0"/>
                <w:sz w:val="24"/>
                <w:highlight w:val="green"/>
              </w:rPr>
              <w:t>本次环评</w:t>
            </w:r>
            <w:r>
              <w:rPr>
                <w:rFonts w:hint="eastAsia" w:ascii="宋体" w:hAnsi="宋体" w:eastAsia="宋体"/>
                <w:b w:val="0"/>
                <w:sz w:val="24"/>
                <w:highlight w:val="green"/>
              </w:rPr>
              <w:t>将</w:t>
            </w:r>
            <w:r>
              <w:rPr>
                <w:rFonts w:ascii="宋体" w:hAnsi="宋体" w:eastAsia="宋体"/>
                <w:b w:val="0"/>
                <w:sz w:val="24"/>
                <w:highlight w:val="green"/>
              </w:rPr>
              <w:t>对本项目提出环保措施</w:t>
            </w:r>
            <w:r>
              <w:rPr>
                <w:rFonts w:hint="eastAsia" w:ascii="宋体" w:hAnsi="宋体" w:eastAsia="宋体"/>
                <w:b w:val="0"/>
                <w:sz w:val="24"/>
                <w:highlight w:val="green"/>
              </w:rPr>
              <w:t>，严格要求企业在后续建设中对现有环境问题进行整改。</w:t>
            </w:r>
          </w:p>
        </w:tc>
      </w:tr>
    </w:tbl>
    <w:p>
      <w:pPr>
        <w:sectPr>
          <w:footerReference r:id="rId6" w:type="default"/>
          <w:pgSz w:w="11906" w:h="16838"/>
          <w:pgMar w:top="1440" w:right="1797" w:bottom="1440" w:left="1797" w:header="1191" w:footer="1191" w:gutter="0"/>
          <w:pgNumType w:start="1"/>
          <w:cols w:space="425" w:num="1"/>
          <w:docGrid w:type="linesAndChars" w:linePitch="312" w:charSpace="0"/>
        </w:sectPr>
      </w:pPr>
      <w:bookmarkStart w:id="3" w:name="_Toc1037"/>
    </w:p>
    <w:p>
      <w:pPr>
        <w:keepNext/>
        <w:keepLines/>
        <w:outlineLvl w:val="0"/>
        <w:rPr>
          <w:rFonts w:asciiTheme="minorEastAsia" w:hAnsiTheme="minorEastAsia" w:eastAsiaTheme="minorEastAsia"/>
          <w:b/>
          <w:bCs/>
          <w:kern w:val="44"/>
        </w:rPr>
      </w:pPr>
      <w:r>
        <w:rPr>
          <w:rFonts w:asciiTheme="minorEastAsia" w:hAnsiTheme="minorEastAsia" w:eastAsiaTheme="minorEastAsia"/>
          <w:b/>
          <w:bCs/>
          <w:kern w:val="44"/>
        </w:rPr>
        <w:t>建设项目所在地自然环境简况</w:t>
      </w:r>
      <w:bookmarkEnd w:id="3"/>
    </w:p>
    <w:tbl>
      <w:tblPr>
        <w:tblStyle w:val="24"/>
        <w:tblW w:w="850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6" w:type="dxa"/>
          </w:tcPr>
          <w:p>
            <w:pPr>
              <w:rPr>
                <w:b/>
                <w:bCs/>
              </w:rPr>
            </w:pPr>
            <w:r>
              <w:rPr>
                <w:b/>
                <w:bCs/>
              </w:rPr>
              <w:t>自然环境简况（地形、地貌、气候、气象、地表水等）</w:t>
            </w:r>
          </w:p>
          <w:p>
            <w:pPr>
              <w:ind w:firstLine="480" w:firstLineChars="200"/>
              <w:rPr>
                <w:bCs/>
              </w:rPr>
            </w:pPr>
            <w:r>
              <w:rPr>
                <w:bCs/>
              </w:rPr>
              <w:t>一、地理位置</w:t>
            </w:r>
          </w:p>
          <w:p>
            <w:pPr>
              <w:pStyle w:val="54"/>
              <w:adjustRightInd/>
              <w:snapToGrid/>
              <w:spacing w:beforeLines="0"/>
              <w:ind w:firstLine="480" w:firstLineChars="200"/>
              <w:rPr>
                <w:b w:val="0"/>
              </w:rPr>
            </w:pPr>
            <w:r>
              <w:rPr>
                <w:b w:val="0"/>
              </w:rPr>
              <w:t>镇坪县位于陕西省安康地区东南，</w:t>
            </w:r>
            <w:r>
              <w:fldChar w:fldCharType="begin"/>
            </w:r>
            <w:r>
              <w:instrText xml:space="preserve"> HYPERLINK "https://baike.baidu.com/item/%E5%A4%A7%E5%B7%B4%E5%B1%B1" \t "https://baike.baidu.com/item/%E9%95%87%E5%9D%AA%E5%8E%BF/_blank" </w:instrText>
            </w:r>
            <w:r>
              <w:fldChar w:fldCharType="separate"/>
            </w:r>
            <w:r>
              <w:rPr>
                <w:b w:val="0"/>
              </w:rPr>
              <w:t>大巴山</w:t>
            </w:r>
            <w:r>
              <w:rPr>
                <w:b w:val="0"/>
              </w:rPr>
              <w:fldChar w:fldCharType="end"/>
            </w:r>
            <w:r>
              <w:rPr>
                <w:b w:val="0"/>
              </w:rPr>
              <w:t>北侧腹地。地处东经109° 11′～109° 38′，北纬31° 42′～32° 13′。东与湖北省</w:t>
            </w:r>
            <w:r>
              <w:fldChar w:fldCharType="begin"/>
            </w:r>
            <w:r>
              <w:instrText xml:space="preserve"> HYPERLINK "https://baike.baidu.com/item/%E7%AB%B9%E6%BA%AA%E5%8E%BF/2883032" \t "https://baike.baidu.com/item/%E9%95%87%E5%9D%AA%E5%8E%BF/_blank" </w:instrText>
            </w:r>
            <w:r>
              <w:fldChar w:fldCharType="separate"/>
            </w:r>
            <w:r>
              <w:rPr>
                <w:b w:val="0"/>
              </w:rPr>
              <w:t>竹溪县</w:t>
            </w:r>
            <w:r>
              <w:rPr>
                <w:b w:val="0"/>
              </w:rPr>
              <w:fldChar w:fldCharType="end"/>
            </w:r>
            <w:r>
              <w:rPr>
                <w:b w:val="0"/>
              </w:rPr>
              <w:t>接壤，南与重庆市</w:t>
            </w:r>
            <w:r>
              <w:fldChar w:fldCharType="begin"/>
            </w:r>
            <w:r>
              <w:instrText xml:space="preserve"> HYPERLINK "https://baike.baidu.com/item/%E5%B7%AB%E6%BA%AA%E5%8E%BF/10976233" \t "https://baike.baidu.com/item/%E9%95%87%E5%9D%AA%E5%8E%BF/_blank" </w:instrText>
            </w:r>
            <w:r>
              <w:fldChar w:fldCharType="separate"/>
            </w:r>
            <w:r>
              <w:rPr>
                <w:b w:val="0"/>
              </w:rPr>
              <w:t>巫溪县</w:t>
            </w:r>
            <w:r>
              <w:rPr>
                <w:b w:val="0"/>
              </w:rPr>
              <w:fldChar w:fldCharType="end"/>
            </w:r>
            <w:r>
              <w:rPr>
                <w:b w:val="0"/>
              </w:rPr>
              <w:t>、</w:t>
            </w:r>
            <w:r>
              <w:fldChar w:fldCharType="begin"/>
            </w:r>
            <w:r>
              <w:instrText xml:space="preserve"> HYPERLINK "https://baike.baidu.com/item/%E5%9F%8E%E5%8F%A3%E5%8E%BF/10976245" \t "https://baike.baidu.com/item/%E9%95%87%E5%9D%AA%E5%8E%BF/_blank" </w:instrText>
            </w:r>
            <w:r>
              <w:fldChar w:fldCharType="separate"/>
            </w:r>
            <w:r>
              <w:rPr>
                <w:b w:val="0"/>
              </w:rPr>
              <w:t>城口县</w:t>
            </w:r>
            <w:r>
              <w:rPr>
                <w:b w:val="0"/>
              </w:rPr>
              <w:fldChar w:fldCharType="end"/>
            </w:r>
            <w:r>
              <w:rPr>
                <w:b w:val="0"/>
              </w:rPr>
              <w:t>毗邻，西北与本省</w:t>
            </w:r>
            <w:r>
              <w:fldChar w:fldCharType="begin"/>
            </w:r>
            <w:r>
              <w:instrText xml:space="preserve"> HYPERLINK "https://baike.baidu.com/item/%E5%B9%B3%E5%88%A9%E5%8E%BF/5010293" \t "https://baike.baidu.com/item/%E9%95%87%E5%9D%AA%E5%8E%BF/_blank" </w:instrText>
            </w:r>
            <w:r>
              <w:fldChar w:fldCharType="separate"/>
            </w:r>
            <w:r>
              <w:rPr>
                <w:b w:val="0"/>
              </w:rPr>
              <w:t>平利县</w:t>
            </w:r>
            <w:r>
              <w:rPr>
                <w:b w:val="0"/>
              </w:rPr>
              <w:fldChar w:fldCharType="end"/>
            </w:r>
            <w:r>
              <w:rPr>
                <w:b w:val="0"/>
              </w:rPr>
              <w:t>连界。县境南北长57km，东西宽43km，总面积1503.26km</w:t>
            </w:r>
            <w:r>
              <w:rPr>
                <w:b w:val="0"/>
                <w:vertAlign w:val="superscript"/>
              </w:rPr>
              <w:t>2</w:t>
            </w:r>
            <w:r>
              <w:rPr>
                <w:b w:val="0"/>
              </w:rPr>
              <w:t>。县人民政府驻地城关镇，距省会西安市公路里程578km。</w:t>
            </w:r>
          </w:p>
          <w:p>
            <w:pPr>
              <w:ind w:firstLine="480" w:firstLineChars="200"/>
            </w:pPr>
            <w:r>
              <w:t>本项目位于</w:t>
            </w:r>
            <w:r>
              <w:rPr>
                <w:rFonts w:hint="eastAsia"/>
              </w:rPr>
              <w:t>陕西省安康市镇坪县钟宝镇三坪村一组</w:t>
            </w:r>
            <w:r>
              <w:t>，</w:t>
            </w:r>
            <w:r>
              <w:rPr>
                <w:rFonts w:hint="eastAsia"/>
              </w:rPr>
              <w:t>在镇坪县南边</w:t>
            </w:r>
            <w:r>
              <w:t>13</w:t>
            </w:r>
            <w:r>
              <w:rPr>
                <w:rFonts w:hint="eastAsia"/>
              </w:rPr>
              <w:t>km</w:t>
            </w:r>
            <w:r>
              <w:t>处</w:t>
            </w:r>
            <w:r>
              <w:rPr>
                <w:rFonts w:hint="eastAsia"/>
              </w:rPr>
              <w:t>，三面环山，位于大河一华坪公路旁与南江河北面</w:t>
            </w:r>
            <w:r>
              <w:t>，</w:t>
            </w:r>
            <w:r>
              <w:rPr>
                <w:rFonts w:hint="eastAsia"/>
              </w:rPr>
              <w:t>交通便利</w:t>
            </w:r>
            <w:r>
              <w:t>。</w:t>
            </w:r>
          </w:p>
          <w:p>
            <w:pPr>
              <w:ind w:firstLine="480" w:firstLineChars="200"/>
              <w:rPr>
                <w:bCs/>
              </w:rPr>
            </w:pPr>
            <w:bookmarkStart w:id="4" w:name="_Toc88211721"/>
            <w:bookmarkStart w:id="5" w:name="_Toc58638876"/>
            <w:bookmarkStart w:id="6" w:name="_Toc73503860"/>
            <w:bookmarkStart w:id="7" w:name="_Toc74908560"/>
            <w:bookmarkStart w:id="8" w:name="_Toc75688475"/>
            <w:bookmarkStart w:id="9" w:name="_Toc58810536"/>
            <w:bookmarkStart w:id="10" w:name="_Toc73349380"/>
            <w:bookmarkStart w:id="11" w:name="_Toc74307536"/>
            <w:bookmarkStart w:id="12" w:name="_Toc59682783"/>
            <w:bookmarkStart w:id="13" w:name="_Toc59266584"/>
            <w:bookmarkStart w:id="14" w:name="_Toc73348467"/>
            <w:bookmarkStart w:id="15" w:name="_Toc75688623"/>
            <w:bookmarkStart w:id="16" w:name="_Toc58646767"/>
            <w:bookmarkStart w:id="17" w:name="_Toc73522864"/>
            <w:bookmarkStart w:id="18" w:name="_Toc74300420"/>
            <w:bookmarkStart w:id="19" w:name="_Toc71616965"/>
            <w:bookmarkStart w:id="20" w:name="_Toc73527815"/>
            <w:bookmarkStart w:id="21" w:name="_Toc75688915"/>
            <w:bookmarkStart w:id="22" w:name="_Toc58229300"/>
            <w:bookmarkStart w:id="23" w:name="_Toc75688769"/>
            <w:bookmarkStart w:id="24" w:name="_Toc58491008"/>
            <w:bookmarkStart w:id="25" w:name="_Toc73527663"/>
            <w:bookmarkStart w:id="26" w:name="_Toc59965643"/>
            <w:bookmarkStart w:id="27" w:name="_Toc58124705"/>
            <w:bookmarkStart w:id="28" w:name="_Toc58314436"/>
            <w:bookmarkStart w:id="29" w:name="_Toc58731254"/>
            <w:bookmarkStart w:id="30" w:name="_Toc60024595"/>
            <w:bookmarkStart w:id="31" w:name="_Toc80254150"/>
            <w:bookmarkStart w:id="32" w:name="_Toc58121771"/>
            <w:bookmarkStart w:id="33" w:name="_Toc72826727"/>
            <w:bookmarkStart w:id="34" w:name="_Toc75852260"/>
            <w:bookmarkStart w:id="35" w:name="_Toc60035519"/>
            <w:bookmarkStart w:id="36" w:name="_Toc80254296"/>
            <w:bookmarkStart w:id="37" w:name="_Toc88211867"/>
            <w:bookmarkStart w:id="38" w:name="_Toc74908706"/>
            <w:bookmarkStart w:id="39" w:name="_Toc75423663"/>
            <w:bookmarkStart w:id="40" w:name="_Toc58641487"/>
            <w:bookmarkStart w:id="41" w:name="_Toc73348619"/>
            <w:bookmarkStart w:id="42" w:name="_Toc58643188"/>
            <w:bookmarkStart w:id="43" w:name="_Toc58810449"/>
            <w:bookmarkStart w:id="44" w:name="_Toc57868320"/>
            <w:bookmarkStart w:id="45" w:name="_Toc88209379"/>
            <w:bookmarkStart w:id="46" w:name="_Toc74908350"/>
            <w:bookmarkStart w:id="47" w:name="_Toc58816639"/>
            <w:bookmarkStart w:id="48" w:name="_Toc58041088"/>
            <w:bookmarkStart w:id="49" w:name="_Toc59851095"/>
            <w:bookmarkStart w:id="50" w:name="_Toc74300274"/>
            <w:bookmarkStart w:id="51" w:name="_Toc73352241"/>
            <w:r>
              <w:rPr>
                <w:bCs/>
              </w:rPr>
              <w:t>二、地形、地貌</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widowControl w:val="0"/>
              <w:ind w:firstLine="480" w:firstLineChars="200"/>
            </w:pPr>
            <w:r>
              <w:t>镇坪县内山冈连绵，峰岭叠嶂，</w:t>
            </w:r>
            <w:r>
              <w:fldChar w:fldCharType="begin"/>
            </w:r>
            <w:r>
              <w:instrText xml:space="preserve"> HYPERLINK "https://baike.baidu.com/item/%E5%A4%A7%E5%B7%B4%E5%B1%B1" \t "https://baike.baidu.com/item/%E9%95%87%E5%9D%AA%E5%8E%BF/_blank" </w:instrText>
            </w:r>
            <w:r>
              <w:fldChar w:fldCharType="separate"/>
            </w:r>
            <w:r>
              <w:t>大巴山</w:t>
            </w:r>
            <w:r>
              <w:fldChar w:fldCharType="end"/>
            </w:r>
            <w:r>
              <w:t>主脊横亘县境南部，南江河纵贯南北，将镇坪县切割为东西两半，形成“两山夹一谷”的地貌。海拔2000m以上的山峰30余座，最高峰化龙山，海拔2917.2m。最低点</w:t>
            </w:r>
            <w:r>
              <w:fldChar w:fldCharType="begin"/>
            </w:r>
            <w:r>
              <w:instrText xml:space="preserve"> HYPERLINK "https://baike.baidu.com/item/%E6%B4%AA%E7%9F%B3%E4%B9%A1" \t "https://baike.baidu.com/item/%E9%95%87%E5%9D%AA%E5%8E%BF/_blank" </w:instrText>
            </w:r>
            <w:r>
              <w:fldChar w:fldCharType="separate"/>
            </w:r>
            <w:r>
              <w:t>洪石乡</w:t>
            </w:r>
            <w:r>
              <w:fldChar w:fldCharType="end"/>
            </w:r>
            <w:r>
              <w:t>阳溪口，海拔500m，县城所在地海拔930m，镇坪县平均海拔1615m。</w:t>
            </w:r>
          </w:p>
          <w:p>
            <w:pPr>
              <w:ind w:firstLine="480" w:firstLineChars="200"/>
            </w:pPr>
            <w:r>
              <w:t>项目所在地位于陕南秦巴山区，区内山高谷峡、沟壑从横、植被发育，该区内最高处海拔1838m，最低处河谷地带海拔1350m，相对高差约488m。区内地形切割较强烈，地形较陡峻</w:t>
            </w:r>
            <w:r>
              <w:rPr>
                <w:rFonts w:hint="eastAsia"/>
              </w:rPr>
              <w:t>，</w:t>
            </w:r>
            <w:r>
              <w:t>地形坡度多在25°～40°之间，属中低山陡坡地形。山脉近南东-北西展布，地势南高北低。坡脚覆盖层厚0～2m，大部分坡面基岩直接出露地表，地表植被发育，以杂灌为主。本项目位于</w:t>
            </w:r>
            <w:r>
              <w:rPr>
                <w:rFonts w:hint="eastAsia"/>
              </w:rPr>
              <w:t>南江河北</w:t>
            </w:r>
            <w:r>
              <w:t>岸，地形为低山丘陵地带。</w:t>
            </w:r>
          </w:p>
          <w:p>
            <w:pPr>
              <w:ind w:firstLine="480" w:firstLineChars="200"/>
              <w:rPr>
                <w:spacing w:val="8"/>
                <w:kern w:val="0"/>
              </w:rPr>
            </w:pPr>
            <w:r>
              <w:rPr>
                <w:rFonts w:hint="eastAsia"/>
                <w:kern w:val="0"/>
              </w:rPr>
              <w:t>三</w:t>
            </w:r>
            <w:r>
              <w:rPr>
                <w:kern w:val="0"/>
              </w:rPr>
              <w:t>、</w:t>
            </w:r>
            <w:r>
              <w:rPr>
                <w:rFonts w:hint="eastAsia"/>
              </w:rPr>
              <w:t>地质构造</w:t>
            </w:r>
          </w:p>
          <w:p>
            <w:pPr>
              <w:ind w:firstLine="480" w:firstLineChars="200"/>
            </w:pPr>
            <w:r>
              <w:rPr>
                <w:rFonts w:hint="eastAsia"/>
              </w:rPr>
              <w:t>项目区位于北大巴山加里东褶皱带高滩—兵房街褶皱系的南部，岩浆活动强烈，断裂发育，构造线与岩脉长轴均呈NW—SE向展布，主要出露一套古生代中浅变质的碳酸岩和泥质碎屑岩建造。其早古生代志留纪辉岩脉，辉长辉绿岩脉出露比较广泛。出露地层主要为寒武系下统八仙群（∈3bx），岩性主要为白云质泥灰岩、砂质泥灰岩夹角砾状灰岩；灰岩、泥质板岩、页片状灰岩等建筑石料用灰岩矿、饰面用板岩脉广泛出露。</w:t>
            </w:r>
          </w:p>
          <w:p>
            <w:pPr>
              <w:ind w:firstLine="480" w:firstLineChars="200"/>
            </w:pPr>
            <w:r>
              <w:rPr>
                <w:rFonts w:hint="eastAsia"/>
              </w:rPr>
              <w:t>根据《中国地震动参数区划图》（GB18306-2001），本区地震基本烈度为Ⅵ度，设计基本地震动峰值加速度为0.05g，反应谱特征周期0.40s。</w:t>
            </w:r>
          </w:p>
          <w:p>
            <w:pPr>
              <w:ind w:firstLine="480" w:firstLineChars="200"/>
              <w:rPr>
                <w:kern w:val="0"/>
              </w:rPr>
            </w:pPr>
            <w:r>
              <w:rPr>
                <w:rFonts w:hint="eastAsia"/>
                <w:kern w:val="0"/>
              </w:rPr>
              <w:t>四</w:t>
            </w:r>
            <w:r>
              <w:rPr>
                <w:kern w:val="0"/>
              </w:rPr>
              <w:t>、气候气象</w:t>
            </w:r>
          </w:p>
          <w:p>
            <w:pPr>
              <w:adjustRightInd w:val="0"/>
              <w:snapToGrid w:val="0"/>
              <w:ind w:firstLine="480" w:firstLineChars="200"/>
            </w:pPr>
            <w:bookmarkStart w:id="52" w:name="_Toc20466"/>
            <w:r>
              <w:t>镇坪县地处北亚热带边缘湿润季风气候区。由于地形高差大，兼有温暖带和中温带山地气候特征。春暖干燥，秋凉湿润并多连阴雨。全年气候温和，四季分明，雨量充沛，无霜期长，热量充足，光照稍差。根据镇坪气象站观测统计，多年平均气温12.1℃，全年极端最低气温-15.0℃，极端最高气温37.8℃，多年平均降水量995mm，多年平均蒸发量636mm，初霜始于11月9日，终霜期为3月11日，无霜期242天，多年平均风速1.5m/s。</w:t>
            </w:r>
            <w:bookmarkEnd w:id="52"/>
          </w:p>
          <w:p>
            <w:pPr>
              <w:ind w:firstLine="480" w:firstLineChars="200"/>
              <w:rPr>
                <w:kern w:val="0"/>
              </w:rPr>
            </w:pPr>
            <w:r>
              <w:rPr>
                <w:rFonts w:hint="eastAsia"/>
                <w:kern w:val="0"/>
              </w:rPr>
              <w:t>五</w:t>
            </w:r>
            <w:r>
              <w:rPr>
                <w:kern w:val="0"/>
              </w:rPr>
              <w:t>、水文特征</w:t>
            </w:r>
          </w:p>
          <w:p>
            <w:pPr>
              <w:widowControl w:val="0"/>
              <w:ind w:firstLine="480" w:firstLineChars="200"/>
              <w:rPr>
                <w:color w:val="000000"/>
              </w:rPr>
            </w:pPr>
            <w:r>
              <w:rPr>
                <w:rFonts w:hint="eastAsia"/>
                <w:color w:val="000000"/>
              </w:rPr>
              <w:t>南江</w:t>
            </w:r>
            <w:r>
              <w:rPr>
                <w:color w:val="000000"/>
              </w:rPr>
              <w:t>河从本项目所在地流过，</w:t>
            </w:r>
            <w:r>
              <w:t>南江河是</w:t>
            </w:r>
            <w:r>
              <w:fldChar w:fldCharType="begin"/>
            </w:r>
            <w:r>
              <w:instrText xml:space="preserve"> HYPERLINK "https://baike.baidu.com/item/%E6%B1%89%E6%B1%9F/14144" \t "https://baike.baidu.com/item/%E9%95%87%E5%9D%AA%E5%8E%BF/_blank" </w:instrText>
            </w:r>
            <w:r>
              <w:fldChar w:fldCharType="separate"/>
            </w:r>
            <w:r>
              <w:t>汉江</w:t>
            </w:r>
            <w:r>
              <w:fldChar w:fldCharType="end"/>
            </w:r>
            <w:r>
              <w:t>一级支流，属堵河上游，发源于渝、陕交界的界梁子，汇</w:t>
            </w:r>
            <w:r>
              <w:fldChar w:fldCharType="begin"/>
            </w:r>
            <w:r>
              <w:instrText xml:space="preserve"> HYPERLINK "https://baike.baidu.com/item/%E6%AF%9B%E5%9D%9D%E6%B2%B3" \t "https://baike.baidu.com/item/%E9%95%87%E5%9D%AA%E5%8E%BF/_blank" </w:instrText>
            </w:r>
            <w:r>
              <w:fldChar w:fldCharType="separate"/>
            </w:r>
            <w:r>
              <w:t>毛坝河</w:t>
            </w:r>
            <w:r>
              <w:fldChar w:fldCharType="end"/>
            </w:r>
            <w:r>
              <w:t>、大曙河、小曙河、竹溪河、</w:t>
            </w:r>
            <w:r>
              <w:fldChar w:fldCharType="begin"/>
            </w:r>
            <w:r>
              <w:instrText xml:space="preserve"> HYPERLINK "https://baike.baidu.com/item/%E6%B5%AA%E6%B2%B3" \t "https://baike.baidu.com/item/%E9%95%87%E5%9D%AA%E5%8E%BF/_blank" </w:instrText>
            </w:r>
            <w:r>
              <w:fldChar w:fldCharType="separate"/>
            </w:r>
            <w:r>
              <w:t>浪河</w:t>
            </w:r>
            <w:r>
              <w:fldChar w:fldCharType="end"/>
            </w:r>
            <w:r>
              <w:t>、洪石河等，由南向北，纵贯镇坪县，流径长107.4公里，行洪面积677.8平方公里。从洪阳江家垭子注入湖北堵河，属长江水系。共有长度在1公里/流域面积在1平方公里以上的大小沟河2742条，主要支流有大曙河、竹溪河、浪河、洪石河，密度为1.82条/平方公里，其中集水面积5平方公里以上的共70条，积雨面积852平方公里。径流量10.1亿立方米，人均占有水量1.76万立方米，为陕西省平均的11.2倍，水能理论蕴藏量25.3万千瓦，可开发利用23.2万千瓦。河道比降大，利于水电梯级开发。地下水总量9753.23万立方米/年，人均1705立方米，可开采量1517.8万立方米/年，人均265立方米，占估算量15.56%。水质据化验分析表明镇坪县河流水质均属软质水，PH值在8.24～8.36之间。含碘量偏低，耗氧量在1.7以下，砷、汞含量极低，符合人畜饮水及农田灌溉用水标准。</w:t>
            </w:r>
          </w:p>
          <w:p>
            <w:pPr>
              <w:ind w:firstLine="480" w:firstLineChars="200"/>
              <w:rPr>
                <w:kern w:val="0"/>
              </w:rPr>
            </w:pPr>
            <w:r>
              <w:rPr>
                <w:rFonts w:hint="eastAsia"/>
                <w:kern w:val="0"/>
              </w:rPr>
              <w:t>六</w:t>
            </w:r>
            <w:r>
              <w:rPr>
                <w:kern w:val="0"/>
              </w:rPr>
              <w:t>、植被及生物多样性</w:t>
            </w:r>
          </w:p>
          <w:p>
            <w:pPr>
              <w:ind w:firstLine="480" w:firstLineChars="200"/>
              <w:rPr>
                <w:rFonts w:asciiTheme="minorEastAsia" w:hAnsiTheme="minorEastAsia" w:eastAsiaTheme="minorEastAsia"/>
              </w:rPr>
            </w:pPr>
            <w:r>
              <w:rPr>
                <w:rFonts w:hint="eastAsia" w:asciiTheme="minorEastAsia" w:hAnsiTheme="minorEastAsia" w:eastAsiaTheme="minorEastAsia"/>
              </w:rPr>
              <w:t>项目区地处亚热带北部边缘，区内林草植被覆盖率为70.0%，属亚热带常绿、落叶阔叶林地带和温带落叶阔叶林地带的分界线上，植被水平分布的过度性比较明显，形成森林类型多样，结构复杂，树种丰富的森林植被资源。主要乔木树种有：油松、栎类、杨类、栓皮栎等；灌木有：胡颓子，黄栌等；草本有：羊胡子草、丝茅草、菊科杂草、蕨类、蒿类等。</w:t>
            </w:r>
          </w:p>
          <w:p>
            <w:pPr>
              <w:pStyle w:val="2"/>
              <w:ind w:firstLine="480" w:firstLineChars="200"/>
              <w:rPr>
                <w:rFonts w:asciiTheme="minorEastAsia" w:hAnsiTheme="minorEastAsia" w:eastAsiaTheme="minorEastAsia"/>
                <w:b w:val="0"/>
                <w:sz w:val="24"/>
              </w:rPr>
            </w:pPr>
            <w:r>
              <w:rPr>
                <w:rFonts w:hint="eastAsia" w:asciiTheme="minorEastAsia" w:hAnsiTheme="minorEastAsia" w:eastAsiaTheme="minorEastAsia"/>
                <w:b w:val="0"/>
                <w:sz w:val="24"/>
              </w:rPr>
              <w:t>项目拟建地区内无国家和地方重点保护的植物，无珍稀、濒危的野生动植物，生物多样性呈现一般。</w:t>
            </w:r>
          </w:p>
          <w:p/>
        </w:tc>
      </w:tr>
    </w:tbl>
    <w:p>
      <w:pPr>
        <w:keepNext/>
        <w:keepLines/>
        <w:outlineLvl w:val="0"/>
        <w:rPr>
          <w:rFonts w:asciiTheme="minorEastAsia" w:hAnsiTheme="minorEastAsia" w:eastAsiaTheme="minorEastAsia"/>
          <w:b/>
          <w:bCs/>
          <w:kern w:val="44"/>
        </w:rPr>
      </w:pPr>
      <w:bookmarkStart w:id="53" w:name="_Toc1894"/>
      <w:r>
        <w:rPr>
          <w:rFonts w:asciiTheme="minorEastAsia" w:hAnsiTheme="minorEastAsia" w:eastAsiaTheme="minorEastAsia"/>
          <w:b/>
          <w:bCs/>
          <w:kern w:val="44"/>
        </w:rPr>
        <w:t>环境质量状况</w:t>
      </w:r>
      <w:bookmarkEnd w:id="53"/>
    </w:p>
    <w:tbl>
      <w:tblPr>
        <w:tblStyle w:val="24"/>
        <w:tblW w:w="854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73" w:hRule="atLeast"/>
        </w:trPr>
        <w:tc>
          <w:tcPr>
            <w:tcW w:w="8548" w:type="dxa"/>
          </w:tcPr>
          <w:p>
            <w:pPr>
              <w:rPr>
                <w:rFonts w:eastAsiaTheme="minorEastAsia"/>
                <w:b/>
                <w:bCs/>
              </w:rPr>
            </w:pPr>
            <w:r>
              <w:rPr>
                <w:rFonts w:hint="eastAsia" w:eastAsiaTheme="minorEastAsia"/>
                <w:b/>
                <w:bCs/>
              </w:rPr>
              <w:t>建设项目所在地区域环境质量现状及主要环境问题（环境空气、地表水、地下水、声环境、生态环境等）</w:t>
            </w:r>
          </w:p>
          <w:p>
            <w:pPr>
              <w:tabs>
                <w:tab w:val="left" w:pos="3555"/>
              </w:tabs>
              <w:ind w:firstLine="480" w:firstLineChars="200"/>
              <w:rPr>
                <w:rStyle w:val="87"/>
                <w:bCs/>
                <w:sz w:val="24"/>
              </w:rPr>
            </w:pPr>
            <w:r>
              <w:rPr>
                <w:rStyle w:val="87"/>
                <w:bCs/>
                <w:sz w:val="24"/>
              </w:rPr>
              <w:t>一、环境空气质量现状</w:t>
            </w:r>
            <w:r>
              <w:rPr>
                <w:rStyle w:val="87"/>
                <w:rFonts w:hint="eastAsia"/>
                <w:bCs/>
                <w:sz w:val="24"/>
              </w:rPr>
              <w:t>调查</w:t>
            </w:r>
            <w:r>
              <w:rPr>
                <w:bCs/>
              </w:rPr>
              <w:t>与评价</w:t>
            </w:r>
          </w:p>
          <w:p>
            <w:pPr>
              <w:ind w:firstLine="480" w:firstLineChars="200"/>
              <w:jc w:val="left"/>
            </w:pPr>
            <w:r>
              <w:rPr>
                <w:rFonts w:hint="eastAsia"/>
              </w:rPr>
              <w:t>1、空气质量达标区判定</w:t>
            </w:r>
          </w:p>
          <w:p>
            <w:pPr>
              <w:ind w:firstLine="480" w:firstLineChars="200"/>
              <w:rPr>
                <w:rFonts w:eastAsiaTheme="minorEastAsia"/>
              </w:rPr>
            </w:pPr>
            <w:r>
              <w:t>根据《环境影响评价技术导则-大气环境》（HJ2.2-2018），本次环境空气质量基本污染物现状评价采用陕西省生态环境厅办公室发布的《201</w:t>
            </w:r>
            <w:r>
              <w:rPr>
                <w:rFonts w:hint="eastAsia"/>
              </w:rPr>
              <w:t>9</w:t>
            </w:r>
            <w:r>
              <w:t>年</w:t>
            </w:r>
            <w:r>
              <w:rPr>
                <w:rFonts w:hint="eastAsia"/>
              </w:rPr>
              <w:t>12月及</w:t>
            </w:r>
            <w:r>
              <w:t>1～12月全省环境空气质量状况》中</w:t>
            </w:r>
            <w:r>
              <w:rPr>
                <w:rFonts w:hint="eastAsia"/>
              </w:rPr>
              <w:t>安康市镇坪县</w:t>
            </w:r>
            <w:r>
              <w:t>的常规例行监测数据。监测结果详见表</w:t>
            </w:r>
            <w:r>
              <w:rPr>
                <w:rFonts w:hint="eastAsia" w:eastAsiaTheme="minorEastAsia"/>
              </w:rPr>
              <w:t>3-</w:t>
            </w:r>
            <w:r>
              <w:rPr>
                <w:rFonts w:eastAsiaTheme="minorEastAsia"/>
              </w:rPr>
              <w:t>1：</w:t>
            </w:r>
          </w:p>
          <w:p>
            <w:pPr>
              <w:numPr>
                <w:ilvl w:val="0"/>
                <w:numId w:val="3"/>
              </w:numPr>
              <w:spacing w:line="240" w:lineRule="auto"/>
              <w:ind w:left="0" w:firstLine="0"/>
              <w:jc w:val="center"/>
              <w:rPr>
                <w:b/>
                <w:sz w:val="21"/>
                <w:szCs w:val="21"/>
              </w:rPr>
            </w:pPr>
            <w:r>
              <w:rPr>
                <w:rFonts w:hint="eastAsia"/>
                <w:b/>
                <w:sz w:val="21"/>
                <w:szCs w:val="21"/>
              </w:rPr>
              <w:t xml:space="preserve"> </w:t>
            </w:r>
            <w:r>
              <w:rPr>
                <w:b/>
                <w:sz w:val="21"/>
                <w:szCs w:val="21"/>
              </w:rPr>
              <w:t xml:space="preserve"> </w:t>
            </w:r>
            <w:r>
              <w:rPr>
                <w:rFonts w:hint="eastAsia"/>
                <w:b/>
                <w:sz w:val="21"/>
                <w:szCs w:val="21"/>
              </w:rPr>
              <w:t>安康市</w:t>
            </w:r>
            <w:r>
              <w:rPr>
                <w:b/>
                <w:sz w:val="21"/>
                <w:szCs w:val="21"/>
              </w:rPr>
              <w:t>镇坪县</w:t>
            </w:r>
            <w:r>
              <w:rPr>
                <w:rFonts w:hint="eastAsia"/>
                <w:b/>
                <w:sz w:val="21"/>
                <w:szCs w:val="21"/>
              </w:rPr>
              <w:t>2</w:t>
            </w:r>
            <w:r>
              <w:rPr>
                <w:b/>
                <w:sz w:val="21"/>
                <w:szCs w:val="21"/>
              </w:rPr>
              <w:t>019年度环境空气浓度值汇总表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2878"/>
              <w:gridCol w:w="1151"/>
              <w:gridCol w:w="1151"/>
              <w:gridCol w:w="1129"/>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98" w:type="pct"/>
                  <w:shd w:val="clear" w:color="auto" w:fill="auto"/>
                  <w:vAlign w:val="center"/>
                </w:tcPr>
                <w:p>
                  <w:pPr>
                    <w:spacing w:line="240" w:lineRule="auto"/>
                    <w:jc w:val="center"/>
                    <w:rPr>
                      <w:rFonts w:eastAsiaTheme="majorEastAsia"/>
                      <w:sz w:val="21"/>
                      <w:szCs w:val="21"/>
                    </w:rPr>
                  </w:pPr>
                  <w:r>
                    <w:rPr>
                      <w:rFonts w:eastAsiaTheme="majorEastAsia"/>
                      <w:sz w:val="21"/>
                      <w:szCs w:val="21"/>
                    </w:rPr>
                    <w:t>污染物</w:t>
                  </w:r>
                </w:p>
              </w:tc>
              <w:tc>
                <w:tcPr>
                  <w:tcW w:w="1703" w:type="pct"/>
                  <w:shd w:val="clear" w:color="auto" w:fill="auto"/>
                  <w:vAlign w:val="center"/>
                </w:tcPr>
                <w:p>
                  <w:pPr>
                    <w:spacing w:line="240" w:lineRule="auto"/>
                    <w:jc w:val="center"/>
                    <w:rPr>
                      <w:rFonts w:eastAsiaTheme="majorEastAsia"/>
                      <w:sz w:val="21"/>
                      <w:szCs w:val="21"/>
                    </w:rPr>
                  </w:pPr>
                  <w:r>
                    <w:rPr>
                      <w:rFonts w:eastAsiaTheme="majorEastAsia"/>
                      <w:sz w:val="21"/>
                      <w:szCs w:val="21"/>
                    </w:rPr>
                    <w:t>评价指标</w:t>
                  </w:r>
                </w:p>
              </w:tc>
              <w:tc>
                <w:tcPr>
                  <w:tcW w:w="681" w:type="pct"/>
                  <w:shd w:val="clear" w:color="auto" w:fill="auto"/>
                  <w:vAlign w:val="center"/>
                </w:tcPr>
                <w:p>
                  <w:pPr>
                    <w:spacing w:line="240" w:lineRule="auto"/>
                    <w:jc w:val="center"/>
                    <w:rPr>
                      <w:rFonts w:eastAsiaTheme="majorEastAsia"/>
                      <w:sz w:val="21"/>
                      <w:szCs w:val="21"/>
                    </w:rPr>
                  </w:pPr>
                  <w:r>
                    <w:rPr>
                      <w:rFonts w:eastAsiaTheme="majorEastAsia"/>
                      <w:sz w:val="21"/>
                      <w:szCs w:val="21"/>
                    </w:rPr>
                    <w:t>现状浓度</w:t>
                  </w:r>
                </w:p>
              </w:tc>
              <w:tc>
                <w:tcPr>
                  <w:tcW w:w="681" w:type="pct"/>
                  <w:shd w:val="clear" w:color="auto" w:fill="auto"/>
                  <w:vAlign w:val="center"/>
                </w:tcPr>
                <w:p>
                  <w:pPr>
                    <w:spacing w:line="240" w:lineRule="auto"/>
                    <w:jc w:val="center"/>
                    <w:rPr>
                      <w:rFonts w:eastAsiaTheme="majorEastAsia"/>
                      <w:sz w:val="21"/>
                      <w:szCs w:val="21"/>
                    </w:rPr>
                  </w:pPr>
                  <w:r>
                    <w:rPr>
                      <w:rFonts w:eastAsiaTheme="majorEastAsia"/>
                      <w:sz w:val="21"/>
                      <w:szCs w:val="21"/>
                    </w:rPr>
                    <w:t>标准</w:t>
                  </w:r>
                  <w:r>
                    <w:rPr>
                      <w:rFonts w:hint="eastAsia" w:eastAsiaTheme="majorEastAsia"/>
                      <w:sz w:val="21"/>
                      <w:szCs w:val="21"/>
                    </w:rPr>
                    <w:t>值</w:t>
                  </w:r>
                </w:p>
              </w:tc>
              <w:tc>
                <w:tcPr>
                  <w:tcW w:w="668" w:type="pct"/>
                  <w:shd w:val="clear" w:color="auto" w:fill="auto"/>
                  <w:vAlign w:val="center"/>
                </w:tcPr>
                <w:p>
                  <w:pPr>
                    <w:spacing w:line="240" w:lineRule="auto"/>
                    <w:jc w:val="center"/>
                    <w:rPr>
                      <w:rFonts w:eastAsiaTheme="majorEastAsia"/>
                      <w:sz w:val="21"/>
                      <w:szCs w:val="21"/>
                    </w:rPr>
                  </w:pPr>
                  <w:r>
                    <w:rPr>
                      <w:rFonts w:eastAsiaTheme="majorEastAsia"/>
                      <w:sz w:val="21"/>
                      <w:szCs w:val="21"/>
                    </w:rPr>
                    <w:t>占标率%</w:t>
                  </w:r>
                </w:p>
              </w:tc>
              <w:tc>
                <w:tcPr>
                  <w:tcW w:w="669" w:type="pct"/>
                  <w:shd w:val="clear" w:color="auto" w:fill="auto"/>
                  <w:vAlign w:val="center"/>
                </w:tcPr>
                <w:p>
                  <w:pPr>
                    <w:spacing w:line="240" w:lineRule="auto"/>
                    <w:jc w:val="center"/>
                    <w:rPr>
                      <w:rFonts w:eastAsiaTheme="majorEastAsia"/>
                      <w:sz w:val="21"/>
                      <w:szCs w:val="21"/>
                    </w:rPr>
                  </w:pPr>
                  <w:r>
                    <w:rPr>
                      <w:rFonts w:eastAsiaTheme="majorEastAsia"/>
                      <w:sz w:val="21"/>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98" w:type="pct"/>
                  <w:shd w:val="clear" w:color="auto" w:fill="auto"/>
                  <w:vAlign w:val="center"/>
                </w:tcPr>
                <w:p>
                  <w:pPr>
                    <w:spacing w:line="240" w:lineRule="auto"/>
                    <w:jc w:val="center"/>
                    <w:rPr>
                      <w:rFonts w:eastAsiaTheme="majorEastAsia"/>
                      <w:sz w:val="21"/>
                      <w:szCs w:val="21"/>
                    </w:rPr>
                  </w:pPr>
                  <w:r>
                    <w:rPr>
                      <w:rFonts w:eastAsiaTheme="majorEastAsia"/>
                      <w:sz w:val="21"/>
                      <w:szCs w:val="21"/>
                    </w:rPr>
                    <w:t>PM</w:t>
                  </w:r>
                  <w:r>
                    <w:rPr>
                      <w:rFonts w:eastAsiaTheme="majorEastAsia"/>
                      <w:sz w:val="21"/>
                      <w:szCs w:val="21"/>
                      <w:vertAlign w:val="subscript"/>
                    </w:rPr>
                    <w:t>10</w:t>
                  </w:r>
                </w:p>
              </w:tc>
              <w:tc>
                <w:tcPr>
                  <w:tcW w:w="1703" w:type="pct"/>
                  <w:shd w:val="clear" w:color="auto" w:fill="auto"/>
                  <w:vAlign w:val="center"/>
                </w:tcPr>
                <w:p>
                  <w:pPr>
                    <w:spacing w:line="240" w:lineRule="auto"/>
                    <w:jc w:val="center"/>
                    <w:rPr>
                      <w:sz w:val="21"/>
                      <w:szCs w:val="21"/>
                    </w:rPr>
                  </w:pPr>
                  <w:r>
                    <w:rPr>
                      <w:sz w:val="21"/>
                      <w:szCs w:val="21"/>
                    </w:rPr>
                    <w:t>年平均质量浓度（µg</w:t>
                  </w:r>
                  <w:r>
                    <w:rPr>
                      <w:bCs/>
                      <w:snapToGrid w:val="0"/>
                      <w:sz w:val="21"/>
                      <w:szCs w:val="21"/>
                    </w:rPr>
                    <w:t>/m</w:t>
                  </w:r>
                  <w:r>
                    <w:rPr>
                      <w:bCs/>
                      <w:snapToGrid w:val="0"/>
                      <w:sz w:val="21"/>
                      <w:szCs w:val="21"/>
                      <w:vertAlign w:val="superscript"/>
                    </w:rPr>
                    <w:t>3</w:t>
                  </w:r>
                  <w:r>
                    <w:rPr>
                      <w:sz w:val="21"/>
                      <w:szCs w:val="21"/>
                    </w:rPr>
                    <w:t>）</w:t>
                  </w:r>
                </w:p>
              </w:tc>
              <w:tc>
                <w:tcPr>
                  <w:tcW w:w="681" w:type="pct"/>
                  <w:shd w:val="clear" w:color="auto" w:fill="auto"/>
                  <w:vAlign w:val="center"/>
                </w:tcPr>
                <w:p>
                  <w:pPr>
                    <w:spacing w:line="240" w:lineRule="auto"/>
                    <w:jc w:val="center"/>
                    <w:rPr>
                      <w:rFonts w:eastAsiaTheme="majorEastAsia"/>
                      <w:sz w:val="21"/>
                      <w:szCs w:val="21"/>
                    </w:rPr>
                  </w:pPr>
                  <w:r>
                    <w:rPr>
                      <w:rFonts w:eastAsiaTheme="majorEastAsia"/>
                      <w:sz w:val="21"/>
                      <w:szCs w:val="21"/>
                    </w:rPr>
                    <w:t>36</w:t>
                  </w:r>
                </w:p>
              </w:tc>
              <w:tc>
                <w:tcPr>
                  <w:tcW w:w="681" w:type="pct"/>
                  <w:shd w:val="clear" w:color="auto" w:fill="auto"/>
                  <w:vAlign w:val="center"/>
                </w:tcPr>
                <w:p>
                  <w:pPr>
                    <w:spacing w:line="240" w:lineRule="auto"/>
                    <w:jc w:val="center"/>
                    <w:rPr>
                      <w:rFonts w:eastAsiaTheme="majorEastAsia"/>
                      <w:sz w:val="21"/>
                      <w:szCs w:val="21"/>
                    </w:rPr>
                  </w:pPr>
                  <w:r>
                    <w:rPr>
                      <w:rFonts w:eastAsiaTheme="majorEastAsia"/>
                      <w:sz w:val="21"/>
                      <w:szCs w:val="21"/>
                    </w:rPr>
                    <w:t>70</w:t>
                  </w:r>
                </w:p>
              </w:tc>
              <w:tc>
                <w:tcPr>
                  <w:tcW w:w="668" w:type="pct"/>
                  <w:shd w:val="clear" w:color="auto" w:fill="auto"/>
                  <w:vAlign w:val="center"/>
                </w:tcPr>
                <w:p>
                  <w:pPr>
                    <w:spacing w:line="240" w:lineRule="auto"/>
                    <w:jc w:val="center"/>
                    <w:rPr>
                      <w:color w:val="000000"/>
                      <w:kern w:val="0"/>
                      <w:sz w:val="21"/>
                      <w:szCs w:val="21"/>
                    </w:rPr>
                  </w:pPr>
                  <w:r>
                    <w:rPr>
                      <w:color w:val="000000"/>
                      <w:sz w:val="21"/>
                      <w:szCs w:val="21"/>
                    </w:rPr>
                    <w:t>51.43</w:t>
                  </w:r>
                </w:p>
              </w:tc>
              <w:tc>
                <w:tcPr>
                  <w:tcW w:w="669" w:type="pct"/>
                  <w:shd w:val="clear" w:color="auto" w:fill="auto"/>
                  <w:vAlign w:val="center"/>
                </w:tcPr>
                <w:p>
                  <w:pPr>
                    <w:spacing w:line="240" w:lineRule="auto"/>
                    <w:jc w:val="center"/>
                    <w:rPr>
                      <w:rFonts w:eastAsiaTheme="majorEastAsia"/>
                      <w:sz w:val="21"/>
                      <w:szCs w:val="21"/>
                    </w:rPr>
                  </w:pPr>
                  <w:r>
                    <w:rPr>
                      <w:rFonts w:eastAsiaTheme="maj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98" w:type="pct"/>
                  <w:shd w:val="clear" w:color="auto" w:fill="auto"/>
                  <w:vAlign w:val="center"/>
                </w:tcPr>
                <w:p>
                  <w:pPr>
                    <w:spacing w:line="240" w:lineRule="auto"/>
                    <w:jc w:val="center"/>
                    <w:rPr>
                      <w:rFonts w:eastAsiaTheme="majorEastAsia"/>
                      <w:sz w:val="21"/>
                      <w:szCs w:val="21"/>
                    </w:rPr>
                  </w:pPr>
                  <w:r>
                    <w:rPr>
                      <w:rFonts w:eastAsiaTheme="majorEastAsia"/>
                      <w:sz w:val="21"/>
                      <w:szCs w:val="21"/>
                    </w:rPr>
                    <w:t>PM</w:t>
                  </w:r>
                  <w:r>
                    <w:rPr>
                      <w:rFonts w:eastAsiaTheme="majorEastAsia"/>
                      <w:sz w:val="21"/>
                      <w:szCs w:val="21"/>
                      <w:vertAlign w:val="subscript"/>
                    </w:rPr>
                    <w:t>2.5</w:t>
                  </w:r>
                </w:p>
              </w:tc>
              <w:tc>
                <w:tcPr>
                  <w:tcW w:w="1703" w:type="pct"/>
                  <w:shd w:val="clear" w:color="auto" w:fill="auto"/>
                  <w:vAlign w:val="center"/>
                </w:tcPr>
                <w:p>
                  <w:pPr>
                    <w:spacing w:line="240" w:lineRule="auto"/>
                    <w:jc w:val="center"/>
                    <w:rPr>
                      <w:sz w:val="21"/>
                      <w:szCs w:val="21"/>
                    </w:rPr>
                  </w:pPr>
                  <w:r>
                    <w:rPr>
                      <w:sz w:val="21"/>
                      <w:szCs w:val="21"/>
                    </w:rPr>
                    <w:t>年平均质量浓度（µg</w:t>
                  </w:r>
                  <w:r>
                    <w:rPr>
                      <w:bCs/>
                      <w:snapToGrid w:val="0"/>
                      <w:sz w:val="21"/>
                      <w:szCs w:val="21"/>
                    </w:rPr>
                    <w:t>/m</w:t>
                  </w:r>
                  <w:r>
                    <w:rPr>
                      <w:bCs/>
                      <w:snapToGrid w:val="0"/>
                      <w:sz w:val="21"/>
                      <w:szCs w:val="21"/>
                      <w:vertAlign w:val="superscript"/>
                    </w:rPr>
                    <w:t>3</w:t>
                  </w:r>
                  <w:r>
                    <w:rPr>
                      <w:sz w:val="21"/>
                      <w:szCs w:val="21"/>
                    </w:rPr>
                    <w:t>）</w:t>
                  </w:r>
                </w:p>
              </w:tc>
              <w:tc>
                <w:tcPr>
                  <w:tcW w:w="681" w:type="pct"/>
                  <w:shd w:val="clear" w:color="auto" w:fill="auto"/>
                  <w:vAlign w:val="center"/>
                </w:tcPr>
                <w:p>
                  <w:pPr>
                    <w:spacing w:line="240" w:lineRule="auto"/>
                    <w:jc w:val="center"/>
                    <w:rPr>
                      <w:rFonts w:eastAsiaTheme="majorEastAsia"/>
                      <w:sz w:val="21"/>
                      <w:szCs w:val="21"/>
                    </w:rPr>
                  </w:pPr>
                  <w:r>
                    <w:rPr>
                      <w:rFonts w:eastAsiaTheme="majorEastAsia"/>
                      <w:sz w:val="21"/>
                      <w:szCs w:val="21"/>
                    </w:rPr>
                    <w:t>23</w:t>
                  </w:r>
                </w:p>
              </w:tc>
              <w:tc>
                <w:tcPr>
                  <w:tcW w:w="681" w:type="pct"/>
                  <w:shd w:val="clear" w:color="auto" w:fill="auto"/>
                  <w:vAlign w:val="center"/>
                </w:tcPr>
                <w:p>
                  <w:pPr>
                    <w:spacing w:line="240" w:lineRule="auto"/>
                    <w:jc w:val="center"/>
                    <w:rPr>
                      <w:rFonts w:eastAsiaTheme="majorEastAsia"/>
                      <w:sz w:val="21"/>
                      <w:szCs w:val="21"/>
                    </w:rPr>
                  </w:pPr>
                  <w:r>
                    <w:rPr>
                      <w:rFonts w:eastAsiaTheme="majorEastAsia"/>
                      <w:sz w:val="21"/>
                      <w:szCs w:val="21"/>
                    </w:rPr>
                    <w:t>35</w:t>
                  </w:r>
                </w:p>
              </w:tc>
              <w:tc>
                <w:tcPr>
                  <w:tcW w:w="668" w:type="pct"/>
                  <w:shd w:val="clear" w:color="auto" w:fill="auto"/>
                  <w:vAlign w:val="center"/>
                </w:tcPr>
                <w:p>
                  <w:pPr>
                    <w:spacing w:line="240" w:lineRule="auto"/>
                    <w:jc w:val="center"/>
                    <w:rPr>
                      <w:color w:val="000000"/>
                      <w:sz w:val="21"/>
                      <w:szCs w:val="21"/>
                    </w:rPr>
                  </w:pPr>
                  <w:r>
                    <w:rPr>
                      <w:color w:val="000000"/>
                      <w:sz w:val="21"/>
                      <w:szCs w:val="21"/>
                    </w:rPr>
                    <w:t>65.71</w:t>
                  </w:r>
                </w:p>
              </w:tc>
              <w:tc>
                <w:tcPr>
                  <w:tcW w:w="669" w:type="pct"/>
                  <w:shd w:val="clear" w:color="auto" w:fill="auto"/>
                  <w:vAlign w:val="center"/>
                </w:tcPr>
                <w:p>
                  <w:pPr>
                    <w:spacing w:line="240" w:lineRule="auto"/>
                    <w:jc w:val="center"/>
                    <w:rPr>
                      <w:sz w:val="21"/>
                      <w:szCs w:val="21"/>
                    </w:rPr>
                  </w:pPr>
                  <w:r>
                    <w:rPr>
                      <w:rFonts w:eastAsiaTheme="maj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98" w:type="pct"/>
                  <w:shd w:val="clear" w:color="auto" w:fill="auto"/>
                  <w:vAlign w:val="center"/>
                </w:tcPr>
                <w:p>
                  <w:pPr>
                    <w:spacing w:line="240" w:lineRule="auto"/>
                    <w:jc w:val="center"/>
                    <w:rPr>
                      <w:rFonts w:eastAsiaTheme="majorEastAsia"/>
                      <w:sz w:val="21"/>
                      <w:szCs w:val="21"/>
                    </w:rPr>
                  </w:pPr>
                  <w:r>
                    <w:rPr>
                      <w:rFonts w:eastAsiaTheme="majorEastAsia"/>
                      <w:sz w:val="21"/>
                      <w:szCs w:val="21"/>
                    </w:rPr>
                    <w:t>SO</w:t>
                  </w:r>
                  <w:r>
                    <w:rPr>
                      <w:rFonts w:eastAsiaTheme="majorEastAsia"/>
                      <w:sz w:val="21"/>
                      <w:szCs w:val="21"/>
                      <w:vertAlign w:val="subscript"/>
                    </w:rPr>
                    <w:t>2</w:t>
                  </w:r>
                </w:p>
              </w:tc>
              <w:tc>
                <w:tcPr>
                  <w:tcW w:w="1703" w:type="pct"/>
                  <w:shd w:val="clear" w:color="auto" w:fill="auto"/>
                  <w:vAlign w:val="center"/>
                </w:tcPr>
                <w:p>
                  <w:pPr>
                    <w:spacing w:line="240" w:lineRule="auto"/>
                    <w:jc w:val="center"/>
                    <w:rPr>
                      <w:sz w:val="21"/>
                      <w:szCs w:val="21"/>
                    </w:rPr>
                  </w:pPr>
                  <w:r>
                    <w:rPr>
                      <w:sz w:val="21"/>
                      <w:szCs w:val="21"/>
                    </w:rPr>
                    <w:t>年平均质量浓度（µg</w:t>
                  </w:r>
                  <w:r>
                    <w:rPr>
                      <w:bCs/>
                      <w:snapToGrid w:val="0"/>
                      <w:sz w:val="21"/>
                      <w:szCs w:val="21"/>
                    </w:rPr>
                    <w:t>/m</w:t>
                  </w:r>
                  <w:r>
                    <w:rPr>
                      <w:bCs/>
                      <w:snapToGrid w:val="0"/>
                      <w:sz w:val="21"/>
                      <w:szCs w:val="21"/>
                      <w:vertAlign w:val="superscript"/>
                    </w:rPr>
                    <w:t>3</w:t>
                  </w:r>
                  <w:r>
                    <w:rPr>
                      <w:sz w:val="21"/>
                      <w:szCs w:val="21"/>
                    </w:rPr>
                    <w:t>）</w:t>
                  </w:r>
                </w:p>
              </w:tc>
              <w:tc>
                <w:tcPr>
                  <w:tcW w:w="681" w:type="pct"/>
                  <w:shd w:val="clear" w:color="auto" w:fill="auto"/>
                  <w:vAlign w:val="center"/>
                </w:tcPr>
                <w:p>
                  <w:pPr>
                    <w:spacing w:line="240" w:lineRule="auto"/>
                    <w:jc w:val="center"/>
                    <w:rPr>
                      <w:rFonts w:eastAsiaTheme="majorEastAsia"/>
                      <w:sz w:val="21"/>
                      <w:szCs w:val="21"/>
                    </w:rPr>
                  </w:pPr>
                  <w:r>
                    <w:rPr>
                      <w:rFonts w:eastAsiaTheme="majorEastAsia"/>
                      <w:sz w:val="21"/>
                      <w:szCs w:val="21"/>
                    </w:rPr>
                    <w:t>6</w:t>
                  </w:r>
                </w:p>
              </w:tc>
              <w:tc>
                <w:tcPr>
                  <w:tcW w:w="681" w:type="pct"/>
                  <w:shd w:val="clear" w:color="auto" w:fill="auto"/>
                  <w:vAlign w:val="center"/>
                </w:tcPr>
                <w:p>
                  <w:pPr>
                    <w:spacing w:line="240" w:lineRule="auto"/>
                    <w:jc w:val="center"/>
                    <w:rPr>
                      <w:rFonts w:eastAsiaTheme="majorEastAsia"/>
                      <w:sz w:val="21"/>
                      <w:szCs w:val="21"/>
                    </w:rPr>
                  </w:pPr>
                  <w:r>
                    <w:rPr>
                      <w:rFonts w:eastAsiaTheme="majorEastAsia"/>
                      <w:sz w:val="21"/>
                      <w:szCs w:val="21"/>
                    </w:rPr>
                    <w:t>60</w:t>
                  </w:r>
                </w:p>
              </w:tc>
              <w:tc>
                <w:tcPr>
                  <w:tcW w:w="668" w:type="pct"/>
                  <w:shd w:val="clear" w:color="auto" w:fill="auto"/>
                  <w:vAlign w:val="center"/>
                </w:tcPr>
                <w:p>
                  <w:pPr>
                    <w:spacing w:line="240" w:lineRule="auto"/>
                    <w:jc w:val="center"/>
                    <w:rPr>
                      <w:color w:val="000000"/>
                      <w:sz w:val="21"/>
                      <w:szCs w:val="21"/>
                    </w:rPr>
                  </w:pPr>
                  <w:r>
                    <w:rPr>
                      <w:color w:val="000000"/>
                      <w:sz w:val="21"/>
                      <w:szCs w:val="21"/>
                    </w:rPr>
                    <w:t>10.00</w:t>
                  </w:r>
                </w:p>
              </w:tc>
              <w:tc>
                <w:tcPr>
                  <w:tcW w:w="669" w:type="pct"/>
                  <w:shd w:val="clear" w:color="auto" w:fill="auto"/>
                  <w:vAlign w:val="center"/>
                </w:tcPr>
                <w:p>
                  <w:pPr>
                    <w:spacing w:line="240" w:lineRule="auto"/>
                    <w:jc w:val="center"/>
                    <w:rPr>
                      <w:sz w:val="21"/>
                      <w:szCs w:val="21"/>
                    </w:rPr>
                  </w:pPr>
                  <w:r>
                    <w:rPr>
                      <w:rFonts w:eastAsiaTheme="maj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598" w:type="pct"/>
                  <w:shd w:val="clear" w:color="auto" w:fill="auto"/>
                  <w:vAlign w:val="center"/>
                </w:tcPr>
                <w:p>
                  <w:pPr>
                    <w:spacing w:line="240" w:lineRule="auto"/>
                    <w:jc w:val="center"/>
                    <w:rPr>
                      <w:rFonts w:eastAsiaTheme="majorEastAsia"/>
                      <w:sz w:val="21"/>
                      <w:szCs w:val="21"/>
                    </w:rPr>
                  </w:pPr>
                  <w:r>
                    <w:rPr>
                      <w:rFonts w:eastAsiaTheme="majorEastAsia"/>
                      <w:sz w:val="21"/>
                      <w:szCs w:val="21"/>
                    </w:rPr>
                    <w:t>NO</w:t>
                  </w:r>
                  <w:r>
                    <w:rPr>
                      <w:rFonts w:eastAsiaTheme="majorEastAsia"/>
                      <w:sz w:val="21"/>
                      <w:szCs w:val="21"/>
                      <w:vertAlign w:val="subscript"/>
                    </w:rPr>
                    <w:t>2</w:t>
                  </w:r>
                </w:p>
              </w:tc>
              <w:tc>
                <w:tcPr>
                  <w:tcW w:w="1703" w:type="pct"/>
                  <w:shd w:val="clear" w:color="auto" w:fill="auto"/>
                  <w:vAlign w:val="center"/>
                </w:tcPr>
                <w:p>
                  <w:pPr>
                    <w:spacing w:line="240" w:lineRule="auto"/>
                    <w:jc w:val="center"/>
                    <w:rPr>
                      <w:sz w:val="21"/>
                      <w:szCs w:val="21"/>
                    </w:rPr>
                  </w:pPr>
                  <w:r>
                    <w:rPr>
                      <w:sz w:val="21"/>
                      <w:szCs w:val="21"/>
                    </w:rPr>
                    <w:t>年平均质量浓度（µg</w:t>
                  </w:r>
                  <w:r>
                    <w:rPr>
                      <w:bCs/>
                      <w:snapToGrid w:val="0"/>
                      <w:sz w:val="21"/>
                      <w:szCs w:val="21"/>
                    </w:rPr>
                    <w:t>/m</w:t>
                  </w:r>
                  <w:r>
                    <w:rPr>
                      <w:bCs/>
                      <w:snapToGrid w:val="0"/>
                      <w:sz w:val="21"/>
                      <w:szCs w:val="21"/>
                      <w:vertAlign w:val="superscript"/>
                    </w:rPr>
                    <w:t>3</w:t>
                  </w:r>
                  <w:r>
                    <w:rPr>
                      <w:sz w:val="21"/>
                      <w:szCs w:val="21"/>
                    </w:rPr>
                    <w:t>）</w:t>
                  </w:r>
                </w:p>
              </w:tc>
              <w:tc>
                <w:tcPr>
                  <w:tcW w:w="681" w:type="pct"/>
                  <w:shd w:val="clear" w:color="auto" w:fill="auto"/>
                  <w:vAlign w:val="center"/>
                </w:tcPr>
                <w:p>
                  <w:pPr>
                    <w:spacing w:line="240" w:lineRule="auto"/>
                    <w:jc w:val="center"/>
                    <w:rPr>
                      <w:rFonts w:eastAsiaTheme="majorEastAsia"/>
                      <w:sz w:val="21"/>
                      <w:szCs w:val="21"/>
                    </w:rPr>
                  </w:pPr>
                  <w:r>
                    <w:rPr>
                      <w:rFonts w:eastAsiaTheme="majorEastAsia"/>
                      <w:sz w:val="21"/>
                      <w:szCs w:val="21"/>
                    </w:rPr>
                    <w:t>11</w:t>
                  </w:r>
                </w:p>
              </w:tc>
              <w:tc>
                <w:tcPr>
                  <w:tcW w:w="681" w:type="pct"/>
                  <w:shd w:val="clear" w:color="auto" w:fill="auto"/>
                  <w:vAlign w:val="center"/>
                </w:tcPr>
                <w:p>
                  <w:pPr>
                    <w:spacing w:line="240" w:lineRule="auto"/>
                    <w:jc w:val="center"/>
                    <w:rPr>
                      <w:rFonts w:eastAsiaTheme="majorEastAsia"/>
                      <w:sz w:val="21"/>
                      <w:szCs w:val="21"/>
                    </w:rPr>
                  </w:pPr>
                  <w:r>
                    <w:rPr>
                      <w:rFonts w:eastAsiaTheme="majorEastAsia"/>
                      <w:sz w:val="21"/>
                      <w:szCs w:val="21"/>
                    </w:rPr>
                    <w:t>40</w:t>
                  </w:r>
                </w:p>
              </w:tc>
              <w:tc>
                <w:tcPr>
                  <w:tcW w:w="668" w:type="pct"/>
                  <w:shd w:val="clear" w:color="auto" w:fill="auto"/>
                  <w:vAlign w:val="center"/>
                </w:tcPr>
                <w:p>
                  <w:pPr>
                    <w:spacing w:line="240" w:lineRule="auto"/>
                    <w:jc w:val="center"/>
                    <w:rPr>
                      <w:color w:val="000000"/>
                      <w:sz w:val="21"/>
                      <w:szCs w:val="21"/>
                    </w:rPr>
                  </w:pPr>
                  <w:r>
                    <w:rPr>
                      <w:color w:val="000000"/>
                      <w:sz w:val="21"/>
                      <w:szCs w:val="21"/>
                    </w:rPr>
                    <w:t>27.50</w:t>
                  </w:r>
                </w:p>
              </w:tc>
              <w:tc>
                <w:tcPr>
                  <w:tcW w:w="669" w:type="pct"/>
                  <w:shd w:val="clear" w:color="auto" w:fill="auto"/>
                  <w:vAlign w:val="center"/>
                </w:tcPr>
                <w:p>
                  <w:pPr>
                    <w:spacing w:line="240" w:lineRule="auto"/>
                    <w:jc w:val="center"/>
                    <w:rPr>
                      <w:sz w:val="21"/>
                      <w:szCs w:val="21"/>
                    </w:rPr>
                  </w:pPr>
                  <w:r>
                    <w:rPr>
                      <w:rFonts w:eastAsiaTheme="maj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8" w:type="pct"/>
                  <w:shd w:val="clear" w:color="auto" w:fill="auto"/>
                  <w:vAlign w:val="center"/>
                </w:tcPr>
                <w:p>
                  <w:pPr>
                    <w:spacing w:line="240" w:lineRule="auto"/>
                    <w:jc w:val="center"/>
                    <w:rPr>
                      <w:rFonts w:eastAsiaTheme="majorEastAsia"/>
                      <w:sz w:val="21"/>
                      <w:szCs w:val="21"/>
                    </w:rPr>
                  </w:pPr>
                  <w:r>
                    <w:rPr>
                      <w:rFonts w:eastAsiaTheme="majorEastAsia"/>
                      <w:sz w:val="21"/>
                      <w:szCs w:val="21"/>
                    </w:rPr>
                    <w:t>CO</w:t>
                  </w:r>
                </w:p>
              </w:tc>
              <w:tc>
                <w:tcPr>
                  <w:tcW w:w="1703" w:type="pct"/>
                  <w:shd w:val="clear" w:color="auto" w:fill="auto"/>
                  <w:vAlign w:val="center"/>
                </w:tcPr>
                <w:p>
                  <w:pPr>
                    <w:spacing w:line="240" w:lineRule="auto"/>
                    <w:jc w:val="center"/>
                    <w:rPr>
                      <w:rFonts w:eastAsiaTheme="majorEastAsia"/>
                      <w:sz w:val="21"/>
                      <w:szCs w:val="21"/>
                    </w:rPr>
                  </w:pPr>
                  <w:r>
                    <w:rPr>
                      <w:rFonts w:eastAsiaTheme="majorEastAsia"/>
                      <w:sz w:val="21"/>
                      <w:szCs w:val="21"/>
                    </w:rPr>
                    <w:t>24小时平均浓度第95个百分位数</w:t>
                  </w:r>
                  <w:r>
                    <w:rPr>
                      <w:sz w:val="21"/>
                      <w:szCs w:val="21"/>
                    </w:rPr>
                    <w:t>（mg</w:t>
                  </w:r>
                  <w:r>
                    <w:rPr>
                      <w:bCs/>
                      <w:snapToGrid w:val="0"/>
                      <w:sz w:val="21"/>
                      <w:szCs w:val="21"/>
                    </w:rPr>
                    <w:t>/m</w:t>
                  </w:r>
                  <w:r>
                    <w:rPr>
                      <w:bCs/>
                      <w:snapToGrid w:val="0"/>
                      <w:sz w:val="21"/>
                      <w:szCs w:val="21"/>
                      <w:vertAlign w:val="superscript"/>
                    </w:rPr>
                    <w:t>3</w:t>
                  </w:r>
                  <w:r>
                    <w:rPr>
                      <w:sz w:val="21"/>
                      <w:szCs w:val="21"/>
                    </w:rPr>
                    <w:t>）</w:t>
                  </w:r>
                </w:p>
              </w:tc>
              <w:tc>
                <w:tcPr>
                  <w:tcW w:w="681" w:type="pct"/>
                  <w:shd w:val="clear" w:color="auto" w:fill="auto"/>
                  <w:vAlign w:val="center"/>
                </w:tcPr>
                <w:p>
                  <w:pPr>
                    <w:spacing w:line="240" w:lineRule="auto"/>
                    <w:jc w:val="center"/>
                    <w:rPr>
                      <w:rFonts w:eastAsiaTheme="majorEastAsia"/>
                      <w:sz w:val="21"/>
                      <w:szCs w:val="21"/>
                    </w:rPr>
                  </w:pPr>
                  <w:r>
                    <w:rPr>
                      <w:rFonts w:eastAsiaTheme="majorEastAsia"/>
                      <w:sz w:val="21"/>
                      <w:szCs w:val="21"/>
                    </w:rPr>
                    <w:t>1.1</w:t>
                  </w:r>
                </w:p>
              </w:tc>
              <w:tc>
                <w:tcPr>
                  <w:tcW w:w="681" w:type="pct"/>
                  <w:shd w:val="clear" w:color="auto" w:fill="auto"/>
                  <w:vAlign w:val="center"/>
                </w:tcPr>
                <w:p>
                  <w:pPr>
                    <w:spacing w:line="240" w:lineRule="auto"/>
                    <w:jc w:val="center"/>
                    <w:rPr>
                      <w:rFonts w:eastAsiaTheme="majorEastAsia"/>
                      <w:sz w:val="21"/>
                      <w:szCs w:val="21"/>
                    </w:rPr>
                  </w:pPr>
                  <w:r>
                    <w:rPr>
                      <w:rFonts w:eastAsiaTheme="majorEastAsia"/>
                      <w:sz w:val="21"/>
                      <w:szCs w:val="21"/>
                    </w:rPr>
                    <w:t>4</w:t>
                  </w:r>
                </w:p>
              </w:tc>
              <w:tc>
                <w:tcPr>
                  <w:tcW w:w="668" w:type="pct"/>
                  <w:shd w:val="clear" w:color="auto" w:fill="auto"/>
                  <w:vAlign w:val="center"/>
                </w:tcPr>
                <w:p>
                  <w:pPr>
                    <w:spacing w:line="240" w:lineRule="auto"/>
                    <w:jc w:val="center"/>
                    <w:rPr>
                      <w:color w:val="000000"/>
                      <w:sz w:val="21"/>
                      <w:szCs w:val="21"/>
                    </w:rPr>
                  </w:pPr>
                  <w:r>
                    <w:rPr>
                      <w:color w:val="000000"/>
                      <w:sz w:val="21"/>
                      <w:szCs w:val="21"/>
                    </w:rPr>
                    <w:t>27.50</w:t>
                  </w:r>
                </w:p>
              </w:tc>
              <w:tc>
                <w:tcPr>
                  <w:tcW w:w="669" w:type="pct"/>
                  <w:shd w:val="clear" w:color="auto" w:fill="auto"/>
                  <w:vAlign w:val="center"/>
                </w:tcPr>
                <w:p>
                  <w:pPr>
                    <w:spacing w:line="240" w:lineRule="auto"/>
                    <w:jc w:val="center"/>
                    <w:rPr>
                      <w:sz w:val="21"/>
                      <w:szCs w:val="21"/>
                    </w:rPr>
                  </w:pPr>
                  <w:r>
                    <w:rPr>
                      <w:rFonts w:eastAsiaTheme="majorEastAsia"/>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8" w:type="pct"/>
                  <w:shd w:val="clear" w:color="auto" w:fill="auto"/>
                  <w:vAlign w:val="center"/>
                </w:tcPr>
                <w:p>
                  <w:pPr>
                    <w:spacing w:line="240" w:lineRule="auto"/>
                    <w:jc w:val="center"/>
                    <w:rPr>
                      <w:rFonts w:eastAsiaTheme="majorEastAsia"/>
                      <w:sz w:val="21"/>
                      <w:szCs w:val="21"/>
                    </w:rPr>
                  </w:pPr>
                  <w:r>
                    <w:rPr>
                      <w:rFonts w:eastAsiaTheme="majorEastAsia"/>
                      <w:sz w:val="21"/>
                      <w:szCs w:val="21"/>
                    </w:rPr>
                    <w:t>O</w:t>
                  </w:r>
                  <w:r>
                    <w:rPr>
                      <w:rFonts w:eastAsiaTheme="majorEastAsia"/>
                      <w:sz w:val="21"/>
                      <w:szCs w:val="21"/>
                      <w:vertAlign w:val="subscript"/>
                    </w:rPr>
                    <w:t>3</w:t>
                  </w:r>
                </w:p>
              </w:tc>
              <w:tc>
                <w:tcPr>
                  <w:tcW w:w="1703" w:type="pct"/>
                  <w:shd w:val="clear" w:color="auto" w:fill="auto"/>
                  <w:vAlign w:val="center"/>
                </w:tcPr>
                <w:p>
                  <w:pPr>
                    <w:spacing w:line="240" w:lineRule="auto"/>
                    <w:jc w:val="center"/>
                    <w:rPr>
                      <w:rFonts w:eastAsiaTheme="majorEastAsia"/>
                      <w:sz w:val="21"/>
                      <w:szCs w:val="21"/>
                    </w:rPr>
                  </w:pPr>
                  <w:r>
                    <w:rPr>
                      <w:rFonts w:eastAsiaTheme="majorEastAsia"/>
                      <w:sz w:val="21"/>
                      <w:szCs w:val="21"/>
                    </w:rPr>
                    <w:t>日最大8小时平均浓度第90百分位数</w:t>
                  </w:r>
                  <w:r>
                    <w:rPr>
                      <w:sz w:val="21"/>
                      <w:szCs w:val="21"/>
                    </w:rPr>
                    <w:t>（µg</w:t>
                  </w:r>
                  <w:r>
                    <w:rPr>
                      <w:bCs/>
                      <w:snapToGrid w:val="0"/>
                      <w:sz w:val="21"/>
                      <w:szCs w:val="21"/>
                    </w:rPr>
                    <w:t>/m</w:t>
                  </w:r>
                  <w:r>
                    <w:rPr>
                      <w:bCs/>
                      <w:snapToGrid w:val="0"/>
                      <w:sz w:val="21"/>
                      <w:szCs w:val="21"/>
                      <w:vertAlign w:val="superscript"/>
                    </w:rPr>
                    <w:t>3</w:t>
                  </w:r>
                  <w:r>
                    <w:rPr>
                      <w:sz w:val="21"/>
                      <w:szCs w:val="21"/>
                    </w:rPr>
                    <w:t>）</w:t>
                  </w:r>
                </w:p>
              </w:tc>
              <w:tc>
                <w:tcPr>
                  <w:tcW w:w="681" w:type="pct"/>
                  <w:shd w:val="clear" w:color="auto" w:fill="auto"/>
                  <w:vAlign w:val="center"/>
                </w:tcPr>
                <w:p>
                  <w:pPr>
                    <w:spacing w:line="240" w:lineRule="auto"/>
                    <w:jc w:val="center"/>
                    <w:rPr>
                      <w:rFonts w:eastAsiaTheme="majorEastAsia"/>
                      <w:sz w:val="21"/>
                      <w:szCs w:val="21"/>
                    </w:rPr>
                  </w:pPr>
                  <w:r>
                    <w:rPr>
                      <w:rFonts w:eastAsiaTheme="majorEastAsia"/>
                      <w:sz w:val="21"/>
                      <w:szCs w:val="21"/>
                    </w:rPr>
                    <w:t>76</w:t>
                  </w:r>
                </w:p>
              </w:tc>
              <w:tc>
                <w:tcPr>
                  <w:tcW w:w="681" w:type="pct"/>
                  <w:shd w:val="clear" w:color="auto" w:fill="auto"/>
                  <w:vAlign w:val="center"/>
                </w:tcPr>
                <w:p>
                  <w:pPr>
                    <w:spacing w:line="240" w:lineRule="auto"/>
                    <w:jc w:val="center"/>
                    <w:rPr>
                      <w:rFonts w:eastAsiaTheme="majorEastAsia"/>
                      <w:sz w:val="21"/>
                      <w:szCs w:val="21"/>
                    </w:rPr>
                  </w:pPr>
                  <w:r>
                    <w:rPr>
                      <w:rFonts w:eastAsiaTheme="majorEastAsia"/>
                      <w:sz w:val="21"/>
                      <w:szCs w:val="21"/>
                    </w:rPr>
                    <w:t>160</w:t>
                  </w:r>
                </w:p>
              </w:tc>
              <w:tc>
                <w:tcPr>
                  <w:tcW w:w="668" w:type="pct"/>
                  <w:shd w:val="clear" w:color="auto" w:fill="auto"/>
                  <w:vAlign w:val="center"/>
                </w:tcPr>
                <w:p>
                  <w:pPr>
                    <w:spacing w:line="240" w:lineRule="auto"/>
                    <w:jc w:val="center"/>
                    <w:rPr>
                      <w:color w:val="000000"/>
                      <w:sz w:val="21"/>
                      <w:szCs w:val="21"/>
                    </w:rPr>
                  </w:pPr>
                  <w:r>
                    <w:rPr>
                      <w:color w:val="000000"/>
                      <w:sz w:val="21"/>
                      <w:szCs w:val="21"/>
                    </w:rPr>
                    <w:t>47.50</w:t>
                  </w:r>
                </w:p>
              </w:tc>
              <w:tc>
                <w:tcPr>
                  <w:tcW w:w="669" w:type="pct"/>
                  <w:shd w:val="clear" w:color="auto" w:fill="auto"/>
                  <w:vAlign w:val="center"/>
                </w:tcPr>
                <w:p>
                  <w:pPr>
                    <w:spacing w:line="240" w:lineRule="auto"/>
                    <w:jc w:val="center"/>
                    <w:rPr>
                      <w:sz w:val="21"/>
                      <w:szCs w:val="21"/>
                    </w:rPr>
                  </w:pPr>
                  <w:r>
                    <w:rPr>
                      <w:rFonts w:eastAsiaTheme="majorEastAsia"/>
                      <w:sz w:val="21"/>
                      <w:szCs w:val="21"/>
                    </w:rPr>
                    <w:t>达标</w:t>
                  </w:r>
                </w:p>
              </w:tc>
            </w:tr>
          </w:tbl>
          <w:p>
            <w:pPr>
              <w:adjustRightInd w:val="0"/>
              <w:ind w:firstLine="480" w:firstLineChars="200"/>
              <w:textAlignment w:val="baseline"/>
            </w:pPr>
            <w:r>
              <w:rPr>
                <w:rFonts w:eastAsiaTheme="minorEastAsia"/>
                <w:bCs/>
              </w:rPr>
              <w:t>由上表可知，</w:t>
            </w:r>
            <w:r>
              <w:rPr>
                <w:rFonts w:hint="eastAsia"/>
                <w:bCs/>
                <w:color w:val="000000"/>
              </w:rPr>
              <w:t>2019年</w:t>
            </w:r>
            <w:r>
              <w:rPr>
                <w:rFonts w:hint="eastAsia"/>
              </w:rPr>
              <w:t>安康市镇坪县</w:t>
            </w:r>
            <w:r>
              <w:t>PM</w:t>
            </w:r>
            <w:r>
              <w:rPr>
                <w:vertAlign w:val="subscript"/>
              </w:rPr>
              <w:t>10</w:t>
            </w:r>
            <w:r>
              <w:rPr>
                <w:rFonts w:hint="eastAsia"/>
              </w:rPr>
              <w:t>、</w:t>
            </w:r>
            <w:r>
              <w:t>PM</w:t>
            </w:r>
            <w:r>
              <w:rPr>
                <w:vertAlign w:val="subscript"/>
              </w:rPr>
              <w:t>2.5</w:t>
            </w:r>
            <w:r>
              <w:rPr>
                <w:rFonts w:hint="eastAsia"/>
              </w:rPr>
              <w:t>、</w:t>
            </w:r>
            <w:r>
              <w:t>SO</w:t>
            </w:r>
            <w:r>
              <w:rPr>
                <w:vertAlign w:val="subscript"/>
              </w:rPr>
              <w:t>2</w:t>
            </w:r>
            <w:r>
              <w:t>、NO</w:t>
            </w:r>
            <w:r>
              <w:rPr>
                <w:vertAlign w:val="subscript"/>
              </w:rPr>
              <w:t>2</w:t>
            </w:r>
            <w:r>
              <w:t>年均浓度</w:t>
            </w:r>
            <w:r>
              <w:rPr>
                <w:rFonts w:hint="eastAsia"/>
              </w:rPr>
              <w:t>，</w:t>
            </w:r>
            <w:r>
              <w:t>CO、O</w:t>
            </w:r>
            <w:r>
              <w:rPr>
                <w:vertAlign w:val="subscript"/>
              </w:rPr>
              <w:t>3</w:t>
            </w:r>
            <w:r>
              <w:t>百分位浓度均可满足《环境空气质量标准》（GB3095-2012）的二级标准要求</w:t>
            </w:r>
            <w:r>
              <w:rPr>
                <w:rFonts w:hint="eastAsia"/>
              </w:rPr>
              <w:t>，</w:t>
            </w:r>
            <w:r>
              <w:rPr>
                <w:rFonts w:hint="eastAsia" w:eastAsiaTheme="minorEastAsia"/>
                <w:bCs/>
              </w:rPr>
              <w:t>因此，本项目所在区域属于达标区域。</w:t>
            </w:r>
          </w:p>
          <w:p>
            <w:pPr>
              <w:pStyle w:val="58"/>
              <w:numPr>
                <w:ilvl w:val="0"/>
                <w:numId w:val="4"/>
              </w:numPr>
              <w:autoSpaceDE/>
              <w:autoSpaceDN/>
              <w:adjustRightInd/>
              <w:spacing w:line="360" w:lineRule="auto"/>
              <w:ind w:firstLine="480" w:firstLineChars="200"/>
              <w:textAlignment w:val="auto"/>
              <w:rPr>
                <w:rFonts w:ascii="Times New Roman" w:cs="Times New Roman"/>
              </w:rPr>
            </w:pPr>
            <w:r>
              <w:rPr>
                <w:rFonts w:hint="eastAsia" w:ascii="Times New Roman" w:cs="Times New Roman"/>
              </w:rPr>
              <w:t>其他污染物环境质量现状</w:t>
            </w:r>
          </w:p>
          <w:p>
            <w:pPr>
              <w:ind w:firstLine="480" w:firstLineChars="200"/>
            </w:pPr>
            <w:r>
              <w:rPr>
                <w:rFonts w:hint="eastAsia" w:ascii="宋体" w:hAnsi="宋体" w:cs="宋体"/>
              </w:rPr>
              <w:t>（1）</w:t>
            </w:r>
            <w:r>
              <w:t>监测点位和监测项目</w:t>
            </w:r>
          </w:p>
          <w:p>
            <w:pPr>
              <w:pStyle w:val="89"/>
              <w:ind w:firstLine="480"/>
              <w:rPr>
                <w:rFonts w:hAnsi="Times New Roman"/>
                <w:b/>
                <w:bCs/>
                <w:szCs w:val="24"/>
              </w:rPr>
            </w:pPr>
            <w:r>
              <w:rPr>
                <w:szCs w:val="24"/>
                <w:lang w:bidi="ar"/>
              </w:rPr>
              <w:t>本项目环境空气质量现状监测委托陕西华康检验检测有限责任公司进行现场监测</w:t>
            </w:r>
            <w:r>
              <w:rPr>
                <w:rFonts w:hint="eastAsia"/>
                <w:szCs w:val="24"/>
                <w:lang w:bidi="ar"/>
              </w:rPr>
              <w:t>，</w:t>
            </w:r>
            <w:r>
              <w:rPr>
                <w:rFonts w:hAnsi="Times New Roman"/>
                <w:szCs w:val="24"/>
              </w:rPr>
              <w:t>根据《环境影响评价技术导则-大气环境》（HJ2.2-2018）中环境空气二级评价等级要求和项目建设性质，结合项目</w:t>
            </w:r>
            <w:r>
              <w:rPr>
                <w:rFonts w:hint="eastAsia" w:hAnsi="Times New Roman"/>
                <w:szCs w:val="24"/>
              </w:rPr>
              <w:t>场地</w:t>
            </w:r>
            <w:r>
              <w:rPr>
                <w:rFonts w:hAnsi="Times New Roman"/>
                <w:szCs w:val="24"/>
              </w:rPr>
              <w:t>周围地形特点、气象条件、排污特征和环境空气保护目标分布，本次评价在</w:t>
            </w:r>
            <w:r>
              <w:rPr>
                <w:rFonts w:hint="eastAsia" w:hAnsi="Times New Roman"/>
                <w:szCs w:val="24"/>
              </w:rPr>
              <w:t>项目场地</w:t>
            </w:r>
            <w:r>
              <w:rPr>
                <w:rFonts w:hAnsi="Times New Roman"/>
                <w:szCs w:val="24"/>
              </w:rPr>
              <w:t>布设1个</w:t>
            </w:r>
            <w:r>
              <w:rPr>
                <w:rFonts w:hint="eastAsia" w:hAnsi="Times New Roman"/>
                <w:szCs w:val="24"/>
              </w:rPr>
              <w:t>大气</w:t>
            </w:r>
            <w:r>
              <w:rPr>
                <w:rFonts w:hAnsi="Times New Roman"/>
                <w:szCs w:val="24"/>
              </w:rPr>
              <w:t>监测点位</w:t>
            </w:r>
            <w:r>
              <w:rPr>
                <w:rFonts w:hint="eastAsia" w:hAnsi="Times New Roman"/>
                <w:szCs w:val="24"/>
              </w:rPr>
              <w:t>，监测因子为总悬浮颗粒物（TSP），</w:t>
            </w:r>
            <w:r>
              <w:rPr>
                <w:rFonts w:hAnsi="Times New Roman"/>
                <w:szCs w:val="24"/>
              </w:rPr>
              <w:t>监测点布设</w:t>
            </w:r>
            <w:bookmarkStart w:id="54" w:name="_Hlk8569215"/>
            <w:r>
              <w:rPr>
                <w:rFonts w:hint="eastAsia" w:hAnsi="Times New Roman"/>
                <w:szCs w:val="24"/>
              </w:rPr>
              <w:t>详见</w:t>
            </w:r>
            <w:r>
              <w:rPr>
                <w:rFonts w:hAnsi="Times New Roman"/>
                <w:szCs w:val="24"/>
              </w:rPr>
              <w:t>附图4。</w:t>
            </w:r>
            <w:bookmarkEnd w:id="54"/>
          </w:p>
          <w:p>
            <w:pPr>
              <w:ind w:firstLine="480" w:firstLineChars="200"/>
              <w:rPr>
                <w:kern w:val="21"/>
              </w:rPr>
            </w:pPr>
            <w:bookmarkStart w:id="55" w:name="_Toc138576942"/>
            <w:r>
              <w:rPr>
                <w:rFonts w:hint="eastAsia" w:ascii="宋体" w:hAnsi="宋体" w:cs="宋体"/>
                <w:kern w:val="21"/>
              </w:rPr>
              <w:t>（2）</w:t>
            </w:r>
            <w:r>
              <w:rPr>
                <w:kern w:val="21"/>
              </w:rPr>
              <w:t>监测时间与监测频次</w:t>
            </w:r>
          </w:p>
          <w:p>
            <w:pPr>
              <w:ind w:firstLine="480" w:firstLineChars="200"/>
              <w:rPr>
                <w:b/>
                <w:bCs/>
                <w:lang w:val="en-GB"/>
              </w:rPr>
            </w:pPr>
            <w:r>
              <w:t>监测时间：2020年8月27日～9月</w:t>
            </w:r>
            <w:r>
              <w:rPr>
                <w:rFonts w:hint="eastAsia"/>
              </w:rPr>
              <w:t>2</w:t>
            </w:r>
            <w:r>
              <w:t>日</w:t>
            </w:r>
            <w:r>
              <w:rPr>
                <w:kern w:val="0"/>
              </w:rPr>
              <w:t>连续监测7天有效数据</w:t>
            </w:r>
            <w:r>
              <w:rPr>
                <w:rFonts w:hint="eastAsia"/>
                <w:kern w:val="21"/>
              </w:rPr>
              <w:t>，</w:t>
            </w:r>
            <w:r>
              <w:rPr>
                <w:kern w:val="21"/>
              </w:rPr>
              <w:t>具体监测频次见表3</w:t>
            </w:r>
            <w:r>
              <w:rPr>
                <w:rFonts w:hint="eastAsia"/>
                <w:kern w:val="21"/>
              </w:rPr>
              <w:t>-</w:t>
            </w:r>
            <w:r>
              <w:rPr>
                <w:kern w:val="21"/>
              </w:rPr>
              <w:t>2。</w:t>
            </w:r>
          </w:p>
          <w:p>
            <w:pPr>
              <w:numPr>
                <w:ilvl w:val="0"/>
                <w:numId w:val="3"/>
              </w:numPr>
              <w:spacing w:line="240" w:lineRule="auto"/>
              <w:ind w:left="0" w:firstLine="0"/>
              <w:jc w:val="center"/>
              <w:rPr>
                <w:b/>
                <w:sz w:val="21"/>
                <w:szCs w:val="21"/>
              </w:rPr>
            </w:pPr>
            <w:r>
              <w:rPr>
                <w:rFonts w:hint="eastAsia"/>
                <w:b/>
                <w:sz w:val="21"/>
                <w:szCs w:val="21"/>
              </w:rPr>
              <w:t xml:space="preserve"> </w:t>
            </w:r>
            <w:r>
              <w:rPr>
                <w:b/>
                <w:sz w:val="21"/>
                <w:szCs w:val="21"/>
              </w:rPr>
              <w:t xml:space="preserve"> 监测频次</w:t>
            </w:r>
          </w:p>
          <w:tbl>
            <w:tblPr>
              <w:tblStyle w:val="24"/>
              <w:tblW w:w="8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2"/>
              <w:gridCol w:w="1276"/>
              <w:gridCol w:w="5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1322" w:type="dxa"/>
                  <w:vAlign w:val="center"/>
                </w:tcPr>
                <w:p>
                  <w:pPr>
                    <w:spacing w:line="240" w:lineRule="auto"/>
                    <w:jc w:val="center"/>
                    <w:rPr>
                      <w:bCs/>
                      <w:sz w:val="21"/>
                      <w:szCs w:val="21"/>
                    </w:rPr>
                  </w:pPr>
                  <w:r>
                    <w:rPr>
                      <w:bCs/>
                      <w:sz w:val="21"/>
                      <w:szCs w:val="21"/>
                    </w:rPr>
                    <w:t>监测因子</w:t>
                  </w:r>
                </w:p>
              </w:tc>
              <w:tc>
                <w:tcPr>
                  <w:tcW w:w="1276" w:type="dxa"/>
                  <w:vAlign w:val="center"/>
                </w:tcPr>
                <w:p>
                  <w:pPr>
                    <w:spacing w:line="240" w:lineRule="auto"/>
                    <w:jc w:val="center"/>
                    <w:rPr>
                      <w:bCs/>
                      <w:sz w:val="21"/>
                      <w:szCs w:val="21"/>
                    </w:rPr>
                  </w:pPr>
                  <w:r>
                    <w:rPr>
                      <w:bCs/>
                      <w:sz w:val="21"/>
                      <w:szCs w:val="21"/>
                    </w:rPr>
                    <w:t>取值时间</w:t>
                  </w:r>
                </w:p>
              </w:tc>
              <w:tc>
                <w:tcPr>
                  <w:tcW w:w="5942" w:type="dxa"/>
                  <w:vAlign w:val="center"/>
                </w:tcPr>
                <w:p>
                  <w:pPr>
                    <w:spacing w:line="240" w:lineRule="auto"/>
                    <w:jc w:val="center"/>
                    <w:rPr>
                      <w:bCs/>
                      <w:sz w:val="21"/>
                      <w:szCs w:val="21"/>
                    </w:rPr>
                  </w:pPr>
                  <w:r>
                    <w:rPr>
                      <w:bCs/>
                      <w:sz w:val="21"/>
                      <w:szCs w:val="21"/>
                    </w:rPr>
                    <w:t>监测时间及频次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322" w:type="dxa"/>
                  <w:vAlign w:val="center"/>
                </w:tcPr>
                <w:p>
                  <w:pPr>
                    <w:spacing w:line="240" w:lineRule="auto"/>
                    <w:jc w:val="center"/>
                    <w:rPr>
                      <w:bCs/>
                      <w:sz w:val="21"/>
                      <w:szCs w:val="21"/>
                    </w:rPr>
                  </w:pPr>
                  <w:r>
                    <w:rPr>
                      <w:sz w:val="21"/>
                      <w:szCs w:val="21"/>
                    </w:rPr>
                    <w:t>TSP</w:t>
                  </w:r>
                </w:p>
              </w:tc>
              <w:tc>
                <w:tcPr>
                  <w:tcW w:w="1276" w:type="dxa"/>
                  <w:vAlign w:val="center"/>
                </w:tcPr>
                <w:p>
                  <w:pPr>
                    <w:spacing w:line="240" w:lineRule="auto"/>
                    <w:jc w:val="center"/>
                    <w:rPr>
                      <w:bCs/>
                      <w:sz w:val="21"/>
                      <w:szCs w:val="21"/>
                    </w:rPr>
                  </w:pPr>
                  <w:r>
                    <w:rPr>
                      <w:bCs/>
                      <w:sz w:val="21"/>
                      <w:szCs w:val="21"/>
                    </w:rPr>
                    <w:t>日均值</w:t>
                  </w:r>
                </w:p>
              </w:tc>
              <w:tc>
                <w:tcPr>
                  <w:tcW w:w="5942" w:type="dxa"/>
                  <w:vAlign w:val="center"/>
                </w:tcPr>
                <w:p>
                  <w:pPr>
                    <w:pStyle w:val="22"/>
                    <w:spacing w:after="0" w:line="240" w:lineRule="auto"/>
                    <w:ind w:firstLine="0" w:firstLineChars="0"/>
                    <w:jc w:val="center"/>
                    <w:rPr>
                      <w:sz w:val="21"/>
                      <w:szCs w:val="21"/>
                    </w:rPr>
                  </w:pPr>
                  <w:r>
                    <w:rPr>
                      <w:sz w:val="21"/>
                      <w:szCs w:val="21"/>
                    </w:rPr>
                    <w:t>连续监测7天，每天采样1次，每日至少有24h的采样时间</w:t>
                  </w:r>
                </w:p>
              </w:tc>
            </w:tr>
            <w:bookmarkEnd w:id="55"/>
          </w:tbl>
          <w:p>
            <w:pPr>
              <w:ind w:firstLine="480" w:firstLineChars="200"/>
            </w:pPr>
            <w:r>
              <w:rPr>
                <w:rFonts w:hint="eastAsia" w:ascii="宋体" w:hAnsi="宋体" w:cs="宋体"/>
              </w:rPr>
              <w:t>（3）</w:t>
            </w:r>
            <w:r>
              <w:t>监测结果与评价</w:t>
            </w:r>
          </w:p>
          <w:p>
            <w:pPr>
              <w:ind w:firstLine="480" w:firstLineChars="200"/>
              <w:rPr>
                <w:b/>
              </w:rPr>
            </w:pPr>
            <w:r>
              <w:t>其他污染物环境质量现状监测结果见表3</w:t>
            </w:r>
            <w:r>
              <w:rPr>
                <w:rFonts w:hint="eastAsia"/>
              </w:rPr>
              <w:t>-</w:t>
            </w:r>
            <w:r>
              <w:t>3。</w:t>
            </w:r>
          </w:p>
          <w:p>
            <w:pPr>
              <w:numPr>
                <w:ilvl w:val="0"/>
                <w:numId w:val="3"/>
              </w:numPr>
              <w:spacing w:line="240" w:lineRule="auto"/>
              <w:ind w:left="0" w:firstLine="0"/>
              <w:jc w:val="center"/>
              <w:rPr>
                <w:b/>
                <w:sz w:val="21"/>
                <w:szCs w:val="21"/>
              </w:rPr>
            </w:pPr>
            <w:r>
              <w:rPr>
                <w:b/>
                <w:sz w:val="21"/>
                <w:szCs w:val="21"/>
              </w:rPr>
              <w:t xml:space="preserve">  其他污染物环境质量现状监测结果表</w:t>
            </w:r>
          </w:p>
          <w:tbl>
            <w:tblPr>
              <w:tblStyle w:val="24"/>
              <w:tblW w:w="8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9"/>
              <w:gridCol w:w="1981"/>
              <w:gridCol w:w="1237"/>
              <w:gridCol w:w="1229"/>
              <w:gridCol w:w="1162"/>
              <w:gridCol w:w="1268"/>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839" w:type="dxa"/>
                  <w:vAlign w:val="center"/>
                </w:tcPr>
                <w:p>
                  <w:pPr>
                    <w:spacing w:line="240" w:lineRule="auto"/>
                    <w:jc w:val="center"/>
                    <w:rPr>
                      <w:sz w:val="21"/>
                      <w:szCs w:val="21"/>
                    </w:rPr>
                  </w:pPr>
                  <w:r>
                    <w:rPr>
                      <w:sz w:val="21"/>
                      <w:szCs w:val="21"/>
                    </w:rPr>
                    <w:t>污染物</w:t>
                  </w:r>
                </w:p>
              </w:tc>
              <w:tc>
                <w:tcPr>
                  <w:tcW w:w="1981" w:type="dxa"/>
                  <w:vAlign w:val="center"/>
                </w:tcPr>
                <w:p>
                  <w:pPr>
                    <w:spacing w:line="240" w:lineRule="auto"/>
                    <w:jc w:val="center"/>
                    <w:rPr>
                      <w:sz w:val="21"/>
                      <w:szCs w:val="21"/>
                    </w:rPr>
                  </w:pPr>
                  <w:r>
                    <w:rPr>
                      <w:sz w:val="21"/>
                      <w:szCs w:val="21"/>
                    </w:rPr>
                    <w:t>采样日期</w:t>
                  </w:r>
                </w:p>
              </w:tc>
              <w:tc>
                <w:tcPr>
                  <w:tcW w:w="1237" w:type="dxa"/>
                  <w:vAlign w:val="center"/>
                </w:tcPr>
                <w:p>
                  <w:pPr>
                    <w:spacing w:line="240" w:lineRule="auto"/>
                    <w:jc w:val="center"/>
                    <w:rPr>
                      <w:sz w:val="21"/>
                      <w:szCs w:val="21"/>
                    </w:rPr>
                  </w:pPr>
                  <w:r>
                    <w:rPr>
                      <w:sz w:val="21"/>
                      <w:szCs w:val="21"/>
                    </w:rPr>
                    <w:t>评价指标</w:t>
                  </w:r>
                </w:p>
              </w:tc>
              <w:tc>
                <w:tcPr>
                  <w:tcW w:w="1229" w:type="dxa"/>
                  <w:vAlign w:val="center"/>
                </w:tcPr>
                <w:p>
                  <w:pPr>
                    <w:spacing w:line="240" w:lineRule="auto"/>
                    <w:jc w:val="center"/>
                    <w:rPr>
                      <w:sz w:val="21"/>
                      <w:szCs w:val="21"/>
                    </w:rPr>
                  </w:pPr>
                  <w:r>
                    <w:rPr>
                      <w:sz w:val="21"/>
                      <w:szCs w:val="21"/>
                    </w:rPr>
                    <w:t>现状浓度（</w:t>
                  </w:r>
                  <w:r>
                    <w:rPr>
                      <w:b/>
                      <w:bCs/>
                      <w:sz w:val="21"/>
                      <w:szCs w:val="21"/>
                    </w:rPr>
                    <w:t>ug/m</w:t>
                  </w:r>
                  <w:r>
                    <w:rPr>
                      <w:b/>
                      <w:bCs/>
                      <w:sz w:val="21"/>
                      <w:szCs w:val="21"/>
                      <w:vertAlign w:val="superscript"/>
                    </w:rPr>
                    <w:t>3</w:t>
                  </w:r>
                  <w:r>
                    <w:rPr>
                      <w:sz w:val="21"/>
                      <w:szCs w:val="21"/>
                    </w:rPr>
                    <w:t>）</w:t>
                  </w:r>
                </w:p>
              </w:tc>
              <w:tc>
                <w:tcPr>
                  <w:tcW w:w="1162" w:type="dxa"/>
                  <w:vAlign w:val="center"/>
                </w:tcPr>
                <w:p>
                  <w:pPr>
                    <w:spacing w:line="240" w:lineRule="auto"/>
                    <w:jc w:val="center"/>
                    <w:rPr>
                      <w:sz w:val="21"/>
                      <w:szCs w:val="21"/>
                    </w:rPr>
                  </w:pPr>
                  <w:r>
                    <w:rPr>
                      <w:sz w:val="21"/>
                      <w:szCs w:val="21"/>
                    </w:rPr>
                    <w:t>标准值（</w:t>
                  </w:r>
                  <w:r>
                    <w:rPr>
                      <w:b/>
                      <w:bCs/>
                      <w:sz w:val="21"/>
                      <w:szCs w:val="21"/>
                    </w:rPr>
                    <w:t>ug/m</w:t>
                  </w:r>
                  <w:r>
                    <w:rPr>
                      <w:b/>
                      <w:bCs/>
                      <w:sz w:val="21"/>
                      <w:szCs w:val="21"/>
                      <w:vertAlign w:val="superscript"/>
                    </w:rPr>
                    <w:t>3</w:t>
                  </w:r>
                  <w:r>
                    <w:rPr>
                      <w:sz w:val="21"/>
                      <w:szCs w:val="21"/>
                    </w:rPr>
                    <w:t>）</w:t>
                  </w:r>
                </w:p>
              </w:tc>
              <w:tc>
                <w:tcPr>
                  <w:tcW w:w="1268" w:type="dxa"/>
                  <w:vAlign w:val="center"/>
                </w:tcPr>
                <w:p>
                  <w:pPr>
                    <w:spacing w:line="240" w:lineRule="auto"/>
                    <w:jc w:val="center"/>
                    <w:rPr>
                      <w:sz w:val="21"/>
                      <w:szCs w:val="21"/>
                    </w:rPr>
                  </w:pPr>
                  <w:r>
                    <w:rPr>
                      <w:sz w:val="21"/>
                      <w:szCs w:val="21"/>
                    </w:rPr>
                    <w:t>占标率%</w:t>
                  </w:r>
                </w:p>
              </w:tc>
              <w:tc>
                <w:tcPr>
                  <w:tcW w:w="854" w:type="dxa"/>
                  <w:vAlign w:val="center"/>
                </w:tcPr>
                <w:p>
                  <w:pPr>
                    <w:spacing w:line="240" w:lineRule="auto"/>
                    <w:jc w:val="center"/>
                    <w:rPr>
                      <w:sz w:val="21"/>
                      <w:szCs w:val="21"/>
                    </w:rPr>
                  </w:pPr>
                  <w:r>
                    <w:rPr>
                      <w:sz w:val="21"/>
                      <w:szCs w:val="21"/>
                    </w:rPr>
                    <w:t>达标</w:t>
                  </w:r>
                </w:p>
                <w:p>
                  <w:pPr>
                    <w:spacing w:line="240" w:lineRule="auto"/>
                    <w:jc w:val="center"/>
                    <w:rPr>
                      <w:sz w:val="21"/>
                      <w:szCs w:val="21"/>
                    </w:rPr>
                  </w:pPr>
                  <w:r>
                    <w:rPr>
                      <w:sz w:val="21"/>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39" w:type="dxa"/>
                  <w:vMerge w:val="restart"/>
                  <w:vAlign w:val="center"/>
                </w:tcPr>
                <w:p>
                  <w:pPr>
                    <w:spacing w:line="240" w:lineRule="auto"/>
                    <w:jc w:val="center"/>
                    <w:rPr>
                      <w:sz w:val="21"/>
                      <w:szCs w:val="21"/>
                    </w:rPr>
                  </w:pPr>
                  <w:r>
                    <w:rPr>
                      <w:sz w:val="21"/>
                      <w:szCs w:val="21"/>
                    </w:rPr>
                    <w:t>TSP</w:t>
                  </w:r>
                </w:p>
              </w:tc>
              <w:tc>
                <w:tcPr>
                  <w:tcW w:w="1981" w:type="dxa"/>
                  <w:vAlign w:val="center"/>
                </w:tcPr>
                <w:p>
                  <w:pPr>
                    <w:jc w:val="center"/>
                    <w:rPr>
                      <w:sz w:val="21"/>
                    </w:rPr>
                  </w:pPr>
                  <w:r>
                    <w:rPr>
                      <w:sz w:val="21"/>
                      <w:szCs w:val="21"/>
                    </w:rPr>
                    <w:t>20</w:t>
                  </w:r>
                  <w:r>
                    <w:rPr>
                      <w:rFonts w:hint="eastAsia"/>
                      <w:sz w:val="21"/>
                      <w:szCs w:val="21"/>
                    </w:rPr>
                    <w:t>20</w:t>
                  </w:r>
                  <w:r>
                    <w:rPr>
                      <w:sz w:val="21"/>
                      <w:szCs w:val="21"/>
                    </w:rPr>
                    <w:t>年</w:t>
                  </w:r>
                  <w:r>
                    <w:rPr>
                      <w:rFonts w:hint="eastAsia"/>
                      <w:sz w:val="21"/>
                      <w:szCs w:val="21"/>
                    </w:rPr>
                    <w:t>8</w:t>
                  </w:r>
                  <w:r>
                    <w:rPr>
                      <w:sz w:val="21"/>
                      <w:szCs w:val="21"/>
                    </w:rPr>
                    <w:t>月</w:t>
                  </w:r>
                  <w:r>
                    <w:rPr>
                      <w:rFonts w:hint="eastAsia"/>
                      <w:sz w:val="21"/>
                      <w:szCs w:val="21"/>
                    </w:rPr>
                    <w:t>27</w:t>
                  </w:r>
                  <w:r>
                    <w:rPr>
                      <w:sz w:val="21"/>
                      <w:szCs w:val="21"/>
                    </w:rPr>
                    <w:t>日</w:t>
                  </w:r>
                </w:p>
              </w:tc>
              <w:tc>
                <w:tcPr>
                  <w:tcW w:w="1237" w:type="dxa"/>
                  <w:vMerge w:val="restart"/>
                  <w:vAlign w:val="center"/>
                </w:tcPr>
                <w:p>
                  <w:pPr>
                    <w:spacing w:line="240" w:lineRule="auto"/>
                    <w:jc w:val="center"/>
                    <w:rPr>
                      <w:sz w:val="21"/>
                      <w:szCs w:val="21"/>
                    </w:rPr>
                  </w:pPr>
                  <w:r>
                    <w:rPr>
                      <w:sz w:val="21"/>
                      <w:szCs w:val="21"/>
                    </w:rPr>
                    <w:t>24小时</w:t>
                  </w:r>
                </w:p>
                <w:p>
                  <w:pPr>
                    <w:spacing w:line="240" w:lineRule="auto"/>
                    <w:jc w:val="center"/>
                    <w:rPr>
                      <w:sz w:val="21"/>
                      <w:szCs w:val="21"/>
                    </w:rPr>
                  </w:pPr>
                  <w:r>
                    <w:rPr>
                      <w:sz w:val="21"/>
                      <w:szCs w:val="21"/>
                    </w:rPr>
                    <w:t>平均值</w:t>
                  </w:r>
                </w:p>
              </w:tc>
              <w:tc>
                <w:tcPr>
                  <w:tcW w:w="1229" w:type="dxa"/>
                  <w:vAlign w:val="center"/>
                </w:tcPr>
                <w:p>
                  <w:pPr>
                    <w:spacing w:line="240" w:lineRule="auto"/>
                    <w:jc w:val="center"/>
                    <w:rPr>
                      <w:bCs/>
                      <w:kern w:val="0"/>
                      <w:sz w:val="21"/>
                      <w:szCs w:val="21"/>
                    </w:rPr>
                  </w:pPr>
                  <w:r>
                    <w:rPr>
                      <w:bCs/>
                      <w:kern w:val="0"/>
                      <w:sz w:val="21"/>
                      <w:szCs w:val="21"/>
                    </w:rPr>
                    <w:t>112</w:t>
                  </w:r>
                </w:p>
              </w:tc>
              <w:tc>
                <w:tcPr>
                  <w:tcW w:w="1162" w:type="dxa"/>
                  <w:vMerge w:val="restart"/>
                  <w:vAlign w:val="center"/>
                </w:tcPr>
                <w:p>
                  <w:pPr>
                    <w:spacing w:line="240" w:lineRule="auto"/>
                    <w:jc w:val="center"/>
                    <w:rPr>
                      <w:sz w:val="21"/>
                      <w:szCs w:val="21"/>
                    </w:rPr>
                  </w:pPr>
                  <w:r>
                    <w:rPr>
                      <w:sz w:val="21"/>
                      <w:szCs w:val="21"/>
                    </w:rPr>
                    <w:t>300</w:t>
                  </w:r>
                </w:p>
              </w:tc>
              <w:tc>
                <w:tcPr>
                  <w:tcW w:w="1268" w:type="dxa"/>
                  <w:vAlign w:val="center"/>
                </w:tcPr>
                <w:p>
                  <w:pPr>
                    <w:spacing w:line="240" w:lineRule="auto"/>
                    <w:jc w:val="center"/>
                    <w:rPr>
                      <w:sz w:val="21"/>
                      <w:szCs w:val="21"/>
                    </w:rPr>
                  </w:pPr>
                  <w:r>
                    <w:rPr>
                      <w:rFonts w:hint="eastAsia"/>
                      <w:sz w:val="21"/>
                      <w:szCs w:val="21"/>
                    </w:rPr>
                    <w:t>3</w:t>
                  </w:r>
                  <w:r>
                    <w:rPr>
                      <w:sz w:val="21"/>
                      <w:szCs w:val="21"/>
                    </w:rPr>
                    <w:t>7.3</w:t>
                  </w:r>
                </w:p>
              </w:tc>
              <w:tc>
                <w:tcPr>
                  <w:tcW w:w="854" w:type="dxa"/>
                  <w:vMerge w:val="restart"/>
                  <w:vAlign w:val="center"/>
                </w:tcPr>
                <w:p>
                  <w:pPr>
                    <w:spacing w:line="240" w:lineRule="auto"/>
                    <w:jc w:val="center"/>
                    <w:rPr>
                      <w:sz w:val="21"/>
                      <w:szCs w:val="21"/>
                      <w:lang w:val="zh-TW"/>
                    </w:rPr>
                  </w:pPr>
                  <w:r>
                    <w:rPr>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39" w:type="dxa"/>
                  <w:vMerge w:val="continue"/>
                  <w:vAlign w:val="center"/>
                </w:tcPr>
                <w:p>
                  <w:pPr>
                    <w:spacing w:line="240" w:lineRule="auto"/>
                    <w:jc w:val="center"/>
                    <w:rPr>
                      <w:sz w:val="21"/>
                      <w:szCs w:val="21"/>
                    </w:rPr>
                  </w:pPr>
                </w:p>
              </w:tc>
              <w:tc>
                <w:tcPr>
                  <w:tcW w:w="1981" w:type="dxa"/>
                  <w:vAlign w:val="center"/>
                </w:tcPr>
                <w:p>
                  <w:pPr>
                    <w:jc w:val="center"/>
                    <w:rPr>
                      <w:bCs/>
                      <w:kern w:val="0"/>
                      <w:szCs w:val="21"/>
                    </w:rPr>
                  </w:pPr>
                  <w:r>
                    <w:rPr>
                      <w:sz w:val="21"/>
                      <w:szCs w:val="21"/>
                    </w:rPr>
                    <w:t>20</w:t>
                  </w:r>
                  <w:r>
                    <w:rPr>
                      <w:rFonts w:hint="eastAsia"/>
                      <w:sz w:val="21"/>
                      <w:szCs w:val="21"/>
                    </w:rPr>
                    <w:t>20</w:t>
                  </w:r>
                  <w:r>
                    <w:rPr>
                      <w:sz w:val="21"/>
                      <w:szCs w:val="21"/>
                    </w:rPr>
                    <w:t>年</w:t>
                  </w:r>
                  <w:r>
                    <w:rPr>
                      <w:rFonts w:hint="eastAsia"/>
                      <w:sz w:val="21"/>
                      <w:szCs w:val="21"/>
                    </w:rPr>
                    <w:t>8</w:t>
                  </w:r>
                  <w:r>
                    <w:rPr>
                      <w:sz w:val="21"/>
                      <w:szCs w:val="21"/>
                    </w:rPr>
                    <w:t>月</w:t>
                  </w:r>
                  <w:r>
                    <w:rPr>
                      <w:rFonts w:hint="eastAsia"/>
                      <w:sz w:val="21"/>
                      <w:szCs w:val="21"/>
                    </w:rPr>
                    <w:t>28</w:t>
                  </w:r>
                  <w:r>
                    <w:rPr>
                      <w:sz w:val="21"/>
                      <w:szCs w:val="21"/>
                    </w:rPr>
                    <w:t>日</w:t>
                  </w:r>
                </w:p>
              </w:tc>
              <w:tc>
                <w:tcPr>
                  <w:tcW w:w="1237" w:type="dxa"/>
                  <w:vMerge w:val="continue"/>
                  <w:vAlign w:val="center"/>
                </w:tcPr>
                <w:p>
                  <w:pPr>
                    <w:spacing w:line="240" w:lineRule="auto"/>
                    <w:jc w:val="center"/>
                    <w:rPr>
                      <w:sz w:val="21"/>
                      <w:szCs w:val="21"/>
                    </w:rPr>
                  </w:pPr>
                </w:p>
              </w:tc>
              <w:tc>
                <w:tcPr>
                  <w:tcW w:w="1229" w:type="dxa"/>
                  <w:vAlign w:val="center"/>
                </w:tcPr>
                <w:p>
                  <w:pPr>
                    <w:spacing w:line="240" w:lineRule="auto"/>
                    <w:jc w:val="center"/>
                    <w:rPr>
                      <w:bCs/>
                      <w:kern w:val="0"/>
                      <w:sz w:val="21"/>
                      <w:szCs w:val="21"/>
                    </w:rPr>
                  </w:pPr>
                  <w:r>
                    <w:rPr>
                      <w:bCs/>
                      <w:kern w:val="0"/>
                      <w:sz w:val="21"/>
                      <w:szCs w:val="21"/>
                    </w:rPr>
                    <w:t>108</w:t>
                  </w:r>
                </w:p>
              </w:tc>
              <w:tc>
                <w:tcPr>
                  <w:tcW w:w="1162" w:type="dxa"/>
                  <w:vMerge w:val="continue"/>
                  <w:vAlign w:val="center"/>
                </w:tcPr>
                <w:p>
                  <w:pPr>
                    <w:spacing w:line="240" w:lineRule="auto"/>
                    <w:jc w:val="center"/>
                    <w:rPr>
                      <w:sz w:val="21"/>
                      <w:szCs w:val="21"/>
                    </w:rPr>
                  </w:pPr>
                </w:p>
              </w:tc>
              <w:tc>
                <w:tcPr>
                  <w:tcW w:w="1268" w:type="dxa"/>
                  <w:vAlign w:val="center"/>
                </w:tcPr>
                <w:p>
                  <w:pPr>
                    <w:spacing w:line="240" w:lineRule="auto"/>
                    <w:jc w:val="center"/>
                    <w:rPr>
                      <w:sz w:val="21"/>
                      <w:szCs w:val="21"/>
                    </w:rPr>
                  </w:pPr>
                  <w:r>
                    <w:rPr>
                      <w:sz w:val="21"/>
                      <w:szCs w:val="21"/>
                    </w:rPr>
                    <w:t>36.0</w:t>
                  </w:r>
                </w:p>
              </w:tc>
              <w:tc>
                <w:tcPr>
                  <w:tcW w:w="854" w:type="dxa"/>
                  <w:vMerge w:val="continue"/>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39" w:type="dxa"/>
                  <w:vMerge w:val="continue"/>
                  <w:vAlign w:val="center"/>
                </w:tcPr>
                <w:p>
                  <w:pPr>
                    <w:spacing w:line="240" w:lineRule="auto"/>
                    <w:jc w:val="center"/>
                    <w:rPr>
                      <w:sz w:val="21"/>
                      <w:szCs w:val="21"/>
                    </w:rPr>
                  </w:pPr>
                </w:p>
              </w:tc>
              <w:tc>
                <w:tcPr>
                  <w:tcW w:w="1981" w:type="dxa"/>
                  <w:vAlign w:val="center"/>
                </w:tcPr>
                <w:p>
                  <w:pPr>
                    <w:jc w:val="center"/>
                    <w:rPr>
                      <w:bCs/>
                      <w:kern w:val="0"/>
                      <w:szCs w:val="21"/>
                    </w:rPr>
                  </w:pPr>
                  <w:r>
                    <w:rPr>
                      <w:sz w:val="21"/>
                      <w:szCs w:val="21"/>
                    </w:rPr>
                    <w:t>20</w:t>
                  </w:r>
                  <w:r>
                    <w:rPr>
                      <w:rFonts w:hint="eastAsia"/>
                      <w:sz w:val="21"/>
                      <w:szCs w:val="21"/>
                    </w:rPr>
                    <w:t>20</w:t>
                  </w:r>
                  <w:r>
                    <w:rPr>
                      <w:sz w:val="21"/>
                      <w:szCs w:val="21"/>
                    </w:rPr>
                    <w:t>年</w:t>
                  </w:r>
                  <w:r>
                    <w:rPr>
                      <w:rFonts w:hint="eastAsia"/>
                      <w:sz w:val="21"/>
                      <w:szCs w:val="21"/>
                    </w:rPr>
                    <w:t>8</w:t>
                  </w:r>
                  <w:r>
                    <w:rPr>
                      <w:sz w:val="21"/>
                      <w:szCs w:val="21"/>
                    </w:rPr>
                    <w:t>月</w:t>
                  </w:r>
                  <w:r>
                    <w:rPr>
                      <w:rFonts w:hint="eastAsia"/>
                      <w:sz w:val="21"/>
                      <w:szCs w:val="21"/>
                    </w:rPr>
                    <w:t>29</w:t>
                  </w:r>
                  <w:r>
                    <w:rPr>
                      <w:sz w:val="21"/>
                      <w:szCs w:val="21"/>
                    </w:rPr>
                    <w:t>日</w:t>
                  </w:r>
                </w:p>
              </w:tc>
              <w:tc>
                <w:tcPr>
                  <w:tcW w:w="1237" w:type="dxa"/>
                  <w:vMerge w:val="continue"/>
                  <w:vAlign w:val="center"/>
                </w:tcPr>
                <w:p>
                  <w:pPr>
                    <w:spacing w:line="240" w:lineRule="auto"/>
                    <w:jc w:val="center"/>
                    <w:rPr>
                      <w:sz w:val="21"/>
                      <w:szCs w:val="21"/>
                    </w:rPr>
                  </w:pPr>
                </w:p>
              </w:tc>
              <w:tc>
                <w:tcPr>
                  <w:tcW w:w="1229" w:type="dxa"/>
                  <w:vAlign w:val="center"/>
                </w:tcPr>
                <w:p>
                  <w:pPr>
                    <w:spacing w:line="240" w:lineRule="auto"/>
                    <w:jc w:val="center"/>
                    <w:rPr>
                      <w:bCs/>
                      <w:kern w:val="0"/>
                      <w:sz w:val="21"/>
                      <w:szCs w:val="21"/>
                    </w:rPr>
                  </w:pPr>
                  <w:r>
                    <w:rPr>
                      <w:bCs/>
                      <w:kern w:val="0"/>
                      <w:sz w:val="21"/>
                      <w:szCs w:val="21"/>
                    </w:rPr>
                    <w:t>109</w:t>
                  </w:r>
                </w:p>
              </w:tc>
              <w:tc>
                <w:tcPr>
                  <w:tcW w:w="1162" w:type="dxa"/>
                  <w:vMerge w:val="continue"/>
                  <w:vAlign w:val="center"/>
                </w:tcPr>
                <w:p>
                  <w:pPr>
                    <w:spacing w:line="240" w:lineRule="auto"/>
                    <w:jc w:val="center"/>
                    <w:rPr>
                      <w:sz w:val="21"/>
                      <w:szCs w:val="21"/>
                    </w:rPr>
                  </w:pPr>
                </w:p>
              </w:tc>
              <w:tc>
                <w:tcPr>
                  <w:tcW w:w="1268" w:type="dxa"/>
                  <w:vAlign w:val="center"/>
                </w:tcPr>
                <w:p>
                  <w:pPr>
                    <w:spacing w:line="240" w:lineRule="auto"/>
                    <w:jc w:val="center"/>
                    <w:rPr>
                      <w:sz w:val="21"/>
                      <w:szCs w:val="21"/>
                    </w:rPr>
                  </w:pPr>
                  <w:r>
                    <w:rPr>
                      <w:sz w:val="21"/>
                      <w:szCs w:val="21"/>
                    </w:rPr>
                    <w:t>36.3</w:t>
                  </w:r>
                </w:p>
              </w:tc>
              <w:tc>
                <w:tcPr>
                  <w:tcW w:w="854" w:type="dxa"/>
                  <w:vMerge w:val="continue"/>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39" w:type="dxa"/>
                  <w:vMerge w:val="continue"/>
                  <w:vAlign w:val="center"/>
                </w:tcPr>
                <w:p>
                  <w:pPr>
                    <w:spacing w:line="240" w:lineRule="auto"/>
                    <w:jc w:val="center"/>
                    <w:rPr>
                      <w:sz w:val="21"/>
                      <w:szCs w:val="21"/>
                    </w:rPr>
                  </w:pPr>
                </w:p>
              </w:tc>
              <w:tc>
                <w:tcPr>
                  <w:tcW w:w="1981" w:type="dxa"/>
                  <w:vAlign w:val="center"/>
                </w:tcPr>
                <w:p>
                  <w:pPr>
                    <w:jc w:val="center"/>
                    <w:rPr>
                      <w:bCs/>
                      <w:kern w:val="0"/>
                      <w:szCs w:val="21"/>
                    </w:rPr>
                  </w:pPr>
                  <w:r>
                    <w:rPr>
                      <w:sz w:val="21"/>
                      <w:szCs w:val="21"/>
                    </w:rPr>
                    <w:t>20</w:t>
                  </w:r>
                  <w:r>
                    <w:rPr>
                      <w:rFonts w:hint="eastAsia"/>
                      <w:sz w:val="21"/>
                      <w:szCs w:val="21"/>
                    </w:rPr>
                    <w:t>20</w:t>
                  </w:r>
                  <w:r>
                    <w:rPr>
                      <w:sz w:val="21"/>
                      <w:szCs w:val="21"/>
                    </w:rPr>
                    <w:t>年</w:t>
                  </w:r>
                  <w:r>
                    <w:rPr>
                      <w:rFonts w:hint="eastAsia"/>
                      <w:sz w:val="21"/>
                      <w:szCs w:val="21"/>
                    </w:rPr>
                    <w:t>8</w:t>
                  </w:r>
                  <w:r>
                    <w:rPr>
                      <w:sz w:val="21"/>
                      <w:szCs w:val="21"/>
                    </w:rPr>
                    <w:t>月</w:t>
                  </w:r>
                  <w:r>
                    <w:rPr>
                      <w:rFonts w:hint="eastAsia"/>
                      <w:sz w:val="21"/>
                      <w:szCs w:val="21"/>
                    </w:rPr>
                    <w:t>30</w:t>
                  </w:r>
                  <w:r>
                    <w:rPr>
                      <w:sz w:val="21"/>
                      <w:szCs w:val="21"/>
                    </w:rPr>
                    <w:t>日</w:t>
                  </w:r>
                </w:p>
              </w:tc>
              <w:tc>
                <w:tcPr>
                  <w:tcW w:w="1237" w:type="dxa"/>
                  <w:vMerge w:val="continue"/>
                  <w:vAlign w:val="center"/>
                </w:tcPr>
                <w:p>
                  <w:pPr>
                    <w:spacing w:line="240" w:lineRule="auto"/>
                    <w:jc w:val="center"/>
                    <w:rPr>
                      <w:sz w:val="21"/>
                      <w:szCs w:val="21"/>
                    </w:rPr>
                  </w:pPr>
                </w:p>
              </w:tc>
              <w:tc>
                <w:tcPr>
                  <w:tcW w:w="1229" w:type="dxa"/>
                  <w:vAlign w:val="center"/>
                </w:tcPr>
                <w:p>
                  <w:pPr>
                    <w:spacing w:line="240" w:lineRule="auto"/>
                    <w:jc w:val="center"/>
                    <w:rPr>
                      <w:bCs/>
                      <w:kern w:val="0"/>
                      <w:sz w:val="21"/>
                      <w:szCs w:val="21"/>
                    </w:rPr>
                  </w:pPr>
                  <w:r>
                    <w:rPr>
                      <w:bCs/>
                      <w:kern w:val="0"/>
                      <w:sz w:val="21"/>
                      <w:szCs w:val="21"/>
                    </w:rPr>
                    <w:t>93</w:t>
                  </w:r>
                </w:p>
              </w:tc>
              <w:tc>
                <w:tcPr>
                  <w:tcW w:w="1162" w:type="dxa"/>
                  <w:vMerge w:val="continue"/>
                  <w:vAlign w:val="center"/>
                </w:tcPr>
                <w:p>
                  <w:pPr>
                    <w:spacing w:line="240" w:lineRule="auto"/>
                    <w:jc w:val="center"/>
                    <w:rPr>
                      <w:sz w:val="21"/>
                      <w:szCs w:val="21"/>
                    </w:rPr>
                  </w:pPr>
                </w:p>
              </w:tc>
              <w:tc>
                <w:tcPr>
                  <w:tcW w:w="1268" w:type="dxa"/>
                  <w:vAlign w:val="center"/>
                </w:tcPr>
                <w:p>
                  <w:pPr>
                    <w:spacing w:line="240" w:lineRule="auto"/>
                    <w:jc w:val="center"/>
                    <w:rPr>
                      <w:sz w:val="21"/>
                      <w:szCs w:val="21"/>
                    </w:rPr>
                  </w:pPr>
                  <w:r>
                    <w:rPr>
                      <w:sz w:val="21"/>
                      <w:szCs w:val="21"/>
                    </w:rPr>
                    <w:t>31.0</w:t>
                  </w:r>
                </w:p>
              </w:tc>
              <w:tc>
                <w:tcPr>
                  <w:tcW w:w="854" w:type="dxa"/>
                  <w:vMerge w:val="continue"/>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39" w:type="dxa"/>
                  <w:vMerge w:val="continue"/>
                  <w:vAlign w:val="center"/>
                </w:tcPr>
                <w:p>
                  <w:pPr>
                    <w:spacing w:line="240" w:lineRule="auto"/>
                    <w:jc w:val="center"/>
                    <w:rPr>
                      <w:sz w:val="21"/>
                      <w:szCs w:val="21"/>
                    </w:rPr>
                  </w:pPr>
                </w:p>
              </w:tc>
              <w:tc>
                <w:tcPr>
                  <w:tcW w:w="1981" w:type="dxa"/>
                  <w:vAlign w:val="center"/>
                </w:tcPr>
                <w:p>
                  <w:pPr>
                    <w:jc w:val="center"/>
                    <w:rPr>
                      <w:sz w:val="21"/>
                    </w:rPr>
                  </w:pPr>
                  <w:r>
                    <w:rPr>
                      <w:sz w:val="21"/>
                      <w:szCs w:val="21"/>
                    </w:rPr>
                    <w:t>20</w:t>
                  </w:r>
                  <w:r>
                    <w:rPr>
                      <w:rFonts w:hint="eastAsia"/>
                      <w:sz w:val="21"/>
                      <w:szCs w:val="21"/>
                    </w:rPr>
                    <w:t>20</w:t>
                  </w:r>
                  <w:r>
                    <w:rPr>
                      <w:sz w:val="21"/>
                      <w:szCs w:val="21"/>
                    </w:rPr>
                    <w:t>年</w:t>
                  </w:r>
                  <w:r>
                    <w:rPr>
                      <w:rFonts w:hint="eastAsia"/>
                      <w:sz w:val="21"/>
                      <w:szCs w:val="21"/>
                    </w:rPr>
                    <w:t>8</w:t>
                  </w:r>
                  <w:r>
                    <w:rPr>
                      <w:sz w:val="21"/>
                      <w:szCs w:val="21"/>
                    </w:rPr>
                    <w:t>月</w:t>
                  </w:r>
                  <w:r>
                    <w:rPr>
                      <w:rFonts w:hint="eastAsia"/>
                      <w:sz w:val="21"/>
                      <w:szCs w:val="21"/>
                    </w:rPr>
                    <w:t>31</w:t>
                  </w:r>
                  <w:r>
                    <w:rPr>
                      <w:sz w:val="21"/>
                      <w:szCs w:val="21"/>
                    </w:rPr>
                    <w:t>日</w:t>
                  </w:r>
                </w:p>
              </w:tc>
              <w:tc>
                <w:tcPr>
                  <w:tcW w:w="1237" w:type="dxa"/>
                  <w:vMerge w:val="continue"/>
                  <w:vAlign w:val="center"/>
                </w:tcPr>
                <w:p>
                  <w:pPr>
                    <w:spacing w:line="240" w:lineRule="auto"/>
                    <w:jc w:val="center"/>
                    <w:rPr>
                      <w:sz w:val="21"/>
                      <w:szCs w:val="21"/>
                    </w:rPr>
                  </w:pPr>
                </w:p>
              </w:tc>
              <w:tc>
                <w:tcPr>
                  <w:tcW w:w="1229" w:type="dxa"/>
                  <w:vAlign w:val="center"/>
                </w:tcPr>
                <w:p>
                  <w:pPr>
                    <w:spacing w:line="240" w:lineRule="auto"/>
                    <w:jc w:val="center"/>
                    <w:rPr>
                      <w:bCs/>
                      <w:kern w:val="0"/>
                      <w:sz w:val="21"/>
                      <w:szCs w:val="21"/>
                    </w:rPr>
                  </w:pPr>
                  <w:r>
                    <w:rPr>
                      <w:bCs/>
                      <w:kern w:val="0"/>
                      <w:sz w:val="21"/>
                      <w:szCs w:val="21"/>
                    </w:rPr>
                    <w:t>107</w:t>
                  </w:r>
                </w:p>
              </w:tc>
              <w:tc>
                <w:tcPr>
                  <w:tcW w:w="1162" w:type="dxa"/>
                  <w:vMerge w:val="continue"/>
                  <w:vAlign w:val="center"/>
                </w:tcPr>
                <w:p>
                  <w:pPr>
                    <w:spacing w:line="240" w:lineRule="auto"/>
                    <w:jc w:val="center"/>
                    <w:rPr>
                      <w:sz w:val="21"/>
                      <w:szCs w:val="21"/>
                    </w:rPr>
                  </w:pPr>
                </w:p>
              </w:tc>
              <w:tc>
                <w:tcPr>
                  <w:tcW w:w="1268" w:type="dxa"/>
                  <w:vAlign w:val="center"/>
                </w:tcPr>
                <w:p>
                  <w:pPr>
                    <w:spacing w:line="240" w:lineRule="auto"/>
                    <w:jc w:val="center"/>
                    <w:rPr>
                      <w:sz w:val="21"/>
                      <w:szCs w:val="21"/>
                    </w:rPr>
                  </w:pPr>
                  <w:r>
                    <w:rPr>
                      <w:sz w:val="21"/>
                      <w:szCs w:val="21"/>
                    </w:rPr>
                    <w:t>35.7</w:t>
                  </w:r>
                </w:p>
              </w:tc>
              <w:tc>
                <w:tcPr>
                  <w:tcW w:w="854" w:type="dxa"/>
                  <w:vMerge w:val="continue"/>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39" w:type="dxa"/>
                  <w:vMerge w:val="continue"/>
                  <w:vAlign w:val="center"/>
                </w:tcPr>
                <w:p>
                  <w:pPr>
                    <w:spacing w:line="240" w:lineRule="auto"/>
                    <w:jc w:val="center"/>
                    <w:rPr>
                      <w:sz w:val="21"/>
                      <w:szCs w:val="21"/>
                    </w:rPr>
                  </w:pPr>
                </w:p>
              </w:tc>
              <w:tc>
                <w:tcPr>
                  <w:tcW w:w="1981" w:type="dxa"/>
                  <w:vAlign w:val="center"/>
                </w:tcPr>
                <w:p>
                  <w:pPr>
                    <w:jc w:val="center"/>
                    <w:rPr>
                      <w:sz w:val="21"/>
                    </w:rPr>
                  </w:pPr>
                  <w:r>
                    <w:rPr>
                      <w:sz w:val="21"/>
                      <w:szCs w:val="21"/>
                    </w:rPr>
                    <w:t>20</w:t>
                  </w:r>
                  <w:r>
                    <w:rPr>
                      <w:rFonts w:hint="eastAsia"/>
                      <w:sz w:val="21"/>
                      <w:szCs w:val="21"/>
                    </w:rPr>
                    <w:t>20</w:t>
                  </w:r>
                  <w:r>
                    <w:rPr>
                      <w:sz w:val="21"/>
                      <w:szCs w:val="21"/>
                    </w:rPr>
                    <w:t>年</w:t>
                  </w:r>
                  <w:r>
                    <w:rPr>
                      <w:rFonts w:hint="eastAsia"/>
                      <w:sz w:val="21"/>
                      <w:szCs w:val="21"/>
                    </w:rPr>
                    <w:t>9</w:t>
                  </w:r>
                  <w:r>
                    <w:rPr>
                      <w:sz w:val="21"/>
                      <w:szCs w:val="21"/>
                    </w:rPr>
                    <w:t>月</w:t>
                  </w:r>
                  <w:r>
                    <w:rPr>
                      <w:rFonts w:hint="eastAsia"/>
                      <w:sz w:val="21"/>
                      <w:szCs w:val="21"/>
                    </w:rPr>
                    <w:t>1</w:t>
                  </w:r>
                  <w:r>
                    <w:rPr>
                      <w:sz w:val="21"/>
                      <w:szCs w:val="21"/>
                    </w:rPr>
                    <w:t>日</w:t>
                  </w:r>
                </w:p>
              </w:tc>
              <w:tc>
                <w:tcPr>
                  <w:tcW w:w="1237" w:type="dxa"/>
                  <w:vMerge w:val="continue"/>
                  <w:vAlign w:val="center"/>
                </w:tcPr>
                <w:p>
                  <w:pPr>
                    <w:spacing w:line="240" w:lineRule="auto"/>
                    <w:jc w:val="center"/>
                    <w:rPr>
                      <w:sz w:val="21"/>
                      <w:szCs w:val="21"/>
                    </w:rPr>
                  </w:pPr>
                </w:p>
              </w:tc>
              <w:tc>
                <w:tcPr>
                  <w:tcW w:w="1229" w:type="dxa"/>
                  <w:vAlign w:val="center"/>
                </w:tcPr>
                <w:p>
                  <w:pPr>
                    <w:spacing w:line="240" w:lineRule="auto"/>
                    <w:jc w:val="center"/>
                    <w:rPr>
                      <w:sz w:val="21"/>
                      <w:szCs w:val="21"/>
                    </w:rPr>
                  </w:pPr>
                  <w:r>
                    <w:rPr>
                      <w:sz w:val="21"/>
                      <w:szCs w:val="21"/>
                    </w:rPr>
                    <w:t>102</w:t>
                  </w:r>
                </w:p>
              </w:tc>
              <w:tc>
                <w:tcPr>
                  <w:tcW w:w="1162" w:type="dxa"/>
                  <w:vMerge w:val="continue"/>
                  <w:vAlign w:val="center"/>
                </w:tcPr>
                <w:p>
                  <w:pPr>
                    <w:spacing w:line="240" w:lineRule="auto"/>
                    <w:jc w:val="center"/>
                    <w:rPr>
                      <w:sz w:val="21"/>
                      <w:szCs w:val="21"/>
                    </w:rPr>
                  </w:pPr>
                </w:p>
              </w:tc>
              <w:tc>
                <w:tcPr>
                  <w:tcW w:w="1268" w:type="dxa"/>
                  <w:vAlign w:val="center"/>
                </w:tcPr>
                <w:p>
                  <w:pPr>
                    <w:spacing w:line="240" w:lineRule="auto"/>
                    <w:jc w:val="center"/>
                    <w:rPr>
                      <w:sz w:val="21"/>
                      <w:szCs w:val="21"/>
                    </w:rPr>
                  </w:pPr>
                  <w:r>
                    <w:rPr>
                      <w:sz w:val="21"/>
                      <w:szCs w:val="21"/>
                    </w:rPr>
                    <w:t>34.0</w:t>
                  </w:r>
                </w:p>
              </w:tc>
              <w:tc>
                <w:tcPr>
                  <w:tcW w:w="854" w:type="dxa"/>
                  <w:vMerge w:val="continue"/>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39" w:type="dxa"/>
                  <w:vMerge w:val="continue"/>
                  <w:vAlign w:val="center"/>
                </w:tcPr>
                <w:p>
                  <w:pPr>
                    <w:spacing w:line="240" w:lineRule="auto"/>
                    <w:jc w:val="center"/>
                    <w:rPr>
                      <w:sz w:val="21"/>
                      <w:szCs w:val="21"/>
                    </w:rPr>
                  </w:pPr>
                </w:p>
              </w:tc>
              <w:tc>
                <w:tcPr>
                  <w:tcW w:w="1981" w:type="dxa"/>
                  <w:vAlign w:val="center"/>
                </w:tcPr>
                <w:p>
                  <w:pPr>
                    <w:jc w:val="center"/>
                    <w:rPr>
                      <w:sz w:val="21"/>
                    </w:rPr>
                  </w:pPr>
                  <w:r>
                    <w:rPr>
                      <w:sz w:val="21"/>
                      <w:szCs w:val="21"/>
                    </w:rPr>
                    <w:t>20</w:t>
                  </w:r>
                  <w:r>
                    <w:rPr>
                      <w:rFonts w:hint="eastAsia"/>
                      <w:sz w:val="21"/>
                      <w:szCs w:val="21"/>
                    </w:rPr>
                    <w:t>20</w:t>
                  </w:r>
                  <w:r>
                    <w:rPr>
                      <w:sz w:val="21"/>
                      <w:szCs w:val="21"/>
                    </w:rPr>
                    <w:t>年</w:t>
                  </w:r>
                  <w:r>
                    <w:rPr>
                      <w:rFonts w:hint="eastAsia"/>
                      <w:sz w:val="21"/>
                      <w:szCs w:val="21"/>
                    </w:rPr>
                    <w:t>9</w:t>
                  </w:r>
                  <w:r>
                    <w:rPr>
                      <w:sz w:val="21"/>
                      <w:szCs w:val="21"/>
                    </w:rPr>
                    <w:t>月</w:t>
                  </w:r>
                  <w:r>
                    <w:rPr>
                      <w:rFonts w:hint="eastAsia"/>
                      <w:sz w:val="21"/>
                      <w:szCs w:val="21"/>
                    </w:rPr>
                    <w:t>2</w:t>
                  </w:r>
                  <w:r>
                    <w:rPr>
                      <w:sz w:val="21"/>
                      <w:szCs w:val="21"/>
                    </w:rPr>
                    <w:t>日</w:t>
                  </w:r>
                </w:p>
              </w:tc>
              <w:tc>
                <w:tcPr>
                  <w:tcW w:w="1237" w:type="dxa"/>
                  <w:vMerge w:val="continue"/>
                  <w:vAlign w:val="center"/>
                </w:tcPr>
                <w:p>
                  <w:pPr>
                    <w:spacing w:line="240" w:lineRule="auto"/>
                    <w:jc w:val="center"/>
                    <w:rPr>
                      <w:sz w:val="21"/>
                      <w:szCs w:val="21"/>
                    </w:rPr>
                  </w:pPr>
                </w:p>
              </w:tc>
              <w:tc>
                <w:tcPr>
                  <w:tcW w:w="1229" w:type="dxa"/>
                  <w:vAlign w:val="center"/>
                </w:tcPr>
                <w:p>
                  <w:pPr>
                    <w:spacing w:line="240" w:lineRule="auto"/>
                    <w:jc w:val="center"/>
                    <w:rPr>
                      <w:sz w:val="21"/>
                      <w:szCs w:val="21"/>
                    </w:rPr>
                  </w:pPr>
                  <w:r>
                    <w:rPr>
                      <w:sz w:val="21"/>
                      <w:szCs w:val="21"/>
                    </w:rPr>
                    <w:t>110</w:t>
                  </w:r>
                </w:p>
              </w:tc>
              <w:tc>
                <w:tcPr>
                  <w:tcW w:w="1162" w:type="dxa"/>
                  <w:vMerge w:val="continue"/>
                  <w:vAlign w:val="center"/>
                </w:tcPr>
                <w:p>
                  <w:pPr>
                    <w:spacing w:line="240" w:lineRule="auto"/>
                    <w:jc w:val="center"/>
                    <w:rPr>
                      <w:sz w:val="21"/>
                      <w:szCs w:val="21"/>
                    </w:rPr>
                  </w:pPr>
                </w:p>
              </w:tc>
              <w:tc>
                <w:tcPr>
                  <w:tcW w:w="1268" w:type="dxa"/>
                  <w:vAlign w:val="center"/>
                </w:tcPr>
                <w:p>
                  <w:pPr>
                    <w:spacing w:line="240" w:lineRule="auto"/>
                    <w:jc w:val="center"/>
                    <w:rPr>
                      <w:sz w:val="21"/>
                      <w:szCs w:val="21"/>
                    </w:rPr>
                  </w:pPr>
                  <w:r>
                    <w:rPr>
                      <w:sz w:val="21"/>
                      <w:szCs w:val="21"/>
                    </w:rPr>
                    <w:t>36.7</w:t>
                  </w:r>
                </w:p>
              </w:tc>
              <w:tc>
                <w:tcPr>
                  <w:tcW w:w="854" w:type="dxa"/>
                  <w:vMerge w:val="continue"/>
                  <w:vAlign w:val="center"/>
                </w:tcPr>
                <w:p>
                  <w:pPr>
                    <w:spacing w:line="240" w:lineRule="auto"/>
                    <w:jc w:val="center"/>
                    <w:rPr>
                      <w:sz w:val="21"/>
                      <w:szCs w:val="21"/>
                    </w:rPr>
                  </w:pPr>
                </w:p>
              </w:tc>
            </w:tr>
          </w:tbl>
          <w:p>
            <w:pPr>
              <w:pStyle w:val="54"/>
              <w:adjustRightInd/>
              <w:snapToGrid/>
              <w:spacing w:beforeLines="0"/>
              <w:ind w:firstLine="480" w:firstLineChars="200"/>
              <w:rPr>
                <w:rFonts w:eastAsiaTheme="minorEastAsia"/>
                <w:b w:val="0"/>
              </w:rPr>
            </w:pPr>
            <w:r>
              <w:rPr>
                <w:b w:val="0"/>
                <w:bCs/>
                <w:color w:val="000000"/>
              </w:rPr>
              <w:t>根据以上监测结果可知，</w:t>
            </w:r>
            <w:r>
              <w:rPr>
                <w:rFonts w:hint="eastAsia"/>
                <w:b w:val="0"/>
              </w:rPr>
              <w:t>项目所在地</w:t>
            </w:r>
            <w:r>
              <w:rPr>
                <w:b w:val="0"/>
                <w:bCs/>
                <w:color w:val="000000"/>
              </w:rPr>
              <w:t>环境空气中</w:t>
            </w:r>
            <w:r>
              <w:rPr>
                <w:rFonts w:hint="eastAsia"/>
                <w:b w:val="0"/>
                <w:color w:val="000000"/>
              </w:rPr>
              <w:t>TSP日均监测浓度均</w:t>
            </w:r>
            <w:r>
              <w:rPr>
                <w:b w:val="0"/>
                <w:bCs/>
                <w:color w:val="000000"/>
              </w:rPr>
              <w:t>满足</w:t>
            </w:r>
            <w:r>
              <w:rPr>
                <w:b w:val="0"/>
                <w:color w:val="000000"/>
              </w:rPr>
              <w:t>《环境空气质量标准》（GB3095-2012）</w:t>
            </w:r>
            <w:r>
              <w:rPr>
                <w:rFonts w:hint="eastAsia"/>
                <w:b w:val="0"/>
                <w:color w:val="000000"/>
              </w:rPr>
              <w:t>二级标准要求。</w:t>
            </w:r>
          </w:p>
          <w:p>
            <w:pPr>
              <w:pStyle w:val="54"/>
              <w:adjustRightInd/>
              <w:snapToGrid/>
              <w:spacing w:beforeLines="0"/>
              <w:ind w:firstLine="480" w:firstLineChars="200"/>
              <w:rPr>
                <w:rFonts w:eastAsiaTheme="minorEastAsia"/>
                <w:b w:val="0"/>
              </w:rPr>
            </w:pPr>
            <w:r>
              <w:rPr>
                <w:rFonts w:eastAsiaTheme="minorEastAsia"/>
                <w:b w:val="0"/>
              </w:rPr>
              <w:t>2、声环境质量现状</w:t>
            </w:r>
          </w:p>
          <w:p>
            <w:pPr>
              <w:ind w:firstLine="480"/>
            </w:pPr>
            <w:r>
              <w:t>本次声环境质量现状</w:t>
            </w:r>
            <w:r>
              <w:rPr>
                <w:rFonts w:hint="eastAsia"/>
              </w:rPr>
              <w:t>监测</w:t>
            </w:r>
            <w:r>
              <w:rPr>
                <w:kern w:val="0"/>
              </w:rPr>
              <w:t>委托</w:t>
            </w:r>
            <w:r>
              <w:rPr>
                <w:lang w:bidi="ar"/>
              </w:rPr>
              <w:t>陕西华康检验检测有限责任公司</w:t>
            </w:r>
            <w:r>
              <w:rPr>
                <w:kern w:val="0"/>
              </w:rPr>
              <w:t>进行现状监测，</w:t>
            </w:r>
            <w:r>
              <w:t>在项目四周厂界外1m各布设1个监测点位，共4个噪声监测点位。监测时间为2020年8月27日～8月28日，连续2天，昼、夜监测等效连续A声级。具体监测点布设详见附图4，噪声监测结果详见表3</w:t>
            </w:r>
            <w:r>
              <w:rPr>
                <w:rFonts w:hint="eastAsia"/>
              </w:rPr>
              <w:t>-</w:t>
            </w:r>
            <w:r>
              <w:t>4。</w:t>
            </w:r>
          </w:p>
          <w:p>
            <w:pPr>
              <w:keepNext/>
              <w:numPr>
                <w:ilvl w:val="0"/>
                <w:numId w:val="3"/>
              </w:numPr>
              <w:spacing w:line="240" w:lineRule="auto"/>
              <w:ind w:left="0" w:firstLine="0"/>
              <w:jc w:val="center"/>
              <w:rPr>
                <w:b/>
                <w:sz w:val="21"/>
                <w:szCs w:val="20"/>
              </w:rPr>
            </w:pPr>
            <w:r>
              <w:rPr>
                <w:b/>
                <w:sz w:val="21"/>
                <w:szCs w:val="20"/>
              </w:rPr>
              <w:t xml:space="preserve">  项目噪声监测结果   单位：dB（A）</w:t>
            </w:r>
          </w:p>
          <w:tbl>
            <w:tblPr>
              <w:tblStyle w:val="24"/>
              <w:tblW w:w="85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6"/>
              <w:gridCol w:w="966"/>
              <w:gridCol w:w="967"/>
              <w:gridCol w:w="1046"/>
              <w:gridCol w:w="1205"/>
              <w:gridCol w:w="1122"/>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246" w:type="dxa"/>
                  <w:vMerge w:val="restart"/>
                  <w:vAlign w:val="center"/>
                </w:tcPr>
                <w:p>
                  <w:pPr>
                    <w:spacing w:line="240" w:lineRule="auto"/>
                    <w:jc w:val="center"/>
                    <w:rPr>
                      <w:sz w:val="21"/>
                      <w:szCs w:val="21"/>
                    </w:rPr>
                  </w:pPr>
                  <w:r>
                    <w:rPr>
                      <w:sz w:val="21"/>
                      <w:szCs w:val="21"/>
                    </w:rPr>
                    <w:t>监测点位</w:t>
                  </w:r>
                </w:p>
              </w:tc>
              <w:tc>
                <w:tcPr>
                  <w:tcW w:w="1933" w:type="dxa"/>
                  <w:gridSpan w:val="2"/>
                  <w:vAlign w:val="center"/>
                </w:tcPr>
                <w:p>
                  <w:pPr>
                    <w:spacing w:line="240" w:lineRule="auto"/>
                    <w:jc w:val="center"/>
                    <w:rPr>
                      <w:sz w:val="21"/>
                      <w:szCs w:val="21"/>
                    </w:rPr>
                  </w:pPr>
                  <w:r>
                    <w:rPr>
                      <w:sz w:val="21"/>
                      <w:szCs w:val="21"/>
                    </w:rPr>
                    <w:t>8月27日</w:t>
                  </w:r>
                </w:p>
              </w:tc>
              <w:tc>
                <w:tcPr>
                  <w:tcW w:w="2251" w:type="dxa"/>
                  <w:gridSpan w:val="2"/>
                  <w:vAlign w:val="center"/>
                </w:tcPr>
                <w:p>
                  <w:pPr>
                    <w:spacing w:line="240" w:lineRule="auto"/>
                    <w:jc w:val="center"/>
                    <w:rPr>
                      <w:sz w:val="21"/>
                      <w:szCs w:val="21"/>
                    </w:rPr>
                  </w:pPr>
                  <w:r>
                    <w:rPr>
                      <w:sz w:val="21"/>
                      <w:szCs w:val="21"/>
                    </w:rPr>
                    <w:t>8月28日</w:t>
                  </w:r>
                </w:p>
              </w:tc>
              <w:tc>
                <w:tcPr>
                  <w:tcW w:w="2071" w:type="dxa"/>
                  <w:gridSpan w:val="2"/>
                  <w:vAlign w:val="center"/>
                </w:tcPr>
                <w:p>
                  <w:pPr>
                    <w:spacing w:line="240" w:lineRule="auto"/>
                    <w:jc w:val="center"/>
                    <w:rPr>
                      <w:sz w:val="21"/>
                      <w:szCs w:val="21"/>
                    </w:rPr>
                  </w:pPr>
                  <w:r>
                    <w:rPr>
                      <w:rFonts w:hint="eastAsia"/>
                      <w:sz w:val="21"/>
                      <w:szCs w:val="21"/>
                    </w:rPr>
                    <w:t>2类标准限值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246" w:type="dxa"/>
                  <w:vMerge w:val="continue"/>
                  <w:vAlign w:val="center"/>
                </w:tcPr>
                <w:p>
                  <w:pPr>
                    <w:spacing w:line="240" w:lineRule="auto"/>
                    <w:jc w:val="center"/>
                    <w:rPr>
                      <w:sz w:val="21"/>
                      <w:szCs w:val="21"/>
                    </w:rPr>
                  </w:pPr>
                </w:p>
              </w:tc>
              <w:tc>
                <w:tcPr>
                  <w:tcW w:w="966" w:type="dxa"/>
                  <w:vAlign w:val="center"/>
                </w:tcPr>
                <w:p>
                  <w:pPr>
                    <w:spacing w:line="240" w:lineRule="auto"/>
                    <w:jc w:val="center"/>
                    <w:rPr>
                      <w:sz w:val="21"/>
                      <w:szCs w:val="21"/>
                    </w:rPr>
                  </w:pPr>
                  <w:r>
                    <w:rPr>
                      <w:sz w:val="21"/>
                      <w:szCs w:val="21"/>
                    </w:rPr>
                    <w:t>昼间</w:t>
                  </w:r>
                </w:p>
              </w:tc>
              <w:tc>
                <w:tcPr>
                  <w:tcW w:w="966" w:type="dxa"/>
                  <w:vAlign w:val="center"/>
                </w:tcPr>
                <w:p>
                  <w:pPr>
                    <w:spacing w:line="240" w:lineRule="auto"/>
                    <w:jc w:val="center"/>
                    <w:rPr>
                      <w:sz w:val="21"/>
                      <w:szCs w:val="21"/>
                    </w:rPr>
                  </w:pPr>
                  <w:r>
                    <w:rPr>
                      <w:sz w:val="21"/>
                      <w:szCs w:val="21"/>
                    </w:rPr>
                    <w:t>夜间</w:t>
                  </w:r>
                </w:p>
              </w:tc>
              <w:tc>
                <w:tcPr>
                  <w:tcW w:w="1046" w:type="dxa"/>
                  <w:vAlign w:val="center"/>
                </w:tcPr>
                <w:p>
                  <w:pPr>
                    <w:spacing w:line="240" w:lineRule="auto"/>
                    <w:jc w:val="center"/>
                    <w:rPr>
                      <w:sz w:val="21"/>
                      <w:szCs w:val="21"/>
                    </w:rPr>
                  </w:pPr>
                  <w:r>
                    <w:rPr>
                      <w:sz w:val="21"/>
                      <w:szCs w:val="21"/>
                    </w:rPr>
                    <w:t>昼间</w:t>
                  </w:r>
                </w:p>
              </w:tc>
              <w:tc>
                <w:tcPr>
                  <w:tcW w:w="1204" w:type="dxa"/>
                  <w:vAlign w:val="center"/>
                </w:tcPr>
                <w:p>
                  <w:pPr>
                    <w:spacing w:line="240" w:lineRule="auto"/>
                    <w:jc w:val="center"/>
                    <w:rPr>
                      <w:sz w:val="21"/>
                      <w:szCs w:val="21"/>
                    </w:rPr>
                  </w:pPr>
                  <w:r>
                    <w:rPr>
                      <w:sz w:val="21"/>
                      <w:szCs w:val="21"/>
                    </w:rPr>
                    <w:t>夜间</w:t>
                  </w:r>
                </w:p>
              </w:tc>
              <w:tc>
                <w:tcPr>
                  <w:tcW w:w="1122" w:type="dxa"/>
                  <w:vAlign w:val="center"/>
                </w:tcPr>
                <w:p>
                  <w:pPr>
                    <w:spacing w:line="240" w:lineRule="auto"/>
                    <w:jc w:val="center"/>
                    <w:rPr>
                      <w:sz w:val="21"/>
                      <w:szCs w:val="21"/>
                    </w:rPr>
                  </w:pPr>
                  <w:r>
                    <w:rPr>
                      <w:sz w:val="21"/>
                      <w:szCs w:val="21"/>
                    </w:rPr>
                    <w:t>昼间</w:t>
                  </w:r>
                </w:p>
              </w:tc>
              <w:tc>
                <w:tcPr>
                  <w:tcW w:w="949" w:type="dxa"/>
                  <w:vAlign w:val="center"/>
                </w:tcPr>
                <w:p>
                  <w:pPr>
                    <w:spacing w:line="240" w:lineRule="auto"/>
                    <w:jc w:val="center"/>
                    <w:rPr>
                      <w:sz w:val="21"/>
                      <w:szCs w:val="21"/>
                    </w:rPr>
                  </w:pPr>
                  <w:r>
                    <w:rPr>
                      <w:sz w:val="21"/>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246" w:type="dxa"/>
                  <w:vAlign w:val="center"/>
                </w:tcPr>
                <w:p>
                  <w:pPr>
                    <w:jc w:val="center"/>
                    <w:rPr>
                      <w:bCs/>
                      <w:szCs w:val="21"/>
                    </w:rPr>
                  </w:pPr>
                  <w:r>
                    <w:rPr>
                      <w:bCs/>
                      <w:szCs w:val="21"/>
                    </w:rPr>
                    <w:t>1#项目厂界东侧</w:t>
                  </w:r>
                </w:p>
              </w:tc>
              <w:tc>
                <w:tcPr>
                  <w:tcW w:w="966" w:type="dxa"/>
                  <w:vAlign w:val="center"/>
                </w:tcPr>
                <w:p>
                  <w:pPr>
                    <w:jc w:val="center"/>
                    <w:textAlignment w:val="center"/>
                    <w:rPr>
                      <w:bCs/>
                      <w:szCs w:val="21"/>
                    </w:rPr>
                  </w:pPr>
                  <w:r>
                    <w:rPr>
                      <w:bCs/>
                      <w:szCs w:val="21"/>
                    </w:rPr>
                    <w:t>54.2</w:t>
                  </w:r>
                </w:p>
              </w:tc>
              <w:tc>
                <w:tcPr>
                  <w:tcW w:w="966" w:type="dxa"/>
                  <w:vAlign w:val="center"/>
                </w:tcPr>
                <w:p>
                  <w:pPr>
                    <w:jc w:val="center"/>
                    <w:textAlignment w:val="center"/>
                    <w:rPr>
                      <w:bCs/>
                      <w:szCs w:val="21"/>
                    </w:rPr>
                  </w:pPr>
                  <w:r>
                    <w:rPr>
                      <w:bCs/>
                      <w:szCs w:val="21"/>
                    </w:rPr>
                    <w:t>44.5</w:t>
                  </w:r>
                </w:p>
              </w:tc>
              <w:tc>
                <w:tcPr>
                  <w:tcW w:w="1046" w:type="dxa"/>
                  <w:vAlign w:val="center"/>
                </w:tcPr>
                <w:p>
                  <w:pPr>
                    <w:jc w:val="center"/>
                    <w:textAlignment w:val="center"/>
                    <w:rPr>
                      <w:bCs/>
                      <w:szCs w:val="21"/>
                    </w:rPr>
                  </w:pPr>
                  <w:r>
                    <w:rPr>
                      <w:rFonts w:hint="eastAsia"/>
                      <w:bCs/>
                      <w:szCs w:val="21"/>
                    </w:rPr>
                    <w:t>53.</w:t>
                  </w:r>
                  <w:r>
                    <w:rPr>
                      <w:bCs/>
                      <w:szCs w:val="21"/>
                    </w:rPr>
                    <w:t>4</w:t>
                  </w:r>
                </w:p>
              </w:tc>
              <w:tc>
                <w:tcPr>
                  <w:tcW w:w="1204" w:type="dxa"/>
                  <w:vAlign w:val="center"/>
                </w:tcPr>
                <w:p>
                  <w:pPr>
                    <w:jc w:val="center"/>
                    <w:textAlignment w:val="center"/>
                    <w:rPr>
                      <w:bCs/>
                      <w:szCs w:val="21"/>
                    </w:rPr>
                  </w:pPr>
                  <w:r>
                    <w:rPr>
                      <w:rFonts w:hint="eastAsia"/>
                      <w:bCs/>
                      <w:szCs w:val="21"/>
                    </w:rPr>
                    <w:t>4</w:t>
                  </w:r>
                  <w:r>
                    <w:rPr>
                      <w:bCs/>
                      <w:szCs w:val="21"/>
                    </w:rPr>
                    <w:t>4.1</w:t>
                  </w:r>
                </w:p>
              </w:tc>
              <w:tc>
                <w:tcPr>
                  <w:tcW w:w="1122" w:type="dxa"/>
                  <w:vMerge w:val="restart"/>
                  <w:vAlign w:val="center"/>
                </w:tcPr>
                <w:p>
                  <w:pPr>
                    <w:spacing w:line="240" w:lineRule="auto"/>
                    <w:jc w:val="center"/>
                    <w:rPr>
                      <w:sz w:val="21"/>
                      <w:szCs w:val="21"/>
                    </w:rPr>
                  </w:pPr>
                  <w:r>
                    <w:rPr>
                      <w:sz w:val="21"/>
                      <w:szCs w:val="21"/>
                    </w:rPr>
                    <w:t>60</w:t>
                  </w:r>
                </w:p>
              </w:tc>
              <w:tc>
                <w:tcPr>
                  <w:tcW w:w="949" w:type="dxa"/>
                  <w:vMerge w:val="restart"/>
                  <w:vAlign w:val="center"/>
                </w:tcPr>
                <w:p>
                  <w:pPr>
                    <w:spacing w:line="240" w:lineRule="auto"/>
                    <w:jc w:val="center"/>
                    <w:rPr>
                      <w:sz w:val="21"/>
                      <w:szCs w:val="21"/>
                    </w:rPr>
                  </w:pPr>
                  <w:r>
                    <w:rPr>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246" w:type="dxa"/>
                  <w:vAlign w:val="center"/>
                </w:tcPr>
                <w:p>
                  <w:pPr>
                    <w:jc w:val="center"/>
                    <w:rPr>
                      <w:bCs/>
                      <w:szCs w:val="21"/>
                    </w:rPr>
                  </w:pPr>
                  <w:r>
                    <w:rPr>
                      <w:bCs/>
                      <w:szCs w:val="21"/>
                    </w:rPr>
                    <w:t>2#项目厂界南侧</w:t>
                  </w:r>
                </w:p>
              </w:tc>
              <w:tc>
                <w:tcPr>
                  <w:tcW w:w="966" w:type="dxa"/>
                  <w:vAlign w:val="center"/>
                </w:tcPr>
                <w:p>
                  <w:pPr>
                    <w:jc w:val="center"/>
                    <w:textAlignment w:val="center"/>
                    <w:rPr>
                      <w:bCs/>
                      <w:szCs w:val="21"/>
                    </w:rPr>
                  </w:pPr>
                  <w:r>
                    <w:rPr>
                      <w:bCs/>
                      <w:szCs w:val="21"/>
                    </w:rPr>
                    <w:t>52.7</w:t>
                  </w:r>
                </w:p>
              </w:tc>
              <w:tc>
                <w:tcPr>
                  <w:tcW w:w="966" w:type="dxa"/>
                  <w:vAlign w:val="center"/>
                </w:tcPr>
                <w:p>
                  <w:pPr>
                    <w:jc w:val="center"/>
                    <w:textAlignment w:val="center"/>
                    <w:rPr>
                      <w:bCs/>
                      <w:szCs w:val="21"/>
                    </w:rPr>
                  </w:pPr>
                  <w:r>
                    <w:rPr>
                      <w:bCs/>
                      <w:szCs w:val="21"/>
                    </w:rPr>
                    <w:t>43.9</w:t>
                  </w:r>
                </w:p>
              </w:tc>
              <w:tc>
                <w:tcPr>
                  <w:tcW w:w="1046" w:type="dxa"/>
                  <w:vAlign w:val="center"/>
                </w:tcPr>
                <w:p>
                  <w:pPr>
                    <w:jc w:val="center"/>
                    <w:textAlignment w:val="center"/>
                    <w:rPr>
                      <w:bCs/>
                      <w:szCs w:val="21"/>
                    </w:rPr>
                  </w:pPr>
                  <w:r>
                    <w:rPr>
                      <w:rFonts w:hint="eastAsia"/>
                      <w:bCs/>
                      <w:szCs w:val="21"/>
                    </w:rPr>
                    <w:t>5</w:t>
                  </w:r>
                  <w:r>
                    <w:rPr>
                      <w:bCs/>
                      <w:szCs w:val="21"/>
                    </w:rPr>
                    <w:t>4.5</w:t>
                  </w:r>
                </w:p>
              </w:tc>
              <w:tc>
                <w:tcPr>
                  <w:tcW w:w="1204" w:type="dxa"/>
                  <w:vAlign w:val="center"/>
                </w:tcPr>
                <w:p>
                  <w:pPr>
                    <w:jc w:val="center"/>
                    <w:textAlignment w:val="center"/>
                    <w:rPr>
                      <w:bCs/>
                      <w:szCs w:val="21"/>
                    </w:rPr>
                  </w:pPr>
                  <w:r>
                    <w:rPr>
                      <w:rFonts w:hint="eastAsia"/>
                      <w:bCs/>
                      <w:szCs w:val="21"/>
                    </w:rPr>
                    <w:t>4</w:t>
                  </w:r>
                  <w:r>
                    <w:rPr>
                      <w:bCs/>
                      <w:szCs w:val="21"/>
                    </w:rPr>
                    <w:t>4.7</w:t>
                  </w:r>
                </w:p>
              </w:tc>
              <w:tc>
                <w:tcPr>
                  <w:tcW w:w="1122" w:type="dxa"/>
                  <w:vMerge w:val="continue"/>
                  <w:vAlign w:val="center"/>
                </w:tcPr>
                <w:p>
                  <w:pPr>
                    <w:spacing w:line="240" w:lineRule="auto"/>
                    <w:jc w:val="center"/>
                    <w:rPr>
                      <w:sz w:val="21"/>
                      <w:szCs w:val="21"/>
                    </w:rPr>
                  </w:pPr>
                </w:p>
              </w:tc>
              <w:tc>
                <w:tcPr>
                  <w:tcW w:w="949" w:type="dxa"/>
                  <w:vMerge w:val="continue"/>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246" w:type="dxa"/>
                  <w:vAlign w:val="center"/>
                </w:tcPr>
                <w:p>
                  <w:pPr>
                    <w:jc w:val="center"/>
                    <w:rPr>
                      <w:bCs/>
                      <w:szCs w:val="21"/>
                    </w:rPr>
                  </w:pPr>
                  <w:r>
                    <w:rPr>
                      <w:bCs/>
                      <w:szCs w:val="21"/>
                    </w:rPr>
                    <w:t>3#项目厂界西侧</w:t>
                  </w:r>
                </w:p>
              </w:tc>
              <w:tc>
                <w:tcPr>
                  <w:tcW w:w="966" w:type="dxa"/>
                  <w:vAlign w:val="center"/>
                </w:tcPr>
                <w:p>
                  <w:pPr>
                    <w:jc w:val="center"/>
                    <w:textAlignment w:val="center"/>
                    <w:rPr>
                      <w:bCs/>
                      <w:szCs w:val="21"/>
                    </w:rPr>
                  </w:pPr>
                  <w:r>
                    <w:rPr>
                      <w:rFonts w:hint="eastAsia"/>
                      <w:bCs/>
                      <w:szCs w:val="21"/>
                    </w:rPr>
                    <w:t>5</w:t>
                  </w:r>
                  <w:r>
                    <w:rPr>
                      <w:bCs/>
                      <w:szCs w:val="21"/>
                    </w:rPr>
                    <w:t>2.7</w:t>
                  </w:r>
                </w:p>
              </w:tc>
              <w:tc>
                <w:tcPr>
                  <w:tcW w:w="966" w:type="dxa"/>
                  <w:vAlign w:val="center"/>
                </w:tcPr>
                <w:p>
                  <w:pPr>
                    <w:jc w:val="center"/>
                    <w:textAlignment w:val="center"/>
                    <w:rPr>
                      <w:bCs/>
                      <w:szCs w:val="21"/>
                    </w:rPr>
                  </w:pPr>
                  <w:r>
                    <w:rPr>
                      <w:bCs/>
                      <w:szCs w:val="21"/>
                    </w:rPr>
                    <w:t>42.9</w:t>
                  </w:r>
                </w:p>
              </w:tc>
              <w:tc>
                <w:tcPr>
                  <w:tcW w:w="1046" w:type="dxa"/>
                  <w:vAlign w:val="center"/>
                </w:tcPr>
                <w:p>
                  <w:pPr>
                    <w:jc w:val="center"/>
                    <w:textAlignment w:val="center"/>
                    <w:rPr>
                      <w:bCs/>
                      <w:szCs w:val="21"/>
                    </w:rPr>
                  </w:pPr>
                  <w:r>
                    <w:rPr>
                      <w:rFonts w:hint="eastAsia"/>
                      <w:bCs/>
                      <w:szCs w:val="21"/>
                    </w:rPr>
                    <w:t>5</w:t>
                  </w:r>
                  <w:r>
                    <w:rPr>
                      <w:bCs/>
                      <w:szCs w:val="21"/>
                    </w:rPr>
                    <w:t>3.4</w:t>
                  </w:r>
                </w:p>
              </w:tc>
              <w:tc>
                <w:tcPr>
                  <w:tcW w:w="1204" w:type="dxa"/>
                  <w:vAlign w:val="center"/>
                </w:tcPr>
                <w:p>
                  <w:pPr>
                    <w:jc w:val="center"/>
                    <w:textAlignment w:val="center"/>
                    <w:rPr>
                      <w:bCs/>
                      <w:szCs w:val="21"/>
                    </w:rPr>
                  </w:pPr>
                  <w:r>
                    <w:rPr>
                      <w:rFonts w:hint="eastAsia"/>
                      <w:bCs/>
                      <w:szCs w:val="21"/>
                    </w:rPr>
                    <w:t>4</w:t>
                  </w:r>
                  <w:r>
                    <w:rPr>
                      <w:bCs/>
                      <w:szCs w:val="21"/>
                    </w:rPr>
                    <w:t>3.7</w:t>
                  </w:r>
                </w:p>
              </w:tc>
              <w:tc>
                <w:tcPr>
                  <w:tcW w:w="1122" w:type="dxa"/>
                  <w:vMerge w:val="continue"/>
                  <w:vAlign w:val="center"/>
                </w:tcPr>
                <w:p>
                  <w:pPr>
                    <w:spacing w:line="240" w:lineRule="auto"/>
                    <w:jc w:val="center"/>
                    <w:rPr>
                      <w:sz w:val="21"/>
                      <w:szCs w:val="21"/>
                    </w:rPr>
                  </w:pPr>
                </w:p>
              </w:tc>
              <w:tc>
                <w:tcPr>
                  <w:tcW w:w="949" w:type="dxa"/>
                  <w:vMerge w:val="continue"/>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246" w:type="dxa"/>
                  <w:vAlign w:val="center"/>
                </w:tcPr>
                <w:p>
                  <w:pPr>
                    <w:jc w:val="center"/>
                    <w:rPr>
                      <w:bCs/>
                      <w:szCs w:val="21"/>
                    </w:rPr>
                  </w:pPr>
                  <w:r>
                    <w:rPr>
                      <w:bCs/>
                      <w:szCs w:val="21"/>
                    </w:rPr>
                    <w:t>4#项目厂界北侧</w:t>
                  </w:r>
                </w:p>
              </w:tc>
              <w:tc>
                <w:tcPr>
                  <w:tcW w:w="966" w:type="dxa"/>
                  <w:vAlign w:val="center"/>
                </w:tcPr>
                <w:p>
                  <w:pPr>
                    <w:jc w:val="center"/>
                    <w:textAlignment w:val="center"/>
                    <w:rPr>
                      <w:bCs/>
                      <w:szCs w:val="21"/>
                    </w:rPr>
                  </w:pPr>
                  <w:r>
                    <w:rPr>
                      <w:bCs/>
                      <w:szCs w:val="21"/>
                    </w:rPr>
                    <w:t>52.8</w:t>
                  </w:r>
                </w:p>
              </w:tc>
              <w:tc>
                <w:tcPr>
                  <w:tcW w:w="966" w:type="dxa"/>
                  <w:vAlign w:val="center"/>
                </w:tcPr>
                <w:p>
                  <w:pPr>
                    <w:jc w:val="center"/>
                    <w:textAlignment w:val="center"/>
                    <w:rPr>
                      <w:bCs/>
                      <w:szCs w:val="21"/>
                    </w:rPr>
                  </w:pPr>
                  <w:r>
                    <w:rPr>
                      <w:bCs/>
                      <w:szCs w:val="21"/>
                    </w:rPr>
                    <w:t>42.4</w:t>
                  </w:r>
                </w:p>
              </w:tc>
              <w:tc>
                <w:tcPr>
                  <w:tcW w:w="1046" w:type="dxa"/>
                  <w:vAlign w:val="center"/>
                </w:tcPr>
                <w:p>
                  <w:pPr>
                    <w:jc w:val="center"/>
                    <w:textAlignment w:val="center"/>
                    <w:rPr>
                      <w:bCs/>
                      <w:szCs w:val="21"/>
                    </w:rPr>
                  </w:pPr>
                  <w:r>
                    <w:rPr>
                      <w:bCs/>
                      <w:szCs w:val="21"/>
                    </w:rPr>
                    <w:t>52.4</w:t>
                  </w:r>
                </w:p>
              </w:tc>
              <w:tc>
                <w:tcPr>
                  <w:tcW w:w="1204" w:type="dxa"/>
                  <w:vAlign w:val="center"/>
                </w:tcPr>
                <w:p>
                  <w:pPr>
                    <w:jc w:val="center"/>
                    <w:textAlignment w:val="center"/>
                    <w:rPr>
                      <w:bCs/>
                      <w:szCs w:val="21"/>
                    </w:rPr>
                  </w:pPr>
                  <w:r>
                    <w:rPr>
                      <w:bCs/>
                      <w:szCs w:val="21"/>
                    </w:rPr>
                    <w:t>43.3</w:t>
                  </w:r>
                </w:p>
              </w:tc>
              <w:tc>
                <w:tcPr>
                  <w:tcW w:w="1122" w:type="dxa"/>
                  <w:vMerge w:val="continue"/>
                  <w:vAlign w:val="center"/>
                </w:tcPr>
                <w:p>
                  <w:pPr>
                    <w:spacing w:line="240" w:lineRule="auto"/>
                    <w:jc w:val="center"/>
                    <w:rPr>
                      <w:sz w:val="21"/>
                      <w:szCs w:val="21"/>
                    </w:rPr>
                  </w:pPr>
                </w:p>
              </w:tc>
              <w:tc>
                <w:tcPr>
                  <w:tcW w:w="949" w:type="dxa"/>
                  <w:vMerge w:val="continue"/>
                  <w:vAlign w:val="center"/>
                </w:tcPr>
                <w:p>
                  <w:pPr>
                    <w:spacing w:line="240" w:lineRule="auto"/>
                    <w:jc w:val="center"/>
                    <w:rPr>
                      <w:sz w:val="21"/>
                      <w:szCs w:val="21"/>
                    </w:rPr>
                  </w:pPr>
                </w:p>
              </w:tc>
            </w:tr>
          </w:tbl>
          <w:p>
            <w:pPr>
              <w:pStyle w:val="54"/>
              <w:adjustRightInd/>
              <w:snapToGrid/>
              <w:spacing w:beforeLines="0" w:after="156" w:afterLines="50"/>
              <w:ind w:firstLine="470"/>
              <w:contextualSpacing/>
              <w:rPr>
                <w:b w:val="0"/>
                <w:kern w:val="2"/>
                <w:szCs w:val="20"/>
              </w:rPr>
            </w:pPr>
            <w:r>
              <w:rPr>
                <w:b w:val="0"/>
                <w:kern w:val="2"/>
                <w:szCs w:val="20"/>
              </w:rPr>
              <w:t>根据监测结果，项目所在地声环境符合《声环境质量标准》（GB3096-2008）中2类标准，声环境良好。</w:t>
            </w:r>
          </w:p>
          <w:p>
            <w:pPr>
              <w:rPr>
                <w:rFonts w:eastAsiaTheme="minorEastAsia"/>
                <w:b/>
                <w:bCs/>
              </w:rPr>
            </w:pPr>
            <w:r>
              <w:rPr>
                <w:rFonts w:eastAsiaTheme="minorEastAsia"/>
                <w:b/>
                <w:bCs/>
              </w:rPr>
              <w:t>主要环境保护目标</w:t>
            </w:r>
          </w:p>
          <w:p>
            <w:pPr>
              <w:ind w:firstLine="480" w:firstLineChars="200"/>
              <w:contextualSpacing/>
            </w:pPr>
            <w:r>
              <w:t>（1）根据《环境空气质量标准》（GB3095-2012），本项目所在区域为环境空气功能二类区。</w:t>
            </w:r>
          </w:p>
          <w:p>
            <w:pPr>
              <w:ind w:firstLine="480" w:firstLineChars="200"/>
            </w:pPr>
            <w:r>
              <w:t>（2）根据《声环境质量标准》（GB3096-2008）及《声环境功能区划分技术规范》（GB/T15190-2014），本项目地属于</w:t>
            </w:r>
            <w:r>
              <w:rPr>
                <w:rFonts w:hint="eastAsia"/>
              </w:rPr>
              <w:t>农村</w:t>
            </w:r>
            <w:r>
              <w:t>，执行2</w:t>
            </w:r>
            <w:r>
              <w:rPr>
                <w:rFonts w:hint="eastAsia"/>
              </w:rPr>
              <w:t>类声环境质量标准。</w:t>
            </w:r>
          </w:p>
          <w:p>
            <w:pPr>
              <w:ind w:firstLine="480" w:firstLineChars="200"/>
            </w:pPr>
            <w:r>
              <w:t>根据敏感因素的界定原则</w:t>
            </w:r>
            <w:r>
              <w:rPr>
                <w:rFonts w:hint="eastAsia"/>
              </w:rPr>
              <w:t>，</w:t>
            </w:r>
            <w:r>
              <w:t>经调查本地区不属于特殊保护区、生态脆弱区和特殊地貌景观区，评价区内也无重点保护文物、古迹、植物、动物及人文景观等。所以本项目主要保护对象为评价范围内的</w:t>
            </w:r>
            <w:r>
              <w:rPr>
                <w:rFonts w:hint="eastAsia"/>
              </w:rPr>
              <w:t>村庄</w:t>
            </w:r>
            <w:r>
              <w:t>，具体保护目标与该项目相对位置见表</w:t>
            </w:r>
            <w:r>
              <w:rPr>
                <w:rFonts w:hint="eastAsia"/>
              </w:rPr>
              <w:t>3-</w:t>
            </w:r>
            <w:r>
              <w:t>5</w:t>
            </w:r>
            <w:r>
              <w:rPr>
                <w:rFonts w:hint="eastAsia"/>
              </w:rPr>
              <w:t>，</w:t>
            </w:r>
            <w:r>
              <w:t>大气环境评价范围及保护目标图见附图</w:t>
            </w:r>
            <w:r>
              <w:rPr>
                <w:rFonts w:hint="eastAsia"/>
              </w:rPr>
              <w:t>5。</w:t>
            </w:r>
          </w:p>
          <w:p>
            <w:pPr>
              <w:keepNext/>
              <w:numPr>
                <w:ilvl w:val="0"/>
                <w:numId w:val="3"/>
              </w:numPr>
              <w:spacing w:line="240" w:lineRule="auto"/>
              <w:ind w:left="0" w:firstLine="0"/>
              <w:jc w:val="center"/>
              <w:rPr>
                <w:b/>
                <w:bCs/>
                <w:sz w:val="21"/>
                <w:szCs w:val="21"/>
              </w:rPr>
            </w:pPr>
            <w:r>
              <w:rPr>
                <w:b/>
                <w:bCs/>
                <w:sz w:val="21"/>
                <w:szCs w:val="21"/>
              </w:rPr>
              <w:t xml:space="preserve">   项目主要环境保护目标</w:t>
            </w:r>
          </w:p>
          <w:tbl>
            <w:tblPr>
              <w:tblStyle w:val="24"/>
              <w:tblW w:w="8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770"/>
              <w:gridCol w:w="709"/>
              <w:gridCol w:w="1134"/>
              <w:gridCol w:w="1701"/>
              <w:gridCol w:w="1417"/>
              <w:gridCol w:w="993"/>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731" w:type="dxa"/>
                  <w:vMerge w:val="restart"/>
                  <w:vAlign w:val="center"/>
                </w:tcPr>
                <w:p>
                  <w:pPr>
                    <w:adjustRightInd w:val="0"/>
                    <w:snapToGrid w:val="0"/>
                    <w:spacing w:line="240" w:lineRule="auto"/>
                    <w:jc w:val="center"/>
                    <w:rPr>
                      <w:rFonts w:eastAsiaTheme="minorEastAsia"/>
                      <w:sz w:val="21"/>
                      <w:szCs w:val="21"/>
                    </w:rPr>
                  </w:pPr>
                  <w:r>
                    <w:rPr>
                      <w:rFonts w:eastAsiaTheme="minorEastAsia"/>
                      <w:sz w:val="21"/>
                      <w:szCs w:val="21"/>
                    </w:rPr>
                    <w:t>名称</w:t>
                  </w:r>
                </w:p>
              </w:tc>
              <w:tc>
                <w:tcPr>
                  <w:tcW w:w="1479" w:type="dxa"/>
                  <w:gridSpan w:val="2"/>
                  <w:vAlign w:val="center"/>
                </w:tcPr>
                <w:p>
                  <w:pPr>
                    <w:adjustRightInd w:val="0"/>
                    <w:snapToGrid w:val="0"/>
                    <w:spacing w:line="240" w:lineRule="auto"/>
                    <w:jc w:val="center"/>
                    <w:rPr>
                      <w:rFonts w:eastAsiaTheme="minorEastAsia"/>
                      <w:sz w:val="21"/>
                      <w:szCs w:val="21"/>
                    </w:rPr>
                  </w:pPr>
                  <w:r>
                    <w:rPr>
                      <w:rFonts w:eastAsiaTheme="minorEastAsia"/>
                      <w:sz w:val="21"/>
                      <w:szCs w:val="21"/>
                    </w:rPr>
                    <w:t>坐标</w:t>
                  </w:r>
                </w:p>
              </w:tc>
              <w:tc>
                <w:tcPr>
                  <w:tcW w:w="1134" w:type="dxa"/>
                  <w:vMerge w:val="restart"/>
                  <w:vAlign w:val="center"/>
                </w:tcPr>
                <w:p>
                  <w:pPr>
                    <w:adjustRightInd w:val="0"/>
                    <w:snapToGrid w:val="0"/>
                    <w:spacing w:line="240" w:lineRule="auto"/>
                    <w:jc w:val="center"/>
                    <w:rPr>
                      <w:rFonts w:eastAsiaTheme="minorEastAsia"/>
                      <w:sz w:val="21"/>
                      <w:szCs w:val="21"/>
                    </w:rPr>
                  </w:pPr>
                  <w:r>
                    <w:rPr>
                      <w:rFonts w:eastAsiaTheme="minorEastAsia"/>
                      <w:sz w:val="21"/>
                      <w:szCs w:val="21"/>
                    </w:rPr>
                    <w:t>保护对象</w:t>
                  </w:r>
                </w:p>
              </w:tc>
              <w:tc>
                <w:tcPr>
                  <w:tcW w:w="1701" w:type="dxa"/>
                  <w:vMerge w:val="restart"/>
                  <w:vAlign w:val="center"/>
                </w:tcPr>
                <w:p>
                  <w:pPr>
                    <w:pStyle w:val="18"/>
                    <w:adjustRightInd w:val="0"/>
                    <w:snapToGrid w:val="0"/>
                    <w:spacing w:line="240" w:lineRule="auto"/>
                    <w:ind w:left="0" w:leftChars="0"/>
                    <w:jc w:val="center"/>
                    <w:rPr>
                      <w:rFonts w:eastAsiaTheme="minorEastAsia"/>
                      <w:sz w:val="21"/>
                      <w:szCs w:val="21"/>
                    </w:rPr>
                  </w:pPr>
                  <w:r>
                    <w:rPr>
                      <w:rFonts w:eastAsiaTheme="minorEastAsia"/>
                      <w:sz w:val="21"/>
                      <w:szCs w:val="21"/>
                    </w:rPr>
                    <w:t>保护内容</w:t>
                  </w:r>
                </w:p>
              </w:tc>
              <w:tc>
                <w:tcPr>
                  <w:tcW w:w="1417" w:type="dxa"/>
                  <w:vMerge w:val="restart"/>
                  <w:vAlign w:val="center"/>
                </w:tcPr>
                <w:p>
                  <w:pPr>
                    <w:adjustRightInd w:val="0"/>
                    <w:snapToGrid w:val="0"/>
                    <w:spacing w:line="240" w:lineRule="auto"/>
                    <w:jc w:val="center"/>
                    <w:rPr>
                      <w:rFonts w:eastAsiaTheme="minorEastAsia"/>
                      <w:sz w:val="21"/>
                      <w:szCs w:val="21"/>
                    </w:rPr>
                  </w:pPr>
                  <w:r>
                    <w:rPr>
                      <w:rFonts w:eastAsiaTheme="minorEastAsia"/>
                      <w:sz w:val="21"/>
                      <w:szCs w:val="21"/>
                    </w:rPr>
                    <w:t>环境功能区</w:t>
                  </w:r>
                </w:p>
              </w:tc>
              <w:tc>
                <w:tcPr>
                  <w:tcW w:w="993" w:type="dxa"/>
                  <w:vMerge w:val="restart"/>
                  <w:vAlign w:val="center"/>
                </w:tcPr>
                <w:p>
                  <w:pPr>
                    <w:adjustRightInd w:val="0"/>
                    <w:snapToGrid w:val="0"/>
                    <w:spacing w:line="240" w:lineRule="auto"/>
                    <w:jc w:val="center"/>
                    <w:rPr>
                      <w:rFonts w:eastAsiaTheme="minorEastAsia"/>
                      <w:sz w:val="21"/>
                      <w:szCs w:val="21"/>
                    </w:rPr>
                  </w:pPr>
                  <w:r>
                    <w:rPr>
                      <w:rFonts w:eastAsiaTheme="minorEastAsia"/>
                      <w:sz w:val="21"/>
                      <w:szCs w:val="21"/>
                    </w:rPr>
                    <w:t>相对厂址方位</w:t>
                  </w:r>
                </w:p>
              </w:tc>
              <w:tc>
                <w:tcPr>
                  <w:tcW w:w="1160" w:type="dxa"/>
                  <w:vMerge w:val="restart"/>
                  <w:vAlign w:val="center"/>
                </w:tcPr>
                <w:p>
                  <w:pPr>
                    <w:adjustRightInd w:val="0"/>
                    <w:snapToGrid w:val="0"/>
                    <w:spacing w:line="240" w:lineRule="auto"/>
                    <w:jc w:val="center"/>
                    <w:rPr>
                      <w:rFonts w:eastAsiaTheme="minorEastAsia"/>
                      <w:sz w:val="21"/>
                      <w:szCs w:val="21"/>
                    </w:rPr>
                  </w:pPr>
                  <w:r>
                    <w:rPr>
                      <w:rFonts w:eastAsiaTheme="minorEastAsia"/>
                      <w:sz w:val="21"/>
                      <w:szCs w:val="21"/>
                    </w:rPr>
                    <w:t>相对厂界距离/m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731" w:type="dxa"/>
                  <w:vMerge w:val="continue"/>
                  <w:vAlign w:val="center"/>
                </w:tcPr>
                <w:p>
                  <w:pPr>
                    <w:adjustRightInd w:val="0"/>
                    <w:snapToGrid w:val="0"/>
                    <w:spacing w:line="240" w:lineRule="auto"/>
                    <w:jc w:val="center"/>
                    <w:rPr>
                      <w:rFonts w:eastAsiaTheme="minorEastAsia"/>
                      <w:sz w:val="21"/>
                      <w:szCs w:val="21"/>
                    </w:rPr>
                  </w:pPr>
                </w:p>
              </w:tc>
              <w:tc>
                <w:tcPr>
                  <w:tcW w:w="770" w:type="dxa"/>
                  <w:vAlign w:val="center"/>
                </w:tcPr>
                <w:p>
                  <w:pPr>
                    <w:adjustRightInd w:val="0"/>
                    <w:snapToGrid w:val="0"/>
                    <w:spacing w:line="240" w:lineRule="auto"/>
                    <w:jc w:val="center"/>
                    <w:rPr>
                      <w:rFonts w:eastAsiaTheme="minorEastAsia"/>
                      <w:sz w:val="21"/>
                      <w:szCs w:val="21"/>
                    </w:rPr>
                  </w:pPr>
                  <w:r>
                    <w:rPr>
                      <w:rFonts w:eastAsiaTheme="minorEastAsia"/>
                      <w:sz w:val="21"/>
                      <w:szCs w:val="21"/>
                    </w:rPr>
                    <w:t>X</w:t>
                  </w:r>
                </w:p>
              </w:tc>
              <w:tc>
                <w:tcPr>
                  <w:tcW w:w="709" w:type="dxa"/>
                  <w:vAlign w:val="center"/>
                </w:tcPr>
                <w:p>
                  <w:pPr>
                    <w:adjustRightInd w:val="0"/>
                    <w:snapToGrid w:val="0"/>
                    <w:spacing w:line="240" w:lineRule="auto"/>
                    <w:jc w:val="center"/>
                    <w:rPr>
                      <w:rFonts w:eastAsiaTheme="minorEastAsia"/>
                      <w:sz w:val="21"/>
                      <w:szCs w:val="21"/>
                    </w:rPr>
                  </w:pPr>
                  <w:r>
                    <w:rPr>
                      <w:rFonts w:eastAsiaTheme="minorEastAsia"/>
                      <w:sz w:val="21"/>
                      <w:szCs w:val="21"/>
                    </w:rPr>
                    <w:t>Y</w:t>
                  </w:r>
                </w:p>
              </w:tc>
              <w:tc>
                <w:tcPr>
                  <w:tcW w:w="1134" w:type="dxa"/>
                  <w:vMerge w:val="continue"/>
                  <w:vAlign w:val="center"/>
                </w:tcPr>
                <w:p>
                  <w:pPr>
                    <w:adjustRightInd w:val="0"/>
                    <w:snapToGrid w:val="0"/>
                    <w:spacing w:line="240" w:lineRule="auto"/>
                    <w:jc w:val="center"/>
                    <w:rPr>
                      <w:rFonts w:eastAsiaTheme="minorEastAsia"/>
                      <w:sz w:val="21"/>
                      <w:szCs w:val="21"/>
                    </w:rPr>
                  </w:pPr>
                </w:p>
              </w:tc>
              <w:tc>
                <w:tcPr>
                  <w:tcW w:w="1701" w:type="dxa"/>
                  <w:vMerge w:val="continue"/>
                  <w:vAlign w:val="center"/>
                </w:tcPr>
                <w:p>
                  <w:pPr>
                    <w:adjustRightInd w:val="0"/>
                    <w:snapToGrid w:val="0"/>
                    <w:spacing w:line="240" w:lineRule="auto"/>
                    <w:jc w:val="center"/>
                    <w:rPr>
                      <w:rFonts w:eastAsiaTheme="minorEastAsia"/>
                      <w:sz w:val="21"/>
                      <w:szCs w:val="21"/>
                    </w:rPr>
                  </w:pPr>
                </w:p>
              </w:tc>
              <w:tc>
                <w:tcPr>
                  <w:tcW w:w="1417" w:type="dxa"/>
                  <w:vMerge w:val="continue"/>
                  <w:vAlign w:val="center"/>
                </w:tcPr>
                <w:p>
                  <w:pPr>
                    <w:adjustRightInd w:val="0"/>
                    <w:snapToGrid w:val="0"/>
                    <w:spacing w:line="240" w:lineRule="auto"/>
                    <w:jc w:val="center"/>
                    <w:rPr>
                      <w:rFonts w:eastAsiaTheme="minorEastAsia"/>
                      <w:sz w:val="21"/>
                      <w:szCs w:val="21"/>
                    </w:rPr>
                  </w:pPr>
                </w:p>
              </w:tc>
              <w:tc>
                <w:tcPr>
                  <w:tcW w:w="993" w:type="dxa"/>
                  <w:vMerge w:val="continue"/>
                  <w:vAlign w:val="center"/>
                </w:tcPr>
                <w:p>
                  <w:pPr>
                    <w:adjustRightInd w:val="0"/>
                    <w:snapToGrid w:val="0"/>
                    <w:spacing w:line="240" w:lineRule="auto"/>
                    <w:jc w:val="center"/>
                    <w:rPr>
                      <w:rFonts w:eastAsiaTheme="minorEastAsia"/>
                      <w:sz w:val="21"/>
                      <w:szCs w:val="21"/>
                    </w:rPr>
                  </w:pPr>
                </w:p>
              </w:tc>
              <w:tc>
                <w:tcPr>
                  <w:tcW w:w="1160" w:type="dxa"/>
                  <w:vMerge w:val="continue"/>
                  <w:vAlign w:val="center"/>
                </w:tcPr>
                <w:p>
                  <w:pPr>
                    <w:adjustRightInd w:val="0"/>
                    <w:snapToGrid w:val="0"/>
                    <w:spacing w:line="240" w:lineRule="auto"/>
                    <w:jc w:val="center"/>
                    <w:rPr>
                      <w:rFonts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731" w:type="dxa"/>
                  <w:vMerge w:val="restart"/>
                  <w:vAlign w:val="center"/>
                </w:tcPr>
                <w:p>
                  <w:pPr>
                    <w:adjustRightInd w:val="0"/>
                    <w:snapToGrid w:val="0"/>
                    <w:spacing w:line="240" w:lineRule="auto"/>
                    <w:jc w:val="center"/>
                    <w:rPr>
                      <w:rFonts w:eastAsiaTheme="minorEastAsia"/>
                      <w:sz w:val="21"/>
                      <w:szCs w:val="21"/>
                    </w:rPr>
                  </w:pPr>
                  <w:r>
                    <w:rPr>
                      <w:rFonts w:eastAsiaTheme="minorEastAsia"/>
                      <w:sz w:val="21"/>
                      <w:szCs w:val="21"/>
                    </w:rPr>
                    <w:t>环境空气</w:t>
                  </w:r>
                </w:p>
              </w:tc>
              <w:tc>
                <w:tcPr>
                  <w:tcW w:w="770" w:type="dxa"/>
                  <w:vAlign w:val="center"/>
                </w:tcPr>
                <w:p>
                  <w:pPr>
                    <w:pStyle w:val="2"/>
                    <w:spacing w:before="120" w:line="240" w:lineRule="auto"/>
                    <w:jc w:val="center"/>
                    <w:rPr>
                      <w:rFonts w:ascii="Times New Roman" w:hAnsi="Times New Roman" w:eastAsiaTheme="minorEastAsia"/>
                      <w:b w:val="0"/>
                      <w:sz w:val="21"/>
                      <w:szCs w:val="21"/>
                    </w:rPr>
                  </w:pPr>
                  <w:r>
                    <w:rPr>
                      <w:rFonts w:ascii="Times New Roman" w:hAnsi="Times New Roman" w:eastAsiaTheme="minorEastAsia"/>
                      <w:b w:val="0"/>
                      <w:sz w:val="21"/>
                      <w:szCs w:val="21"/>
                    </w:rPr>
                    <w:t>460</w:t>
                  </w:r>
                </w:p>
              </w:tc>
              <w:tc>
                <w:tcPr>
                  <w:tcW w:w="709" w:type="dxa"/>
                  <w:vAlign w:val="center"/>
                </w:tcPr>
                <w:p>
                  <w:pPr>
                    <w:pStyle w:val="2"/>
                    <w:spacing w:before="120" w:line="240" w:lineRule="auto"/>
                    <w:jc w:val="center"/>
                    <w:rPr>
                      <w:rFonts w:ascii="Times New Roman" w:hAnsi="Times New Roman" w:eastAsiaTheme="minorEastAsia"/>
                      <w:b w:val="0"/>
                      <w:sz w:val="21"/>
                      <w:szCs w:val="21"/>
                    </w:rPr>
                  </w:pPr>
                  <w:r>
                    <w:rPr>
                      <w:rFonts w:ascii="Times New Roman" w:hAnsi="Times New Roman" w:eastAsiaTheme="minorEastAsia"/>
                      <w:b w:val="0"/>
                      <w:sz w:val="21"/>
                      <w:szCs w:val="21"/>
                    </w:rPr>
                    <w:t>0</w:t>
                  </w:r>
                </w:p>
              </w:tc>
              <w:tc>
                <w:tcPr>
                  <w:tcW w:w="1134" w:type="dxa"/>
                  <w:vAlign w:val="center"/>
                </w:tcPr>
                <w:p>
                  <w:pPr>
                    <w:spacing w:line="240" w:lineRule="auto"/>
                    <w:jc w:val="center"/>
                    <w:rPr>
                      <w:rFonts w:eastAsiaTheme="minorEastAsia"/>
                      <w:sz w:val="21"/>
                      <w:szCs w:val="21"/>
                    </w:rPr>
                  </w:pPr>
                  <w:r>
                    <w:rPr>
                      <w:rFonts w:hint="eastAsia" w:eastAsiaTheme="minorEastAsia"/>
                      <w:sz w:val="21"/>
                      <w:szCs w:val="21"/>
                    </w:rPr>
                    <w:t>筒车</w:t>
                  </w:r>
                  <w:r>
                    <w:rPr>
                      <w:rFonts w:eastAsiaTheme="minorEastAsia"/>
                      <w:sz w:val="21"/>
                      <w:szCs w:val="21"/>
                    </w:rPr>
                    <w:t>坝</w:t>
                  </w:r>
                </w:p>
              </w:tc>
              <w:tc>
                <w:tcPr>
                  <w:tcW w:w="1701" w:type="dxa"/>
                  <w:vMerge w:val="restart"/>
                  <w:vAlign w:val="center"/>
                </w:tcPr>
                <w:p>
                  <w:pPr>
                    <w:adjustRightInd w:val="0"/>
                    <w:snapToGrid w:val="0"/>
                    <w:spacing w:line="240" w:lineRule="auto"/>
                    <w:jc w:val="center"/>
                    <w:rPr>
                      <w:rFonts w:eastAsiaTheme="minorEastAsia"/>
                      <w:sz w:val="21"/>
                      <w:szCs w:val="21"/>
                    </w:rPr>
                  </w:pPr>
                  <w:r>
                    <w:rPr>
                      <w:rFonts w:eastAsiaTheme="minorEastAsia"/>
                      <w:sz w:val="21"/>
                      <w:szCs w:val="21"/>
                    </w:rPr>
                    <w:t>人群健康及人群居住环境</w:t>
                  </w:r>
                </w:p>
              </w:tc>
              <w:tc>
                <w:tcPr>
                  <w:tcW w:w="1417" w:type="dxa"/>
                  <w:vMerge w:val="restart"/>
                  <w:vAlign w:val="center"/>
                </w:tcPr>
                <w:p>
                  <w:pPr>
                    <w:adjustRightInd w:val="0"/>
                    <w:snapToGrid w:val="0"/>
                    <w:spacing w:line="240" w:lineRule="auto"/>
                    <w:jc w:val="center"/>
                    <w:rPr>
                      <w:rFonts w:eastAsiaTheme="minorEastAsia"/>
                      <w:b/>
                      <w:bCs/>
                      <w:sz w:val="21"/>
                      <w:szCs w:val="21"/>
                    </w:rPr>
                  </w:pPr>
                  <w:r>
                    <w:rPr>
                      <w:rFonts w:eastAsiaTheme="minorEastAsia"/>
                      <w:sz w:val="21"/>
                      <w:szCs w:val="21"/>
                    </w:rPr>
                    <w:t>环境空气功能区二类区</w:t>
                  </w:r>
                </w:p>
              </w:tc>
              <w:tc>
                <w:tcPr>
                  <w:tcW w:w="993" w:type="dxa"/>
                  <w:vAlign w:val="center"/>
                </w:tcPr>
                <w:p>
                  <w:pPr>
                    <w:adjustRightInd w:val="0"/>
                    <w:snapToGrid w:val="0"/>
                    <w:spacing w:line="240" w:lineRule="auto"/>
                    <w:jc w:val="center"/>
                    <w:rPr>
                      <w:rFonts w:eastAsiaTheme="minorEastAsia"/>
                      <w:sz w:val="21"/>
                      <w:szCs w:val="21"/>
                    </w:rPr>
                  </w:pPr>
                  <w:r>
                    <w:rPr>
                      <w:rFonts w:hint="eastAsia" w:eastAsiaTheme="minorEastAsia"/>
                      <w:sz w:val="21"/>
                      <w:szCs w:val="21"/>
                    </w:rPr>
                    <w:t>E</w:t>
                  </w:r>
                </w:p>
              </w:tc>
              <w:tc>
                <w:tcPr>
                  <w:tcW w:w="1160" w:type="dxa"/>
                  <w:vAlign w:val="center"/>
                </w:tcPr>
                <w:p>
                  <w:pPr>
                    <w:spacing w:line="240" w:lineRule="auto"/>
                    <w:jc w:val="center"/>
                    <w:rPr>
                      <w:rFonts w:eastAsiaTheme="minorEastAsia"/>
                      <w:sz w:val="21"/>
                      <w:szCs w:val="21"/>
                    </w:rPr>
                  </w:pPr>
                  <w:r>
                    <w:rPr>
                      <w:rFonts w:eastAsiaTheme="minorEastAsia"/>
                      <w:sz w:val="21"/>
                      <w:szCs w:val="21"/>
                    </w:rPr>
                    <w:t>460m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31" w:type="dxa"/>
                  <w:vMerge w:val="continue"/>
                  <w:vAlign w:val="center"/>
                </w:tcPr>
                <w:p>
                  <w:pPr>
                    <w:adjustRightInd w:val="0"/>
                    <w:snapToGrid w:val="0"/>
                    <w:spacing w:line="240" w:lineRule="auto"/>
                    <w:jc w:val="center"/>
                    <w:rPr>
                      <w:rFonts w:eastAsiaTheme="minorEastAsia"/>
                      <w:sz w:val="21"/>
                      <w:szCs w:val="21"/>
                    </w:rPr>
                  </w:pPr>
                </w:p>
              </w:tc>
              <w:tc>
                <w:tcPr>
                  <w:tcW w:w="770" w:type="dxa"/>
                  <w:vAlign w:val="center"/>
                </w:tcPr>
                <w:p>
                  <w:pPr>
                    <w:spacing w:line="240" w:lineRule="auto"/>
                    <w:jc w:val="center"/>
                    <w:rPr>
                      <w:rFonts w:eastAsiaTheme="minorEastAsia"/>
                      <w:sz w:val="21"/>
                      <w:szCs w:val="21"/>
                    </w:rPr>
                  </w:pPr>
                  <w:r>
                    <w:rPr>
                      <w:rFonts w:eastAsiaTheme="minorEastAsia"/>
                      <w:sz w:val="21"/>
                      <w:szCs w:val="21"/>
                    </w:rPr>
                    <w:t>650</w:t>
                  </w:r>
                </w:p>
              </w:tc>
              <w:tc>
                <w:tcPr>
                  <w:tcW w:w="709" w:type="dxa"/>
                  <w:vAlign w:val="center"/>
                </w:tcPr>
                <w:p>
                  <w:pPr>
                    <w:spacing w:line="240" w:lineRule="auto"/>
                    <w:jc w:val="center"/>
                    <w:rPr>
                      <w:rFonts w:eastAsiaTheme="minorEastAsia"/>
                      <w:sz w:val="21"/>
                      <w:szCs w:val="21"/>
                    </w:rPr>
                  </w:pPr>
                  <w:r>
                    <w:rPr>
                      <w:rFonts w:eastAsiaTheme="minorEastAsia"/>
                      <w:sz w:val="21"/>
                      <w:szCs w:val="21"/>
                    </w:rPr>
                    <w:t>380</w:t>
                  </w:r>
                </w:p>
              </w:tc>
              <w:tc>
                <w:tcPr>
                  <w:tcW w:w="1134" w:type="dxa"/>
                  <w:vAlign w:val="center"/>
                </w:tcPr>
                <w:p>
                  <w:pPr>
                    <w:spacing w:line="240" w:lineRule="auto"/>
                    <w:jc w:val="center"/>
                    <w:rPr>
                      <w:rFonts w:eastAsiaTheme="minorEastAsia"/>
                      <w:sz w:val="21"/>
                      <w:szCs w:val="21"/>
                    </w:rPr>
                  </w:pPr>
                  <w:r>
                    <w:rPr>
                      <w:rFonts w:hint="eastAsia" w:eastAsiaTheme="minorEastAsia"/>
                      <w:sz w:val="21"/>
                      <w:szCs w:val="21"/>
                    </w:rPr>
                    <w:t>团包上</w:t>
                  </w:r>
                </w:p>
              </w:tc>
              <w:tc>
                <w:tcPr>
                  <w:tcW w:w="1701" w:type="dxa"/>
                  <w:vMerge w:val="continue"/>
                  <w:vAlign w:val="center"/>
                </w:tcPr>
                <w:p>
                  <w:pPr>
                    <w:adjustRightInd w:val="0"/>
                    <w:snapToGrid w:val="0"/>
                    <w:spacing w:line="240" w:lineRule="auto"/>
                    <w:jc w:val="center"/>
                    <w:rPr>
                      <w:rFonts w:eastAsiaTheme="minorEastAsia"/>
                      <w:sz w:val="21"/>
                      <w:szCs w:val="21"/>
                    </w:rPr>
                  </w:pPr>
                </w:p>
              </w:tc>
              <w:tc>
                <w:tcPr>
                  <w:tcW w:w="1417" w:type="dxa"/>
                  <w:vMerge w:val="continue"/>
                  <w:vAlign w:val="center"/>
                </w:tcPr>
                <w:p>
                  <w:pPr>
                    <w:adjustRightInd w:val="0"/>
                    <w:snapToGrid w:val="0"/>
                    <w:spacing w:line="240" w:lineRule="auto"/>
                    <w:jc w:val="center"/>
                    <w:rPr>
                      <w:rFonts w:eastAsiaTheme="minorEastAsia"/>
                      <w:sz w:val="21"/>
                      <w:szCs w:val="21"/>
                    </w:rPr>
                  </w:pPr>
                </w:p>
              </w:tc>
              <w:tc>
                <w:tcPr>
                  <w:tcW w:w="993" w:type="dxa"/>
                  <w:vAlign w:val="center"/>
                </w:tcPr>
                <w:p>
                  <w:pPr>
                    <w:adjustRightInd w:val="0"/>
                    <w:snapToGrid w:val="0"/>
                    <w:spacing w:line="240" w:lineRule="auto"/>
                    <w:jc w:val="center"/>
                    <w:rPr>
                      <w:rFonts w:eastAsiaTheme="minorEastAsia"/>
                      <w:sz w:val="21"/>
                      <w:szCs w:val="21"/>
                    </w:rPr>
                  </w:pPr>
                  <w:r>
                    <w:rPr>
                      <w:rFonts w:eastAsiaTheme="minorEastAsia"/>
                      <w:sz w:val="21"/>
                      <w:szCs w:val="21"/>
                    </w:rPr>
                    <w:t>NE</w:t>
                  </w:r>
                </w:p>
              </w:tc>
              <w:tc>
                <w:tcPr>
                  <w:tcW w:w="1160" w:type="dxa"/>
                  <w:vAlign w:val="center"/>
                </w:tcPr>
                <w:p>
                  <w:pPr>
                    <w:spacing w:line="240" w:lineRule="auto"/>
                    <w:jc w:val="center"/>
                    <w:rPr>
                      <w:rFonts w:eastAsiaTheme="minorEastAsia"/>
                      <w:sz w:val="21"/>
                      <w:szCs w:val="21"/>
                    </w:rPr>
                  </w:pPr>
                  <w:r>
                    <w:rPr>
                      <w:rFonts w:eastAsiaTheme="minorEastAsia"/>
                      <w:sz w:val="21"/>
                      <w:szCs w:val="21"/>
                    </w:rPr>
                    <w:t>740m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31" w:type="dxa"/>
                  <w:vMerge w:val="continue"/>
                  <w:vAlign w:val="center"/>
                </w:tcPr>
                <w:p>
                  <w:pPr>
                    <w:adjustRightInd w:val="0"/>
                    <w:snapToGrid w:val="0"/>
                    <w:spacing w:line="240" w:lineRule="auto"/>
                    <w:jc w:val="center"/>
                    <w:rPr>
                      <w:rFonts w:eastAsiaTheme="minorEastAsia"/>
                      <w:sz w:val="21"/>
                      <w:szCs w:val="21"/>
                    </w:rPr>
                  </w:pPr>
                </w:p>
              </w:tc>
              <w:tc>
                <w:tcPr>
                  <w:tcW w:w="770" w:type="dxa"/>
                  <w:vAlign w:val="center"/>
                </w:tcPr>
                <w:p>
                  <w:pPr>
                    <w:spacing w:line="240" w:lineRule="auto"/>
                    <w:jc w:val="center"/>
                    <w:rPr>
                      <w:rFonts w:eastAsiaTheme="minorEastAsia"/>
                      <w:sz w:val="21"/>
                      <w:szCs w:val="21"/>
                    </w:rPr>
                  </w:pPr>
                  <w:r>
                    <w:rPr>
                      <w:rFonts w:eastAsiaTheme="minorEastAsia"/>
                      <w:sz w:val="21"/>
                      <w:szCs w:val="21"/>
                    </w:rPr>
                    <w:t>230</w:t>
                  </w:r>
                </w:p>
              </w:tc>
              <w:tc>
                <w:tcPr>
                  <w:tcW w:w="709" w:type="dxa"/>
                  <w:vAlign w:val="center"/>
                </w:tcPr>
                <w:p>
                  <w:pPr>
                    <w:spacing w:line="240" w:lineRule="auto"/>
                    <w:jc w:val="center"/>
                    <w:rPr>
                      <w:rFonts w:eastAsiaTheme="minorEastAsia"/>
                      <w:sz w:val="21"/>
                      <w:szCs w:val="21"/>
                    </w:rPr>
                  </w:pPr>
                  <w:r>
                    <w:rPr>
                      <w:rFonts w:eastAsiaTheme="minorEastAsia"/>
                      <w:sz w:val="21"/>
                      <w:szCs w:val="21"/>
                    </w:rPr>
                    <w:t>690</w:t>
                  </w:r>
                </w:p>
              </w:tc>
              <w:tc>
                <w:tcPr>
                  <w:tcW w:w="1134" w:type="dxa"/>
                  <w:vAlign w:val="center"/>
                </w:tcPr>
                <w:p>
                  <w:pPr>
                    <w:spacing w:line="240" w:lineRule="auto"/>
                    <w:jc w:val="center"/>
                    <w:rPr>
                      <w:rFonts w:eastAsiaTheme="minorEastAsia"/>
                      <w:bCs/>
                      <w:sz w:val="21"/>
                      <w:szCs w:val="21"/>
                    </w:rPr>
                  </w:pPr>
                  <w:r>
                    <w:rPr>
                      <w:rFonts w:hint="eastAsia" w:eastAsiaTheme="minorEastAsia"/>
                      <w:bCs/>
                      <w:sz w:val="21"/>
                      <w:szCs w:val="21"/>
                    </w:rPr>
                    <w:t>周家包</w:t>
                  </w:r>
                </w:p>
              </w:tc>
              <w:tc>
                <w:tcPr>
                  <w:tcW w:w="1701" w:type="dxa"/>
                  <w:vMerge w:val="continue"/>
                  <w:vAlign w:val="center"/>
                </w:tcPr>
                <w:p>
                  <w:pPr>
                    <w:adjustRightInd w:val="0"/>
                    <w:snapToGrid w:val="0"/>
                    <w:spacing w:line="240" w:lineRule="auto"/>
                    <w:jc w:val="center"/>
                    <w:rPr>
                      <w:rFonts w:eastAsiaTheme="minorEastAsia"/>
                      <w:sz w:val="21"/>
                      <w:szCs w:val="21"/>
                    </w:rPr>
                  </w:pPr>
                </w:p>
              </w:tc>
              <w:tc>
                <w:tcPr>
                  <w:tcW w:w="1417" w:type="dxa"/>
                  <w:vMerge w:val="continue"/>
                  <w:vAlign w:val="center"/>
                </w:tcPr>
                <w:p>
                  <w:pPr>
                    <w:adjustRightInd w:val="0"/>
                    <w:snapToGrid w:val="0"/>
                    <w:spacing w:line="240" w:lineRule="auto"/>
                    <w:jc w:val="center"/>
                    <w:rPr>
                      <w:rFonts w:eastAsiaTheme="minorEastAsia"/>
                      <w:sz w:val="21"/>
                      <w:szCs w:val="21"/>
                    </w:rPr>
                  </w:pPr>
                </w:p>
              </w:tc>
              <w:tc>
                <w:tcPr>
                  <w:tcW w:w="993" w:type="dxa"/>
                  <w:vAlign w:val="center"/>
                </w:tcPr>
                <w:p>
                  <w:pPr>
                    <w:adjustRightInd w:val="0"/>
                    <w:snapToGrid w:val="0"/>
                    <w:spacing w:line="240" w:lineRule="auto"/>
                    <w:jc w:val="center"/>
                    <w:rPr>
                      <w:rFonts w:eastAsiaTheme="minorEastAsia"/>
                      <w:sz w:val="21"/>
                      <w:szCs w:val="21"/>
                    </w:rPr>
                  </w:pPr>
                  <w:r>
                    <w:rPr>
                      <w:rFonts w:eastAsiaTheme="minorEastAsia"/>
                      <w:sz w:val="21"/>
                      <w:szCs w:val="21"/>
                    </w:rPr>
                    <w:t>NE</w:t>
                  </w:r>
                </w:p>
              </w:tc>
              <w:tc>
                <w:tcPr>
                  <w:tcW w:w="1160" w:type="dxa"/>
                  <w:vAlign w:val="center"/>
                </w:tcPr>
                <w:p>
                  <w:pPr>
                    <w:spacing w:line="240" w:lineRule="auto"/>
                    <w:jc w:val="center"/>
                    <w:rPr>
                      <w:rFonts w:eastAsiaTheme="minorEastAsia"/>
                      <w:sz w:val="21"/>
                      <w:szCs w:val="21"/>
                    </w:rPr>
                  </w:pPr>
                  <w:r>
                    <w:rPr>
                      <w:rFonts w:eastAsiaTheme="minorEastAsia"/>
                      <w:sz w:val="21"/>
                      <w:szCs w:val="21"/>
                    </w:rPr>
                    <w:t>730m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31" w:type="dxa"/>
                  <w:vMerge w:val="continue"/>
                  <w:vAlign w:val="center"/>
                </w:tcPr>
                <w:p>
                  <w:pPr>
                    <w:adjustRightInd w:val="0"/>
                    <w:snapToGrid w:val="0"/>
                    <w:spacing w:line="240" w:lineRule="auto"/>
                    <w:jc w:val="center"/>
                    <w:rPr>
                      <w:rFonts w:eastAsiaTheme="minorEastAsia"/>
                      <w:sz w:val="21"/>
                      <w:szCs w:val="21"/>
                    </w:rPr>
                  </w:pPr>
                </w:p>
              </w:tc>
              <w:tc>
                <w:tcPr>
                  <w:tcW w:w="770" w:type="dxa"/>
                  <w:vAlign w:val="center"/>
                </w:tcPr>
                <w:p>
                  <w:pPr>
                    <w:spacing w:line="240" w:lineRule="auto"/>
                    <w:jc w:val="center"/>
                    <w:rPr>
                      <w:rFonts w:eastAsiaTheme="minorEastAsia"/>
                      <w:sz w:val="21"/>
                      <w:szCs w:val="21"/>
                    </w:rPr>
                  </w:pPr>
                  <w:r>
                    <w:rPr>
                      <w:rFonts w:eastAsiaTheme="minorEastAsia"/>
                      <w:sz w:val="21"/>
                      <w:szCs w:val="21"/>
                    </w:rPr>
                    <w:t>875</w:t>
                  </w:r>
                </w:p>
              </w:tc>
              <w:tc>
                <w:tcPr>
                  <w:tcW w:w="709" w:type="dxa"/>
                  <w:vAlign w:val="center"/>
                </w:tcPr>
                <w:p>
                  <w:pPr>
                    <w:spacing w:line="240" w:lineRule="auto"/>
                    <w:jc w:val="center"/>
                    <w:rPr>
                      <w:rFonts w:eastAsiaTheme="minorEastAsia"/>
                      <w:sz w:val="21"/>
                      <w:szCs w:val="21"/>
                    </w:rPr>
                  </w:pPr>
                  <w:r>
                    <w:rPr>
                      <w:rFonts w:eastAsiaTheme="minorEastAsia"/>
                      <w:sz w:val="21"/>
                      <w:szCs w:val="21"/>
                    </w:rPr>
                    <w:t>1210</w:t>
                  </w:r>
                </w:p>
              </w:tc>
              <w:tc>
                <w:tcPr>
                  <w:tcW w:w="1134" w:type="dxa"/>
                  <w:vAlign w:val="center"/>
                </w:tcPr>
                <w:p>
                  <w:pPr>
                    <w:spacing w:line="240" w:lineRule="auto"/>
                    <w:jc w:val="center"/>
                    <w:rPr>
                      <w:rFonts w:eastAsiaTheme="minorEastAsia"/>
                      <w:bCs/>
                      <w:sz w:val="21"/>
                      <w:szCs w:val="21"/>
                    </w:rPr>
                  </w:pPr>
                  <w:r>
                    <w:rPr>
                      <w:rFonts w:hint="eastAsia" w:eastAsiaTheme="minorEastAsia"/>
                      <w:bCs/>
                      <w:sz w:val="21"/>
                      <w:szCs w:val="21"/>
                    </w:rPr>
                    <w:t>镇坪</w:t>
                  </w:r>
                  <w:r>
                    <w:rPr>
                      <w:rFonts w:eastAsiaTheme="minorEastAsia"/>
                      <w:bCs/>
                      <w:sz w:val="21"/>
                      <w:szCs w:val="21"/>
                    </w:rPr>
                    <w:t>同维希望小学</w:t>
                  </w:r>
                </w:p>
              </w:tc>
              <w:tc>
                <w:tcPr>
                  <w:tcW w:w="1701" w:type="dxa"/>
                  <w:vMerge w:val="continue"/>
                  <w:vAlign w:val="center"/>
                </w:tcPr>
                <w:p>
                  <w:pPr>
                    <w:adjustRightInd w:val="0"/>
                    <w:snapToGrid w:val="0"/>
                    <w:spacing w:line="240" w:lineRule="auto"/>
                    <w:jc w:val="center"/>
                    <w:rPr>
                      <w:rFonts w:eastAsiaTheme="minorEastAsia"/>
                      <w:sz w:val="21"/>
                      <w:szCs w:val="21"/>
                    </w:rPr>
                  </w:pPr>
                </w:p>
              </w:tc>
              <w:tc>
                <w:tcPr>
                  <w:tcW w:w="1417" w:type="dxa"/>
                  <w:vMerge w:val="continue"/>
                  <w:vAlign w:val="center"/>
                </w:tcPr>
                <w:p>
                  <w:pPr>
                    <w:adjustRightInd w:val="0"/>
                    <w:snapToGrid w:val="0"/>
                    <w:spacing w:line="240" w:lineRule="auto"/>
                    <w:jc w:val="center"/>
                    <w:rPr>
                      <w:rFonts w:eastAsiaTheme="minorEastAsia"/>
                      <w:sz w:val="21"/>
                      <w:szCs w:val="21"/>
                    </w:rPr>
                  </w:pPr>
                </w:p>
              </w:tc>
              <w:tc>
                <w:tcPr>
                  <w:tcW w:w="993" w:type="dxa"/>
                  <w:vAlign w:val="center"/>
                </w:tcPr>
                <w:p>
                  <w:pPr>
                    <w:adjustRightInd w:val="0"/>
                    <w:snapToGrid w:val="0"/>
                    <w:spacing w:line="240" w:lineRule="auto"/>
                    <w:jc w:val="center"/>
                    <w:rPr>
                      <w:rFonts w:eastAsiaTheme="minorEastAsia"/>
                      <w:sz w:val="21"/>
                      <w:szCs w:val="21"/>
                    </w:rPr>
                  </w:pPr>
                  <w:r>
                    <w:rPr>
                      <w:rFonts w:eastAsiaTheme="minorEastAsia"/>
                      <w:sz w:val="21"/>
                      <w:szCs w:val="21"/>
                    </w:rPr>
                    <w:t>N</w:t>
                  </w:r>
                  <w:r>
                    <w:rPr>
                      <w:rFonts w:hint="eastAsia" w:eastAsiaTheme="minorEastAsia"/>
                      <w:sz w:val="21"/>
                      <w:szCs w:val="21"/>
                    </w:rPr>
                    <w:t>E</w:t>
                  </w:r>
                </w:p>
              </w:tc>
              <w:tc>
                <w:tcPr>
                  <w:tcW w:w="1160" w:type="dxa"/>
                  <w:vAlign w:val="center"/>
                </w:tcPr>
                <w:p>
                  <w:pPr>
                    <w:spacing w:line="240" w:lineRule="auto"/>
                    <w:jc w:val="center"/>
                    <w:rPr>
                      <w:rFonts w:eastAsiaTheme="minorEastAsia"/>
                      <w:sz w:val="21"/>
                      <w:szCs w:val="21"/>
                    </w:rPr>
                  </w:pPr>
                  <w:r>
                    <w:rPr>
                      <w:rFonts w:eastAsiaTheme="minorEastAsia"/>
                      <w:sz w:val="21"/>
                      <w:szCs w:val="21"/>
                    </w:rPr>
                    <w:t>1480m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31" w:type="dxa"/>
                  <w:vMerge w:val="continue"/>
                  <w:vAlign w:val="center"/>
                </w:tcPr>
                <w:p>
                  <w:pPr>
                    <w:adjustRightInd w:val="0"/>
                    <w:snapToGrid w:val="0"/>
                    <w:spacing w:line="240" w:lineRule="auto"/>
                    <w:jc w:val="center"/>
                    <w:rPr>
                      <w:rFonts w:eastAsiaTheme="minorEastAsia"/>
                      <w:sz w:val="21"/>
                      <w:szCs w:val="21"/>
                    </w:rPr>
                  </w:pPr>
                </w:p>
              </w:tc>
              <w:tc>
                <w:tcPr>
                  <w:tcW w:w="770" w:type="dxa"/>
                  <w:vAlign w:val="center"/>
                </w:tcPr>
                <w:p>
                  <w:pPr>
                    <w:spacing w:line="240" w:lineRule="auto"/>
                    <w:jc w:val="center"/>
                    <w:rPr>
                      <w:rFonts w:eastAsiaTheme="minorEastAsia"/>
                      <w:sz w:val="21"/>
                      <w:szCs w:val="21"/>
                    </w:rPr>
                  </w:pPr>
                  <w:r>
                    <w:rPr>
                      <w:rFonts w:eastAsiaTheme="minorEastAsia"/>
                      <w:sz w:val="21"/>
                      <w:szCs w:val="21"/>
                    </w:rPr>
                    <w:t>1230</w:t>
                  </w:r>
                </w:p>
              </w:tc>
              <w:tc>
                <w:tcPr>
                  <w:tcW w:w="709" w:type="dxa"/>
                  <w:vAlign w:val="center"/>
                </w:tcPr>
                <w:p>
                  <w:pPr>
                    <w:spacing w:line="240" w:lineRule="auto"/>
                    <w:jc w:val="center"/>
                    <w:rPr>
                      <w:rFonts w:eastAsiaTheme="minorEastAsia"/>
                      <w:sz w:val="21"/>
                      <w:szCs w:val="21"/>
                    </w:rPr>
                  </w:pPr>
                  <w:r>
                    <w:rPr>
                      <w:rFonts w:eastAsiaTheme="minorEastAsia"/>
                      <w:sz w:val="21"/>
                      <w:szCs w:val="21"/>
                    </w:rPr>
                    <w:t>1520</w:t>
                  </w:r>
                </w:p>
              </w:tc>
              <w:tc>
                <w:tcPr>
                  <w:tcW w:w="1134" w:type="dxa"/>
                  <w:vAlign w:val="center"/>
                </w:tcPr>
                <w:p>
                  <w:pPr>
                    <w:spacing w:line="240" w:lineRule="auto"/>
                    <w:jc w:val="center"/>
                    <w:rPr>
                      <w:rFonts w:eastAsiaTheme="minorEastAsia"/>
                      <w:bCs/>
                      <w:sz w:val="21"/>
                      <w:szCs w:val="21"/>
                    </w:rPr>
                  </w:pPr>
                  <w:r>
                    <w:rPr>
                      <w:rFonts w:hint="eastAsia" w:eastAsiaTheme="minorEastAsia"/>
                      <w:sz w:val="21"/>
                      <w:szCs w:val="21"/>
                    </w:rPr>
                    <w:t>东风村</w:t>
                  </w:r>
                </w:p>
              </w:tc>
              <w:tc>
                <w:tcPr>
                  <w:tcW w:w="1701" w:type="dxa"/>
                  <w:vMerge w:val="continue"/>
                  <w:vAlign w:val="center"/>
                </w:tcPr>
                <w:p>
                  <w:pPr>
                    <w:adjustRightInd w:val="0"/>
                    <w:snapToGrid w:val="0"/>
                    <w:spacing w:line="240" w:lineRule="auto"/>
                    <w:jc w:val="center"/>
                    <w:rPr>
                      <w:rFonts w:eastAsiaTheme="minorEastAsia"/>
                      <w:sz w:val="21"/>
                      <w:szCs w:val="21"/>
                    </w:rPr>
                  </w:pPr>
                </w:p>
              </w:tc>
              <w:tc>
                <w:tcPr>
                  <w:tcW w:w="1417" w:type="dxa"/>
                  <w:vMerge w:val="continue"/>
                  <w:vAlign w:val="center"/>
                </w:tcPr>
                <w:p>
                  <w:pPr>
                    <w:adjustRightInd w:val="0"/>
                    <w:snapToGrid w:val="0"/>
                    <w:spacing w:line="240" w:lineRule="auto"/>
                    <w:jc w:val="center"/>
                    <w:rPr>
                      <w:rFonts w:eastAsiaTheme="minorEastAsia"/>
                      <w:sz w:val="21"/>
                      <w:szCs w:val="21"/>
                    </w:rPr>
                  </w:pPr>
                </w:p>
              </w:tc>
              <w:tc>
                <w:tcPr>
                  <w:tcW w:w="993" w:type="dxa"/>
                  <w:vAlign w:val="center"/>
                </w:tcPr>
                <w:p>
                  <w:pPr>
                    <w:adjustRightInd w:val="0"/>
                    <w:snapToGrid w:val="0"/>
                    <w:spacing w:line="240" w:lineRule="auto"/>
                    <w:jc w:val="center"/>
                    <w:rPr>
                      <w:rFonts w:eastAsiaTheme="minorEastAsia"/>
                      <w:sz w:val="21"/>
                      <w:szCs w:val="21"/>
                    </w:rPr>
                  </w:pPr>
                  <w:r>
                    <w:rPr>
                      <w:rFonts w:hint="eastAsia" w:eastAsiaTheme="minorEastAsia"/>
                      <w:sz w:val="21"/>
                      <w:szCs w:val="21"/>
                    </w:rPr>
                    <w:t>NE</w:t>
                  </w:r>
                </w:p>
              </w:tc>
              <w:tc>
                <w:tcPr>
                  <w:tcW w:w="1160" w:type="dxa"/>
                  <w:vAlign w:val="center"/>
                </w:tcPr>
                <w:p>
                  <w:pPr>
                    <w:spacing w:line="240" w:lineRule="auto"/>
                    <w:jc w:val="center"/>
                    <w:rPr>
                      <w:rFonts w:eastAsiaTheme="minorEastAsia"/>
                      <w:sz w:val="21"/>
                      <w:szCs w:val="21"/>
                    </w:rPr>
                  </w:pPr>
                  <w:r>
                    <w:rPr>
                      <w:rFonts w:eastAsiaTheme="minorEastAsia"/>
                      <w:sz w:val="21"/>
                      <w:szCs w:val="21"/>
                    </w:rPr>
                    <w:t>1950m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31" w:type="dxa"/>
                  <w:vMerge w:val="continue"/>
                  <w:vAlign w:val="center"/>
                </w:tcPr>
                <w:p>
                  <w:pPr>
                    <w:adjustRightInd w:val="0"/>
                    <w:snapToGrid w:val="0"/>
                    <w:spacing w:line="240" w:lineRule="auto"/>
                    <w:jc w:val="center"/>
                    <w:rPr>
                      <w:rFonts w:eastAsiaTheme="minorEastAsia"/>
                      <w:sz w:val="21"/>
                      <w:szCs w:val="21"/>
                    </w:rPr>
                  </w:pPr>
                </w:p>
              </w:tc>
              <w:tc>
                <w:tcPr>
                  <w:tcW w:w="770" w:type="dxa"/>
                  <w:vAlign w:val="center"/>
                </w:tcPr>
                <w:p>
                  <w:pPr>
                    <w:spacing w:line="240" w:lineRule="auto"/>
                    <w:jc w:val="center"/>
                    <w:rPr>
                      <w:rFonts w:eastAsiaTheme="minorEastAsia"/>
                      <w:sz w:val="21"/>
                      <w:szCs w:val="21"/>
                    </w:rPr>
                  </w:pPr>
                  <w:r>
                    <w:rPr>
                      <w:rFonts w:eastAsiaTheme="minorEastAsia"/>
                      <w:sz w:val="21"/>
                      <w:szCs w:val="21"/>
                    </w:rPr>
                    <w:t>-975</w:t>
                  </w:r>
                </w:p>
              </w:tc>
              <w:tc>
                <w:tcPr>
                  <w:tcW w:w="709" w:type="dxa"/>
                  <w:vAlign w:val="center"/>
                </w:tcPr>
                <w:p>
                  <w:pPr>
                    <w:spacing w:line="240" w:lineRule="auto"/>
                    <w:jc w:val="center"/>
                    <w:rPr>
                      <w:rFonts w:eastAsiaTheme="minorEastAsia"/>
                      <w:sz w:val="21"/>
                      <w:szCs w:val="21"/>
                    </w:rPr>
                  </w:pPr>
                  <w:r>
                    <w:rPr>
                      <w:rFonts w:eastAsiaTheme="minorEastAsia"/>
                      <w:sz w:val="21"/>
                      <w:szCs w:val="21"/>
                    </w:rPr>
                    <w:t>0</w:t>
                  </w:r>
                </w:p>
              </w:tc>
              <w:tc>
                <w:tcPr>
                  <w:tcW w:w="1134" w:type="dxa"/>
                  <w:vAlign w:val="center"/>
                </w:tcPr>
                <w:p>
                  <w:pPr>
                    <w:spacing w:line="240" w:lineRule="auto"/>
                    <w:jc w:val="center"/>
                    <w:rPr>
                      <w:rFonts w:eastAsiaTheme="minorEastAsia"/>
                      <w:bCs/>
                      <w:sz w:val="21"/>
                      <w:szCs w:val="21"/>
                    </w:rPr>
                  </w:pPr>
                  <w:r>
                    <w:rPr>
                      <w:rFonts w:hint="eastAsia" w:eastAsiaTheme="minorEastAsia"/>
                      <w:bCs/>
                      <w:sz w:val="21"/>
                      <w:szCs w:val="21"/>
                    </w:rPr>
                    <w:t>谭家湾</w:t>
                  </w:r>
                </w:p>
              </w:tc>
              <w:tc>
                <w:tcPr>
                  <w:tcW w:w="1701" w:type="dxa"/>
                  <w:vMerge w:val="continue"/>
                  <w:vAlign w:val="center"/>
                </w:tcPr>
                <w:p>
                  <w:pPr>
                    <w:adjustRightInd w:val="0"/>
                    <w:snapToGrid w:val="0"/>
                    <w:spacing w:line="240" w:lineRule="auto"/>
                    <w:jc w:val="center"/>
                    <w:rPr>
                      <w:rFonts w:eastAsiaTheme="minorEastAsia"/>
                      <w:sz w:val="21"/>
                      <w:szCs w:val="21"/>
                    </w:rPr>
                  </w:pPr>
                </w:p>
              </w:tc>
              <w:tc>
                <w:tcPr>
                  <w:tcW w:w="1417" w:type="dxa"/>
                  <w:vMerge w:val="continue"/>
                  <w:vAlign w:val="center"/>
                </w:tcPr>
                <w:p>
                  <w:pPr>
                    <w:adjustRightInd w:val="0"/>
                    <w:snapToGrid w:val="0"/>
                    <w:spacing w:line="240" w:lineRule="auto"/>
                    <w:jc w:val="center"/>
                    <w:rPr>
                      <w:rFonts w:eastAsiaTheme="minorEastAsia"/>
                      <w:sz w:val="21"/>
                      <w:szCs w:val="21"/>
                    </w:rPr>
                  </w:pPr>
                </w:p>
              </w:tc>
              <w:tc>
                <w:tcPr>
                  <w:tcW w:w="993" w:type="dxa"/>
                  <w:vAlign w:val="center"/>
                </w:tcPr>
                <w:p>
                  <w:pPr>
                    <w:adjustRightInd w:val="0"/>
                    <w:snapToGrid w:val="0"/>
                    <w:spacing w:line="240" w:lineRule="auto"/>
                    <w:jc w:val="center"/>
                    <w:rPr>
                      <w:rFonts w:eastAsiaTheme="minorEastAsia"/>
                      <w:sz w:val="21"/>
                      <w:szCs w:val="21"/>
                    </w:rPr>
                  </w:pPr>
                  <w:r>
                    <w:rPr>
                      <w:rFonts w:eastAsiaTheme="minorEastAsia"/>
                      <w:sz w:val="21"/>
                      <w:szCs w:val="21"/>
                    </w:rPr>
                    <w:t>W</w:t>
                  </w:r>
                </w:p>
              </w:tc>
              <w:tc>
                <w:tcPr>
                  <w:tcW w:w="1160" w:type="dxa"/>
                  <w:vAlign w:val="center"/>
                </w:tcPr>
                <w:p>
                  <w:pPr>
                    <w:spacing w:line="240" w:lineRule="auto"/>
                    <w:jc w:val="center"/>
                    <w:rPr>
                      <w:rFonts w:eastAsiaTheme="minorEastAsia"/>
                      <w:sz w:val="21"/>
                      <w:szCs w:val="21"/>
                    </w:rPr>
                  </w:pPr>
                  <w:r>
                    <w:rPr>
                      <w:rFonts w:eastAsiaTheme="minorEastAsia"/>
                      <w:sz w:val="21"/>
                      <w:szCs w:val="21"/>
                    </w:rPr>
                    <w:t>975m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31" w:type="dxa"/>
                  <w:vMerge w:val="continue"/>
                  <w:vAlign w:val="center"/>
                </w:tcPr>
                <w:p>
                  <w:pPr>
                    <w:adjustRightInd w:val="0"/>
                    <w:snapToGrid w:val="0"/>
                    <w:spacing w:line="240" w:lineRule="auto"/>
                    <w:jc w:val="center"/>
                    <w:rPr>
                      <w:rFonts w:eastAsiaTheme="minorEastAsia"/>
                      <w:sz w:val="21"/>
                      <w:szCs w:val="21"/>
                    </w:rPr>
                  </w:pPr>
                </w:p>
              </w:tc>
              <w:tc>
                <w:tcPr>
                  <w:tcW w:w="770" w:type="dxa"/>
                  <w:vAlign w:val="center"/>
                </w:tcPr>
                <w:p>
                  <w:pPr>
                    <w:spacing w:line="240" w:lineRule="auto"/>
                    <w:jc w:val="center"/>
                    <w:rPr>
                      <w:rFonts w:eastAsiaTheme="minorEastAsia"/>
                      <w:sz w:val="21"/>
                      <w:szCs w:val="21"/>
                    </w:rPr>
                  </w:pPr>
                  <w:r>
                    <w:rPr>
                      <w:rFonts w:hint="eastAsia" w:eastAsiaTheme="minorEastAsia"/>
                      <w:sz w:val="21"/>
                      <w:szCs w:val="21"/>
                    </w:rPr>
                    <w:t>-</w:t>
                  </w:r>
                  <w:r>
                    <w:rPr>
                      <w:rFonts w:eastAsiaTheme="minorEastAsia"/>
                      <w:sz w:val="21"/>
                      <w:szCs w:val="21"/>
                    </w:rPr>
                    <w:t>460</w:t>
                  </w:r>
                </w:p>
              </w:tc>
              <w:tc>
                <w:tcPr>
                  <w:tcW w:w="709" w:type="dxa"/>
                  <w:vAlign w:val="center"/>
                </w:tcPr>
                <w:p>
                  <w:pPr>
                    <w:spacing w:line="240" w:lineRule="auto"/>
                    <w:jc w:val="center"/>
                    <w:rPr>
                      <w:rFonts w:eastAsiaTheme="minorEastAsia"/>
                      <w:sz w:val="21"/>
                      <w:szCs w:val="21"/>
                    </w:rPr>
                  </w:pPr>
                  <w:r>
                    <w:rPr>
                      <w:rFonts w:hint="eastAsia" w:eastAsiaTheme="minorEastAsia"/>
                      <w:sz w:val="21"/>
                      <w:szCs w:val="21"/>
                    </w:rPr>
                    <w:t>-</w:t>
                  </w:r>
                  <w:r>
                    <w:rPr>
                      <w:rFonts w:eastAsiaTheme="minorEastAsia"/>
                      <w:sz w:val="21"/>
                      <w:szCs w:val="21"/>
                    </w:rPr>
                    <w:t>890</w:t>
                  </w:r>
                </w:p>
              </w:tc>
              <w:tc>
                <w:tcPr>
                  <w:tcW w:w="1134" w:type="dxa"/>
                  <w:vAlign w:val="center"/>
                </w:tcPr>
                <w:p>
                  <w:pPr>
                    <w:spacing w:line="240" w:lineRule="auto"/>
                    <w:jc w:val="center"/>
                    <w:rPr>
                      <w:rFonts w:eastAsiaTheme="minorEastAsia"/>
                      <w:bCs/>
                      <w:sz w:val="21"/>
                      <w:szCs w:val="21"/>
                    </w:rPr>
                  </w:pPr>
                  <w:r>
                    <w:rPr>
                      <w:rFonts w:hint="eastAsia" w:eastAsiaTheme="minorEastAsia"/>
                      <w:bCs/>
                      <w:sz w:val="21"/>
                      <w:szCs w:val="21"/>
                    </w:rPr>
                    <w:t>三坪村</w:t>
                  </w:r>
                </w:p>
              </w:tc>
              <w:tc>
                <w:tcPr>
                  <w:tcW w:w="1701" w:type="dxa"/>
                  <w:vMerge w:val="continue"/>
                  <w:vAlign w:val="center"/>
                </w:tcPr>
                <w:p>
                  <w:pPr>
                    <w:adjustRightInd w:val="0"/>
                    <w:snapToGrid w:val="0"/>
                    <w:spacing w:line="240" w:lineRule="auto"/>
                    <w:jc w:val="center"/>
                    <w:rPr>
                      <w:rFonts w:eastAsiaTheme="minorEastAsia"/>
                      <w:sz w:val="21"/>
                      <w:szCs w:val="21"/>
                    </w:rPr>
                  </w:pPr>
                </w:p>
              </w:tc>
              <w:tc>
                <w:tcPr>
                  <w:tcW w:w="1417" w:type="dxa"/>
                  <w:vMerge w:val="continue"/>
                  <w:vAlign w:val="center"/>
                </w:tcPr>
                <w:p>
                  <w:pPr>
                    <w:adjustRightInd w:val="0"/>
                    <w:snapToGrid w:val="0"/>
                    <w:spacing w:line="240" w:lineRule="auto"/>
                    <w:jc w:val="center"/>
                    <w:rPr>
                      <w:rFonts w:eastAsiaTheme="minorEastAsia"/>
                      <w:sz w:val="21"/>
                      <w:szCs w:val="21"/>
                    </w:rPr>
                  </w:pPr>
                </w:p>
              </w:tc>
              <w:tc>
                <w:tcPr>
                  <w:tcW w:w="993" w:type="dxa"/>
                  <w:vAlign w:val="center"/>
                </w:tcPr>
                <w:p>
                  <w:pPr>
                    <w:adjustRightInd w:val="0"/>
                    <w:snapToGrid w:val="0"/>
                    <w:spacing w:line="240" w:lineRule="auto"/>
                    <w:jc w:val="center"/>
                    <w:rPr>
                      <w:rFonts w:eastAsiaTheme="minorEastAsia"/>
                      <w:sz w:val="21"/>
                      <w:szCs w:val="21"/>
                    </w:rPr>
                  </w:pPr>
                  <w:r>
                    <w:rPr>
                      <w:rFonts w:eastAsiaTheme="minorEastAsia"/>
                      <w:sz w:val="21"/>
                      <w:szCs w:val="21"/>
                    </w:rPr>
                    <w:t>SW</w:t>
                  </w:r>
                </w:p>
              </w:tc>
              <w:tc>
                <w:tcPr>
                  <w:tcW w:w="1160" w:type="dxa"/>
                  <w:vAlign w:val="center"/>
                </w:tcPr>
                <w:p>
                  <w:pPr>
                    <w:spacing w:line="240" w:lineRule="auto"/>
                    <w:jc w:val="center"/>
                    <w:rPr>
                      <w:rFonts w:eastAsiaTheme="minorEastAsia"/>
                      <w:sz w:val="21"/>
                      <w:szCs w:val="21"/>
                    </w:rPr>
                  </w:pPr>
                  <w:r>
                    <w:rPr>
                      <w:rFonts w:hint="eastAsia" w:eastAsiaTheme="minorEastAsia"/>
                      <w:sz w:val="21"/>
                      <w:szCs w:val="21"/>
                    </w:rPr>
                    <w:t>1</w:t>
                  </w:r>
                  <w:r>
                    <w:rPr>
                      <w:rFonts w:eastAsiaTheme="minorEastAsia"/>
                      <w:sz w:val="21"/>
                      <w:szCs w:val="21"/>
                    </w:rPr>
                    <w:t>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31" w:type="dxa"/>
                  <w:vMerge w:val="continue"/>
                  <w:vAlign w:val="center"/>
                </w:tcPr>
                <w:p>
                  <w:pPr>
                    <w:adjustRightInd w:val="0"/>
                    <w:snapToGrid w:val="0"/>
                    <w:spacing w:line="240" w:lineRule="auto"/>
                    <w:jc w:val="center"/>
                    <w:rPr>
                      <w:rFonts w:eastAsiaTheme="minorEastAsia"/>
                      <w:sz w:val="21"/>
                      <w:szCs w:val="21"/>
                    </w:rPr>
                  </w:pPr>
                </w:p>
              </w:tc>
              <w:tc>
                <w:tcPr>
                  <w:tcW w:w="770" w:type="dxa"/>
                  <w:vAlign w:val="center"/>
                </w:tcPr>
                <w:p>
                  <w:pPr>
                    <w:spacing w:line="240" w:lineRule="auto"/>
                    <w:jc w:val="center"/>
                    <w:rPr>
                      <w:rFonts w:eastAsiaTheme="minorEastAsia"/>
                      <w:sz w:val="21"/>
                      <w:szCs w:val="21"/>
                    </w:rPr>
                  </w:pPr>
                  <w:r>
                    <w:rPr>
                      <w:rFonts w:hint="eastAsia" w:eastAsiaTheme="minorEastAsia"/>
                      <w:sz w:val="21"/>
                      <w:szCs w:val="21"/>
                    </w:rPr>
                    <w:t>-</w:t>
                  </w:r>
                  <w:r>
                    <w:rPr>
                      <w:rFonts w:eastAsiaTheme="minorEastAsia"/>
                      <w:sz w:val="21"/>
                      <w:szCs w:val="21"/>
                    </w:rPr>
                    <w:t>890</w:t>
                  </w:r>
                </w:p>
              </w:tc>
              <w:tc>
                <w:tcPr>
                  <w:tcW w:w="709" w:type="dxa"/>
                  <w:vAlign w:val="center"/>
                </w:tcPr>
                <w:p>
                  <w:pPr>
                    <w:spacing w:line="240" w:lineRule="auto"/>
                    <w:jc w:val="center"/>
                    <w:rPr>
                      <w:rFonts w:eastAsiaTheme="minorEastAsia"/>
                      <w:sz w:val="21"/>
                      <w:szCs w:val="21"/>
                    </w:rPr>
                  </w:pPr>
                  <w:r>
                    <w:rPr>
                      <w:rFonts w:hint="eastAsia" w:eastAsiaTheme="minorEastAsia"/>
                      <w:sz w:val="21"/>
                      <w:szCs w:val="21"/>
                    </w:rPr>
                    <w:t>-</w:t>
                  </w:r>
                  <w:r>
                    <w:rPr>
                      <w:rFonts w:eastAsiaTheme="minorEastAsia"/>
                      <w:sz w:val="21"/>
                      <w:szCs w:val="21"/>
                    </w:rPr>
                    <w:t>1230</w:t>
                  </w:r>
                </w:p>
              </w:tc>
              <w:tc>
                <w:tcPr>
                  <w:tcW w:w="1134" w:type="dxa"/>
                  <w:vAlign w:val="center"/>
                </w:tcPr>
                <w:p>
                  <w:pPr>
                    <w:spacing w:line="240" w:lineRule="auto"/>
                    <w:jc w:val="center"/>
                    <w:rPr>
                      <w:rFonts w:eastAsiaTheme="minorEastAsia"/>
                      <w:bCs/>
                      <w:sz w:val="21"/>
                      <w:szCs w:val="21"/>
                    </w:rPr>
                  </w:pPr>
                  <w:r>
                    <w:rPr>
                      <w:rFonts w:hint="eastAsia" w:eastAsiaTheme="minorEastAsia"/>
                      <w:bCs/>
                      <w:sz w:val="21"/>
                      <w:szCs w:val="21"/>
                    </w:rPr>
                    <w:t>官田坝</w:t>
                  </w:r>
                </w:p>
              </w:tc>
              <w:tc>
                <w:tcPr>
                  <w:tcW w:w="1701" w:type="dxa"/>
                  <w:vMerge w:val="continue"/>
                  <w:vAlign w:val="center"/>
                </w:tcPr>
                <w:p>
                  <w:pPr>
                    <w:adjustRightInd w:val="0"/>
                    <w:snapToGrid w:val="0"/>
                    <w:spacing w:line="240" w:lineRule="auto"/>
                    <w:jc w:val="center"/>
                    <w:rPr>
                      <w:rFonts w:eastAsiaTheme="minorEastAsia"/>
                      <w:sz w:val="21"/>
                      <w:szCs w:val="21"/>
                    </w:rPr>
                  </w:pPr>
                </w:p>
              </w:tc>
              <w:tc>
                <w:tcPr>
                  <w:tcW w:w="1417" w:type="dxa"/>
                  <w:vMerge w:val="continue"/>
                  <w:vAlign w:val="center"/>
                </w:tcPr>
                <w:p>
                  <w:pPr>
                    <w:adjustRightInd w:val="0"/>
                    <w:snapToGrid w:val="0"/>
                    <w:spacing w:line="240" w:lineRule="auto"/>
                    <w:jc w:val="center"/>
                    <w:rPr>
                      <w:rFonts w:eastAsiaTheme="minorEastAsia"/>
                      <w:sz w:val="21"/>
                      <w:szCs w:val="21"/>
                    </w:rPr>
                  </w:pPr>
                </w:p>
              </w:tc>
              <w:tc>
                <w:tcPr>
                  <w:tcW w:w="993" w:type="dxa"/>
                  <w:vAlign w:val="center"/>
                </w:tcPr>
                <w:p>
                  <w:pPr>
                    <w:adjustRightInd w:val="0"/>
                    <w:snapToGrid w:val="0"/>
                    <w:spacing w:line="240" w:lineRule="auto"/>
                    <w:jc w:val="center"/>
                    <w:rPr>
                      <w:rFonts w:eastAsiaTheme="minorEastAsia"/>
                      <w:sz w:val="21"/>
                      <w:szCs w:val="21"/>
                    </w:rPr>
                  </w:pPr>
                  <w:r>
                    <w:rPr>
                      <w:rFonts w:eastAsiaTheme="minorEastAsia"/>
                      <w:sz w:val="21"/>
                      <w:szCs w:val="21"/>
                    </w:rPr>
                    <w:t>SW</w:t>
                  </w:r>
                </w:p>
              </w:tc>
              <w:tc>
                <w:tcPr>
                  <w:tcW w:w="1160" w:type="dxa"/>
                  <w:vAlign w:val="center"/>
                </w:tcPr>
                <w:p>
                  <w:pPr>
                    <w:spacing w:line="240" w:lineRule="auto"/>
                    <w:jc w:val="center"/>
                    <w:rPr>
                      <w:rFonts w:eastAsiaTheme="minorEastAsia"/>
                      <w:sz w:val="21"/>
                      <w:szCs w:val="21"/>
                    </w:rPr>
                  </w:pPr>
                  <w:r>
                    <w:rPr>
                      <w:rFonts w:hint="eastAsia" w:eastAsiaTheme="minorEastAsia"/>
                      <w:sz w:val="21"/>
                      <w:szCs w:val="21"/>
                    </w:rPr>
                    <w:t>1</w:t>
                  </w:r>
                  <w:r>
                    <w:rPr>
                      <w:rFonts w:eastAsiaTheme="minorEastAsia"/>
                      <w:sz w:val="21"/>
                      <w:szCs w:val="21"/>
                    </w:rPr>
                    <w:t>540m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731" w:type="dxa"/>
                  <w:vMerge w:val="continue"/>
                  <w:vAlign w:val="center"/>
                </w:tcPr>
                <w:p>
                  <w:pPr>
                    <w:adjustRightInd w:val="0"/>
                    <w:snapToGrid w:val="0"/>
                    <w:spacing w:line="240" w:lineRule="auto"/>
                    <w:jc w:val="center"/>
                    <w:rPr>
                      <w:rFonts w:eastAsiaTheme="minorEastAsia"/>
                      <w:sz w:val="21"/>
                      <w:szCs w:val="21"/>
                    </w:rPr>
                  </w:pPr>
                </w:p>
              </w:tc>
              <w:tc>
                <w:tcPr>
                  <w:tcW w:w="770" w:type="dxa"/>
                  <w:vAlign w:val="center"/>
                </w:tcPr>
                <w:p>
                  <w:pPr>
                    <w:spacing w:line="240" w:lineRule="auto"/>
                    <w:jc w:val="center"/>
                    <w:rPr>
                      <w:rFonts w:eastAsiaTheme="minorEastAsia"/>
                      <w:sz w:val="21"/>
                      <w:szCs w:val="21"/>
                    </w:rPr>
                  </w:pPr>
                  <w:r>
                    <w:rPr>
                      <w:rFonts w:hint="eastAsia" w:eastAsiaTheme="minorEastAsia"/>
                      <w:sz w:val="21"/>
                      <w:szCs w:val="21"/>
                    </w:rPr>
                    <w:t>-</w:t>
                  </w:r>
                  <w:r>
                    <w:rPr>
                      <w:rFonts w:eastAsiaTheme="minorEastAsia"/>
                      <w:sz w:val="21"/>
                      <w:szCs w:val="21"/>
                    </w:rPr>
                    <w:t>2100</w:t>
                  </w:r>
                </w:p>
              </w:tc>
              <w:tc>
                <w:tcPr>
                  <w:tcW w:w="709" w:type="dxa"/>
                  <w:vAlign w:val="center"/>
                </w:tcPr>
                <w:p>
                  <w:pPr>
                    <w:spacing w:line="240" w:lineRule="auto"/>
                    <w:jc w:val="center"/>
                    <w:rPr>
                      <w:rFonts w:eastAsiaTheme="minorEastAsia"/>
                      <w:sz w:val="21"/>
                      <w:szCs w:val="21"/>
                    </w:rPr>
                  </w:pPr>
                  <w:r>
                    <w:rPr>
                      <w:rFonts w:hint="eastAsia" w:eastAsiaTheme="minorEastAsia"/>
                      <w:sz w:val="21"/>
                      <w:szCs w:val="21"/>
                    </w:rPr>
                    <w:t>-</w:t>
                  </w:r>
                  <w:r>
                    <w:rPr>
                      <w:rFonts w:eastAsiaTheme="minorEastAsia"/>
                      <w:sz w:val="21"/>
                      <w:szCs w:val="21"/>
                    </w:rPr>
                    <w:t>870</w:t>
                  </w:r>
                </w:p>
              </w:tc>
              <w:tc>
                <w:tcPr>
                  <w:tcW w:w="1134" w:type="dxa"/>
                  <w:vAlign w:val="center"/>
                </w:tcPr>
                <w:p>
                  <w:pPr>
                    <w:spacing w:line="240" w:lineRule="auto"/>
                    <w:jc w:val="center"/>
                    <w:rPr>
                      <w:rFonts w:eastAsiaTheme="minorEastAsia"/>
                      <w:bCs/>
                      <w:sz w:val="21"/>
                      <w:szCs w:val="21"/>
                    </w:rPr>
                  </w:pPr>
                  <w:r>
                    <w:rPr>
                      <w:rFonts w:hint="eastAsia" w:eastAsiaTheme="minorEastAsia"/>
                      <w:bCs/>
                      <w:sz w:val="21"/>
                      <w:szCs w:val="21"/>
                    </w:rPr>
                    <w:t>青龙台</w:t>
                  </w:r>
                </w:p>
              </w:tc>
              <w:tc>
                <w:tcPr>
                  <w:tcW w:w="1701" w:type="dxa"/>
                  <w:vMerge w:val="continue"/>
                  <w:vAlign w:val="center"/>
                </w:tcPr>
                <w:p>
                  <w:pPr>
                    <w:adjustRightInd w:val="0"/>
                    <w:snapToGrid w:val="0"/>
                    <w:spacing w:line="240" w:lineRule="auto"/>
                    <w:jc w:val="center"/>
                    <w:rPr>
                      <w:rFonts w:eastAsiaTheme="minorEastAsia"/>
                      <w:sz w:val="21"/>
                      <w:szCs w:val="21"/>
                    </w:rPr>
                  </w:pPr>
                </w:p>
              </w:tc>
              <w:tc>
                <w:tcPr>
                  <w:tcW w:w="1417" w:type="dxa"/>
                  <w:vMerge w:val="continue"/>
                  <w:vAlign w:val="center"/>
                </w:tcPr>
                <w:p>
                  <w:pPr>
                    <w:adjustRightInd w:val="0"/>
                    <w:snapToGrid w:val="0"/>
                    <w:spacing w:line="240" w:lineRule="auto"/>
                    <w:jc w:val="center"/>
                    <w:rPr>
                      <w:rFonts w:eastAsiaTheme="minorEastAsia"/>
                      <w:sz w:val="21"/>
                      <w:szCs w:val="21"/>
                    </w:rPr>
                  </w:pPr>
                </w:p>
              </w:tc>
              <w:tc>
                <w:tcPr>
                  <w:tcW w:w="993" w:type="dxa"/>
                  <w:vAlign w:val="center"/>
                </w:tcPr>
                <w:p>
                  <w:pPr>
                    <w:adjustRightInd w:val="0"/>
                    <w:snapToGrid w:val="0"/>
                    <w:spacing w:line="240" w:lineRule="auto"/>
                    <w:jc w:val="center"/>
                    <w:rPr>
                      <w:rFonts w:eastAsiaTheme="minorEastAsia"/>
                      <w:sz w:val="21"/>
                      <w:szCs w:val="21"/>
                    </w:rPr>
                  </w:pPr>
                  <w:r>
                    <w:rPr>
                      <w:rFonts w:eastAsiaTheme="minorEastAsia"/>
                      <w:sz w:val="21"/>
                      <w:szCs w:val="21"/>
                    </w:rPr>
                    <w:t>SW</w:t>
                  </w:r>
                </w:p>
              </w:tc>
              <w:tc>
                <w:tcPr>
                  <w:tcW w:w="1160" w:type="dxa"/>
                  <w:vAlign w:val="center"/>
                </w:tcPr>
                <w:p>
                  <w:pPr>
                    <w:spacing w:line="240" w:lineRule="auto"/>
                    <w:jc w:val="center"/>
                    <w:rPr>
                      <w:rFonts w:eastAsiaTheme="minorEastAsia"/>
                      <w:sz w:val="21"/>
                      <w:szCs w:val="21"/>
                    </w:rPr>
                  </w:pPr>
                  <w:r>
                    <w:rPr>
                      <w:rFonts w:eastAsiaTheme="minorEastAsia"/>
                      <w:sz w:val="21"/>
                      <w:szCs w:val="21"/>
                    </w:rPr>
                    <w:t>2300m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jc w:val="center"/>
              </w:trPr>
              <w:tc>
                <w:tcPr>
                  <w:tcW w:w="731" w:type="dxa"/>
                  <w:vAlign w:val="center"/>
                </w:tcPr>
                <w:p>
                  <w:pPr>
                    <w:spacing w:line="240" w:lineRule="auto"/>
                    <w:jc w:val="center"/>
                    <w:rPr>
                      <w:rFonts w:eastAsiaTheme="minorEastAsia"/>
                      <w:sz w:val="21"/>
                      <w:szCs w:val="21"/>
                    </w:rPr>
                  </w:pPr>
                  <w:r>
                    <w:rPr>
                      <w:rFonts w:eastAsiaTheme="minorEastAsia"/>
                      <w:sz w:val="21"/>
                      <w:szCs w:val="21"/>
                    </w:rPr>
                    <w:t>地表水环境</w:t>
                  </w:r>
                </w:p>
              </w:tc>
              <w:tc>
                <w:tcPr>
                  <w:tcW w:w="770" w:type="dxa"/>
                  <w:vAlign w:val="center"/>
                </w:tcPr>
                <w:p>
                  <w:pPr>
                    <w:spacing w:line="240" w:lineRule="auto"/>
                    <w:jc w:val="center"/>
                    <w:rPr>
                      <w:rFonts w:eastAsiaTheme="minorEastAsia"/>
                      <w:sz w:val="21"/>
                      <w:szCs w:val="21"/>
                    </w:rPr>
                  </w:pPr>
                  <w:r>
                    <w:rPr>
                      <w:rFonts w:eastAsiaTheme="minorEastAsia"/>
                      <w:sz w:val="21"/>
                      <w:szCs w:val="21"/>
                    </w:rPr>
                    <w:t>0</w:t>
                  </w:r>
                </w:p>
              </w:tc>
              <w:tc>
                <w:tcPr>
                  <w:tcW w:w="709" w:type="dxa"/>
                  <w:vAlign w:val="center"/>
                </w:tcPr>
                <w:p>
                  <w:pPr>
                    <w:spacing w:line="240" w:lineRule="auto"/>
                    <w:jc w:val="center"/>
                    <w:rPr>
                      <w:rFonts w:eastAsiaTheme="minorEastAsia"/>
                      <w:sz w:val="21"/>
                      <w:szCs w:val="21"/>
                    </w:rPr>
                  </w:pPr>
                  <w:r>
                    <w:rPr>
                      <w:rFonts w:eastAsiaTheme="minorEastAsia"/>
                      <w:sz w:val="21"/>
                      <w:szCs w:val="21"/>
                    </w:rPr>
                    <w:t>-300</w:t>
                  </w:r>
                </w:p>
              </w:tc>
              <w:tc>
                <w:tcPr>
                  <w:tcW w:w="1134" w:type="dxa"/>
                  <w:vAlign w:val="center"/>
                </w:tcPr>
                <w:p>
                  <w:pPr>
                    <w:spacing w:line="240" w:lineRule="auto"/>
                    <w:jc w:val="center"/>
                    <w:rPr>
                      <w:rFonts w:eastAsiaTheme="minorEastAsia"/>
                      <w:sz w:val="21"/>
                      <w:szCs w:val="21"/>
                    </w:rPr>
                  </w:pPr>
                  <w:r>
                    <w:rPr>
                      <w:rFonts w:hint="eastAsia" w:eastAsiaTheme="minorEastAsia"/>
                      <w:sz w:val="21"/>
                      <w:szCs w:val="21"/>
                    </w:rPr>
                    <w:t>南江河（毛坝河）</w:t>
                  </w:r>
                </w:p>
              </w:tc>
              <w:tc>
                <w:tcPr>
                  <w:tcW w:w="1701" w:type="dxa"/>
                  <w:vAlign w:val="center"/>
                </w:tcPr>
                <w:p>
                  <w:pPr>
                    <w:spacing w:line="240" w:lineRule="auto"/>
                    <w:jc w:val="center"/>
                    <w:rPr>
                      <w:rFonts w:eastAsiaTheme="minorEastAsia"/>
                      <w:sz w:val="21"/>
                      <w:szCs w:val="21"/>
                    </w:rPr>
                  </w:pPr>
                  <w:r>
                    <w:rPr>
                      <w:rFonts w:hint="eastAsia" w:eastAsiaTheme="minorEastAsia"/>
                      <w:sz w:val="21"/>
                      <w:szCs w:val="21"/>
                    </w:rPr>
                    <w:t>地表</w:t>
                  </w:r>
                  <w:r>
                    <w:rPr>
                      <w:rFonts w:eastAsiaTheme="minorEastAsia"/>
                      <w:sz w:val="21"/>
                      <w:szCs w:val="21"/>
                    </w:rPr>
                    <w:t>水体</w:t>
                  </w:r>
                </w:p>
              </w:tc>
              <w:tc>
                <w:tcPr>
                  <w:tcW w:w="1417" w:type="dxa"/>
                  <w:vAlign w:val="center"/>
                </w:tcPr>
                <w:p>
                  <w:pPr>
                    <w:spacing w:line="240" w:lineRule="auto"/>
                    <w:jc w:val="center"/>
                    <w:rPr>
                      <w:rFonts w:eastAsiaTheme="minorEastAsia"/>
                      <w:sz w:val="21"/>
                      <w:szCs w:val="21"/>
                    </w:rPr>
                  </w:pPr>
                  <w:r>
                    <w:rPr>
                      <w:rFonts w:eastAsiaTheme="minorEastAsia"/>
                      <w:sz w:val="21"/>
                      <w:szCs w:val="21"/>
                    </w:rPr>
                    <w:t>Ⅱ类水环境功能区</w:t>
                  </w:r>
                </w:p>
              </w:tc>
              <w:tc>
                <w:tcPr>
                  <w:tcW w:w="993" w:type="dxa"/>
                  <w:vAlign w:val="center"/>
                </w:tcPr>
                <w:p>
                  <w:pPr>
                    <w:spacing w:line="240" w:lineRule="auto"/>
                    <w:jc w:val="center"/>
                    <w:rPr>
                      <w:rFonts w:eastAsiaTheme="minorEastAsia"/>
                      <w:sz w:val="21"/>
                      <w:szCs w:val="21"/>
                    </w:rPr>
                  </w:pPr>
                  <w:r>
                    <w:rPr>
                      <w:rFonts w:eastAsiaTheme="minorEastAsia"/>
                      <w:sz w:val="21"/>
                      <w:szCs w:val="21"/>
                    </w:rPr>
                    <w:t>S</w:t>
                  </w:r>
                </w:p>
              </w:tc>
              <w:tc>
                <w:tcPr>
                  <w:tcW w:w="1160" w:type="dxa"/>
                  <w:vAlign w:val="center"/>
                </w:tcPr>
                <w:p>
                  <w:pPr>
                    <w:spacing w:line="240" w:lineRule="auto"/>
                    <w:jc w:val="center"/>
                    <w:rPr>
                      <w:rFonts w:eastAsiaTheme="minorEastAsia"/>
                      <w:sz w:val="21"/>
                      <w:szCs w:val="21"/>
                    </w:rPr>
                  </w:pPr>
                  <w:r>
                    <w:rPr>
                      <w:rFonts w:eastAsiaTheme="minorEastAsia"/>
                      <w:sz w:val="21"/>
                      <w:szCs w:val="21"/>
                    </w:rPr>
                    <w:t>300m</w:t>
                  </w:r>
                </w:p>
              </w:tc>
            </w:tr>
          </w:tbl>
          <w:p>
            <w:pPr>
              <w:pStyle w:val="2"/>
              <w:rPr>
                <w:rFonts w:ascii="Times New Roman" w:hAnsi="Times New Roman"/>
              </w:rPr>
            </w:pPr>
          </w:p>
        </w:tc>
      </w:tr>
    </w:tbl>
    <w:p>
      <w:bookmarkStart w:id="56" w:name="_Toc4840"/>
    </w:p>
    <w:p>
      <w:pPr>
        <w:sectPr>
          <w:pgSz w:w="11906" w:h="16838"/>
          <w:pgMar w:top="1440" w:right="1797" w:bottom="1440" w:left="1797" w:header="1191" w:footer="1191" w:gutter="0"/>
          <w:cols w:space="425" w:num="1"/>
          <w:docGrid w:type="linesAndChars" w:linePitch="312" w:charSpace="0"/>
        </w:sectPr>
      </w:pPr>
    </w:p>
    <w:p>
      <w:pPr>
        <w:keepNext/>
        <w:keepLines/>
        <w:outlineLvl w:val="0"/>
        <w:rPr>
          <w:rFonts w:asciiTheme="minorEastAsia" w:hAnsiTheme="minorEastAsia" w:eastAsiaTheme="minorEastAsia"/>
          <w:b/>
          <w:bCs/>
          <w:kern w:val="44"/>
        </w:rPr>
      </w:pPr>
      <w:bookmarkStart w:id="57" w:name="_Toc531082886"/>
      <w:bookmarkStart w:id="58" w:name="_Toc395510720"/>
      <w:bookmarkStart w:id="59" w:name="_Toc503450829"/>
      <w:r>
        <w:rPr>
          <w:rFonts w:asciiTheme="minorEastAsia" w:hAnsiTheme="minorEastAsia" w:eastAsiaTheme="minorEastAsia"/>
          <w:b/>
          <w:bCs/>
          <w:kern w:val="44"/>
        </w:rPr>
        <w:t>评价适用标准</w:t>
      </w:r>
      <w:bookmarkEnd w:id="56"/>
      <w:bookmarkEnd w:id="57"/>
      <w:bookmarkEnd w:id="58"/>
      <w:bookmarkEnd w:id="59"/>
    </w:p>
    <w:tbl>
      <w:tblPr>
        <w:tblStyle w:val="25"/>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
        <w:gridCol w:w="8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8" w:hRule="atLeast"/>
          <w:jc w:val="center"/>
        </w:trPr>
        <w:tc>
          <w:tcPr>
            <w:tcW w:w="453" w:type="dxa"/>
            <w:vAlign w:val="center"/>
          </w:tcPr>
          <w:p>
            <w:pPr>
              <w:pStyle w:val="56"/>
              <w:widowControl w:val="0"/>
              <w:spacing w:beforeLines="0" w:line="240" w:lineRule="auto"/>
              <w:outlineLvl w:val="0"/>
              <w:rPr>
                <w:rFonts w:eastAsiaTheme="minorEastAsia"/>
                <w:szCs w:val="28"/>
              </w:rPr>
            </w:pPr>
            <w:r>
              <w:rPr>
                <w:rFonts w:eastAsiaTheme="minorEastAsia"/>
                <w:szCs w:val="28"/>
              </w:rPr>
              <w:t>环</w:t>
            </w:r>
          </w:p>
          <w:p>
            <w:pPr>
              <w:pStyle w:val="56"/>
              <w:widowControl w:val="0"/>
              <w:spacing w:beforeLines="0" w:line="240" w:lineRule="auto"/>
              <w:outlineLvl w:val="0"/>
              <w:rPr>
                <w:rFonts w:eastAsiaTheme="minorEastAsia"/>
                <w:szCs w:val="28"/>
              </w:rPr>
            </w:pPr>
            <w:r>
              <w:rPr>
                <w:rFonts w:eastAsiaTheme="minorEastAsia"/>
                <w:szCs w:val="28"/>
              </w:rPr>
              <w:t>境</w:t>
            </w:r>
          </w:p>
          <w:p>
            <w:pPr>
              <w:pStyle w:val="56"/>
              <w:widowControl w:val="0"/>
              <w:spacing w:beforeLines="0" w:line="240" w:lineRule="auto"/>
              <w:outlineLvl w:val="0"/>
              <w:rPr>
                <w:rFonts w:eastAsiaTheme="minorEastAsia"/>
                <w:szCs w:val="28"/>
              </w:rPr>
            </w:pPr>
            <w:r>
              <w:rPr>
                <w:rFonts w:eastAsiaTheme="minorEastAsia"/>
                <w:szCs w:val="28"/>
              </w:rPr>
              <w:t>质</w:t>
            </w:r>
          </w:p>
          <w:p>
            <w:pPr>
              <w:pStyle w:val="56"/>
              <w:widowControl w:val="0"/>
              <w:spacing w:beforeLines="0" w:line="240" w:lineRule="auto"/>
              <w:outlineLvl w:val="0"/>
              <w:rPr>
                <w:rFonts w:eastAsiaTheme="minorEastAsia"/>
                <w:szCs w:val="28"/>
              </w:rPr>
            </w:pPr>
            <w:r>
              <w:rPr>
                <w:rFonts w:eastAsiaTheme="minorEastAsia"/>
                <w:szCs w:val="28"/>
              </w:rPr>
              <w:t>量</w:t>
            </w:r>
          </w:p>
          <w:p>
            <w:pPr>
              <w:pStyle w:val="56"/>
              <w:widowControl w:val="0"/>
              <w:spacing w:beforeLines="0" w:line="240" w:lineRule="auto"/>
              <w:outlineLvl w:val="0"/>
              <w:rPr>
                <w:rFonts w:eastAsiaTheme="minorEastAsia"/>
                <w:szCs w:val="28"/>
              </w:rPr>
            </w:pPr>
            <w:r>
              <w:rPr>
                <w:rFonts w:eastAsiaTheme="minorEastAsia"/>
                <w:szCs w:val="28"/>
              </w:rPr>
              <w:t>标</w:t>
            </w:r>
          </w:p>
          <w:p>
            <w:pPr>
              <w:pStyle w:val="56"/>
              <w:widowControl w:val="0"/>
              <w:spacing w:beforeLines="0" w:line="240" w:lineRule="auto"/>
              <w:outlineLvl w:val="0"/>
              <w:rPr>
                <w:rFonts w:eastAsiaTheme="minorEastAsia"/>
                <w:sz w:val="28"/>
                <w:szCs w:val="28"/>
              </w:rPr>
            </w:pPr>
            <w:r>
              <w:rPr>
                <w:rFonts w:eastAsiaTheme="minorEastAsia"/>
                <w:szCs w:val="28"/>
              </w:rPr>
              <w:t>准</w:t>
            </w:r>
          </w:p>
        </w:tc>
        <w:tc>
          <w:tcPr>
            <w:tcW w:w="7906" w:type="dxa"/>
            <w:vAlign w:val="center"/>
          </w:tcPr>
          <w:p>
            <w:pPr>
              <w:widowControl w:val="0"/>
              <w:ind w:firstLine="480" w:firstLineChars="200"/>
              <w:rPr>
                <w:rFonts w:eastAsiaTheme="minorEastAsia"/>
                <w:lang w:val="en-GB"/>
              </w:rPr>
            </w:pPr>
            <w:r>
              <w:rPr>
                <w:rFonts w:eastAsiaTheme="minorEastAsia"/>
                <w:lang w:val="en-GB" w:eastAsia="zh-TW"/>
              </w:rPr>
              <w:t>1</w:t>
            </w:r>
            <w:r>
              <w:rPr>
                <w:rFonts w:eastAsiaTheme="minorEastAsia"/>
                <w:lang w:val="en-GB"/>
              </w:rPr>
              <w:t>、</w:t>
            </w:r>
            <w:r>
              <w:rPr>
                <w:rFonts w:eastAsiaTheme="minorEastAsia"/>
                <w:lang w:val="en-GB" w:eastAsia="zh-TW"/>
              </w:rPr>
              <w:t>环境空气质量</w:t>
            </w:r>
          </w:p>
          <w:p>
            <w:pPr>
              <w:widowControl w:val="0"/>
              <w:ind w:firstLine="480" w:firstLineChars="200"/>
              <w:rPr>
                <w:rFonts w:eastAsiaTheme="minorEastAsia"/>
                <w:lang w:val="en-GB"/>
              </w:rPr>
            </w:pPr>
            <w:r>
              <w:rPr>
                <w:rFonts w:eastAsiaTheme="minorEastAsia"/>
                <w:kern w:val="28"/>
                <w:lang w:val="en-GB"/>
              </w:rPr>
              <w:t>项目所在区域环境空气</w:t>
            </w:r>
            <w:r>
              <w:rPr>
                <w:rFonts w:eastAsiaTheme="minorEastAsia"/>
                <w:kern w:val="28"/>
                <w:lang w:val="en-GB" w:eastAsia="zh-TW"/>
              </w:rPr>
              <w:t>执行《环境空气质量标准》（GB3095-2012）中二级标准</w:t>
            </w:r>
            <w:r>
              <w:rPr>
                <w:rFonts w:hint="eastAsia" w:eastAsiaTheme="minorEastAsia"/>
                <w:kern w:val="28"/>
                <w:lang w:val="en-GB"/>
              </w:rPr>
              <w:t>。</w:t>
            </w:r>
            <w:r>
              <w:t>具体标准限值见表</w:t>
            </w:r>
            <w:r>
              <w:rPr>
                <w:rFonts w:hint="eastAsia"/>
              </w:rPr>
              <w:t>4-</w:t>
            </w:r>
            <w:r>
              <w:t>1</w:t>
            </w:r>
            <w:r>
              <w:rPr>
                <w:rFonts w:hint="eastAsia"/>
              </w:rPr>
              <w:t>。</w:t>
            </w:r>
          </w:p>
          <w:p>
            <w:pPr>
              <w:pStyle w:val="44"/>
              <w:widowControl w:val="0"/>
              <w:numPr>
                <w:ilvl w:val="0"/>
                <w:numId w:val="5"/>
              </w:numPr>
              <w:spacing w:line="240" w:lineRule="auto"/>
              <w:ind w:left="0" w:firstLine="0" w:firstLineChars="0"/>
              <w:jc w:val="center"/>
              <w:rPr>
                <w:rFonts w:eastAsiaTheme="minorEastAsia"/>
                <w:b/>
                <w:kern w:val="28"/>
                <w:sz w:val="21"/>
                <w:szCs w:val="21"/>
                <w:lang w:val="en-GB"/>
              </w:rPr>
            </w:pPr>
            <w:r>
              <w:rPr>
                <w:rFonts w:eastAsiaTheme="minorEastAsia"/>
                <w:b/>
                <w:kern w:val="28"/>
                <w:sz w:val="21"/>
                <w:szCs w:val="21"/>
                <w:lang w:val="en-GB"/>
              </w:rPr>
              <w:t>大气环境质量标准</w:t>
            </w:r>
          </w:p>
          <w:tbl>
            <w:tblPr>
              <w:tblStyle w:val="24"/>
              <w:tblW w:w="7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2"/>
              <w:gridCol w:w="2180"/>
              <w:gridCol w:w="1018"/>
              <w:gridCol w:w="1906"/>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1192" w:type="dxa"/>
                  <w:vAlign w:val="center"/>
                </w:tcPr>
                <w:p>
                  <w:pPr>
                    <w:spacing w:line="240" w:lineRule="auto"/>
                    <w:jc w:val="center"/>
                    <w:rPr>
                      <w:sz w:val="21"/>
                      <w:szCs w:val="21"/>
                    </w:rPr>
                  </w:pPr>
                  <w:r>
                    <w:rPr>
                      <w:sz w:val="21"/>
                      <w:szCs w:val="21"/>
                    </w:rPr>
                    <w:t>环境要素</w:t>
                  </w:r>
                </w:p>
              </w:tc>
              <w:tc>
                <w:tcPr>
                  <w:tcW w:w="2180" w:type="dxa"/>
                  <w:vAlign w:val="center"/>
                </w:tcPr>
                <w:p>
                  <w:pPr>
                    <w:spacing w:line="240" w:lineRule="auto"/>
                    <w:jc w:val="center"/>
                    <w:rPr>
                      <w:sz w:val="21"/>
                      <w:szCs w:val="21"/>
                    </w:rPr>
                  </w:pPr>
                  <w:r>
                    <w:rPr>
                      <w:sz w:val="21"/>
                      <w:szCs w:val="21"/>
                    </w:rPr>
                    <w:t>标准名称、级别</w:t>
                  </w:r>
                </w:p>
              </w:tc>
              <w:tc>
                <w:tcPr>
                  <w:tcW w:w="2924" w:type="dxa"/>
                  <w:gridSpan w:val="2"/>
                  <w:vAlign w:val="center"/>
                </w:tcPr>
                <w:p>
                  <w:pPr>
                    <w:spacing w:line="240" w:lineRule="auto"/>
                    <w:jc w:val="center"/>
                    <w:rPr>
                      <w:sz w:val="21"/>
                      <w:szCs w:val="21"/>
                    </w:rPr>
                  </w:pPr>
                  <w:r>
                    <w:rPr>
                      <w:sz w:val="21"/>
                      <w:szCs w:val="21"/>
                    </w:rPr>
                    <w:t>项目</w:t>
                  </w:r>
                </w:p>
              </w:tc>
              <w:tc>
                <w:tcPr>
                  <w:tcW w:w="1435" w:type="dxa"/>
                  <w:vAlign w:val="center"/>
                </w:tcPr>
                <w:p>
                  <w:pPr>
                    <w:spacing w:line="240" w:lineRule="auto"/>
                    <w:jc w:val="center"/>
                    <w:rPr>
                      <w:sz w:val="21"/>
                      <w:szCs w:val="21"/>
                    </w:rPr>
                  </w:pPr>
                  <w:r>
                    <w:rPr>
                      <w:sz w:val="21"/>
                      <w:szCs w:val="21"/>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192" w:type="dxa"/>
                  <w:vMerge w:val="restart"/>
                  <w:vAlign w:val="center"/>
                </w:tcPr>
                <w:p>
                  <w:pPr>
                    <w:spacing w:line="240" w:lineRule="auto"/>
                    <w:jc w:val="center"/>
                    <w:rPr>
                      <w:sz w:val="21"/>
                      <w:szCs w:val="21"/>
                    </w:rPr>
                  </w:pPr>
                  <w:r>
                    <w:rPr>
                      <w:sz w:val="21"/>
                      <w:szCs w:val="21"/>
                    </w:rPr>
                    <w:t>环境空气</w:t>
                  </w:r>
                </w:p>
              </w:tc>
              <w:tc>
                <w:tcPr>
                  <w:tcW w:w="2180" w:type="dxa"/>
                  <w:vMerge w:val="restart"/>
                  <w:vAlign w:val="center"/>
                </w:tcPr>
                <w:p>
                  <w:pPr>
                    <w:spacing w:line="240" w:lineRule="auto"/>
                    <w:jc w:val="center"/>
                    <w:rPr>
                      <w:kern w:val="0"/>
                      <w:sz w:val="21"/>
                      <w:szCs w:val="21"/>
                    </w:rPr>
                  </w:pPr>
                  <w:r>
                    <w:rPr>
                      <w:kern w:val="0"/>
                      <w:sz w:val="21"/>
                      <w:szCs w:val="21"/>
                    </w:rPr>
                    <w:t>《环境空气质量标准》（GB3095-2012）</w:t>
                  </w:r>
                </w:p>
                <w:p>
                  <w:pPr>
                    <w:spacing w:line="240" w:lineRule="auto"/>
                    <w:jc w:val="center"/>
                    <w:rPr>
                      <w:sz w:val="21"/>
                      <w:szCs w:val="21"/>
                    </w:rPr>
                  </w:pPr>
                  <w:r>
                    <w:rPr>
                      <w:kern w:val="0"/>
                      <w:sz w:val="21"/>
                      <w:szCs w:val="21"/>
                    </w:rPr>
                    <w:t>二级标准</w:t>
                  </w:r>
                </w:p>
              </w:tc>
              <w:tc>
                <w:tcPr>
                  <w:tcW w:w="1018" w:type="dxa"/>
                  <w:vMerge w:val="restart"/>
                  <w:vAlign w:val="center"/>
                </w:tcPr>
                <w:p>
                  <w:pPr>
                    <w:spacing w:line="240" w:lineRule="auto"/>
                    <w:jc w:val="center"/>
                    <w:rPr>
                      <w:sz w:val="21"/>
                      <w:szCs w:val="21"/>
                    </w:rPr>
                  </w:pPr>
                  <w:r>
                    <w:rPr>
                      <w:sz w:val="21"/>
                      <w:szCs w:val="21"/>
                    </w:rPr>
                    <w:t>SO</w:t>
                  </w:r>
                  <w:r>
                    <w:rPr>
                      <w:sz w:val="21"/>
                      <w:szCs w:val="21"/>
                      <w:vertAlign w:val="subscript"/>
                    </w:rPr>
                    <w:t>2</w:t>
                  </w:r>
                </w:p>
              </w:tc>
              <w:tc>
                <w:tcPr>
                  <w:tcW w:w="1905" w:type="dxa"/>
                  <w:vAlign w:val="center"/>
                </w:tcPr>
                <w:p>
                  <w:pPr>
                    <w:spacing w:line="240" w:lineRule="auto"/>
                    <w:jc w:val="center"/>
                    <w:rPr>
                      <w:sz w:val="21"/>
                      <w:szCs w:val="21"/>
                    </w:rPr>
                  </w:pPr>
                  <w:r>
                    <w:rPr>
                      <w:sz w:val="21"/>
                      <w:szCs w:val="21"/>
                    </w:rPr>
                    <w:t>1小时平均</w:t>
                  </w:r>
                </w:p>
              </w:tc>
              <w:tc>
                <w:tcPr>
                  <w:tcW w:w="1435" w:type="dxa"/>
                  <w:vAlign w:val="center"/>
                </w:tcPr>
                <w:p>
                  <w:pPr>
                    <w:spacing w:line="240" w:lineRule="auto"/>
                    <w:jc w:val="center"/>
                    <w:rPr>
                      <w:sz w:val="21"/>
                      <w:szCs w:val="21"/>
                    </w:rPr>
                  </w:pPr>
                  <w:r>
                    <w:rPr>
                      <w:sz w:val="21"/>
                      <w:szCs w:val="21"/>
                    </w:rPr>
                    <w:t>500</w:t>
                  </w:r>
                  <w:r>
                    <w:rPr>
                      <w:bCs/>
                      <w:sz w:val="21"/>
                      <w:szCs w:val="21"/>
                    </w:rPr>
                    <w:t>ug</w:t>
                  </w:r>
                  <w:r>
                    <w:rPr>
                      <w:bCs/>
                      <w:kern w:val="0"/>
                      <w:sz w:val="21"/>
                      <w:szCs w:val="21"/>
                    </w:rPr>
                    <w:t>/m</w:t>
                  </w:r>
                  <w:r>
                    <w:rPr>
                      <w:bCs/>
                      <w:kern w:val="0"/>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192" w:type="dxa"/>
                  <w:vMerge w:val="continue"/>
                  <w:vAlign w:val="center"/>
                </w:tcPr>
                <w:p>
                  <w:pPr>
                    <w:spacing w:line="240" w:lineRule="auto"/>
                    <w:jc w:val="center"/>
                    <w:rPr>
                      <w:sz w:val="21"/>
                      <w:szCs w:val="21"/>
                    </w:rPr>
                  </w:pPr>
                </w:p>
              </w:tc>
              <w:tc>
                <w:tcPr>
                  <w:tcW w:w="2180" w:type="dxa"/>
                  <w:vMerge w:val="continue"/>
                  <w:vAlign w:val="center"/>
                </w:tcPr>
                <w:p>
                  <w:pPr>
                    <w:spacing w:line="240" w:lineRule="auto"/>
                    <w:jc w:val="center"/>
                    <w:rPr>
                      <w:sz w:val="21"/>
                      <w:szCs w:val="21"/>
                    </w:rPr>
                  </w:pPr>
                </w:p>
              </w:tc>
              <w:tc>
                <w:tcPr>
                  <w:tcW w:w="1018" w:type="dxa"/>
                  <w:vMerge w:val="continue"/>
                  <w:vAlign w:val="center"/>
                </w:tcPr>
                <w:p>
                  <w:pPr>
                    <w:spacing w:line="240" w:lineRule="auto"/>
                    <w:jc w:val="center"/>
                    <w:rPr>
                      <w:sz w:val="21"/>
                      <w:szCs w:val="21"/>
                    </w:rPr>
                  </w:pPr>
                </w:p>
              </w:tc>
              <w:tc>
                <w:tcPr>
                  <w:tcW w:w="1905" w:type="dxa"/>
                  <w:vAlign w:val="center"/>
                </w:tcPr>
                <w:p>
                  <w:pPr>
                    <w:spacing w:line="240" w:lineRule="auto"/>
                    <w:jc w:val="center"/>
                    <w:rPr>
                      <w:sz w:val="21"/>
                      <w:szCs w:val="21"/>
                    </w:rPr>
                  </w:pPr>
                  <w:r>
                    <w:rPr>
                      <w:sz w:val="21"/>
                      <w:szCs w:val="21"/>
                    </w:rPr>
                    <w:t>24小时平均</w:t>
                  </w:r>
                </w:p>
              </w:tc>
              <w:tc>
                <w:tcPr>
                  <w:tcW w:w="1435" w:type="dxa"/>
                  <w:vAlign w:val="center"/>
                </w:tcPr>
                <w:p>
                  <w:pPr>
                    <w:spacing w:line="240" w:lineRule="auto"/>
                    <w:jc w:val="center"/>
                    <w:rPr>
                      <w:sz w:val="21"/>
                      <w:szCs w:val="21"/>
                    </w:rPr>
                  </w:pPr>
                  <w:r>
                    <w:rPr>
                      <w:sz w:val="21"/>
                      <w:szCs w:val="21"/>
                    </w:rPr>
                    <w:t>150</w:t>
                  </w:r>
                  <w:r>
                    <w:rPr>
                      <w:bCs/>
                      <w:sz w:val="21"/>
                      <w:szCs w:val="21"/>
                    </w:rPr>
                    <w:t>ug</w:t>
                  </w:r>
                  <w:r>
                    <w:rPr>
                      <w:bCs/>
                      <w:kern w:val="0"/>
                      <w:sz w:val="21"/>
                      <w:szCs w:val="21"/>
                    </w:rPr>
                    <w:t>/m</w:t>
                  </w:r>
                  <w:r>
                    <w:rPr>
                      <w:bCs/>
                      <w:kern w:val="0"/>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192" w:type="dxa"/>
                  <w:vMerge w:val="continue"/>
                  <w:vAlign w:val="center"/>
                </w:tcPr>
                <w:p>
                  <w:pPr>
                    <w:spacing w:line="240" w:lineRule="auto"/>
                    <w:jc w:val="center"/>
                    <w:rPr>
                      <w:sz w:val="21"/>
                      <w:szCs w:val="21"/>
                    </w:rPr>
                  </w:pPr>
                </w:p>
              </w:tc>
              <w:tc>
                <w:tcPr>
                  <w:tcW w:w="2180" w:type="dxa"/>
                  <w:vMerge w:val="continue"/>
                  <w:vAlign w:val="center"/>
                </w:tcPr>
                <w:p>
                  <w:pPr>
                    <w:spacing w:line="240" w:lineRule="auto"/>
                    <w:jc w:val="center"/>
                    <w:rPr>
                      <w:sz w:val="21"/>
                      <w:szCs w:val="21"/>
                    </w:rPr>
                  </w:pPr>
                </w:p>
              </w:tc>
              <w:tc>
                <w:tcPr>
                  <w:tcW w:w="1018" w:type="dxa"/>
                  <w:vMerge w:val="continue"/>
                  <w:vAlign w:val="center"/>
                </w:tcPr>
                <w:p>
                  <w:pPr>
                    <w:spacing w:line="240" w:lineRule="auto"/>
                    <w:jc w:val="center"/>
                    <w:rPr>
                      <w:sz w:val="21"/>
                      <w:szCs w:val="21"/>
                    </w:rPr>
                  </w:pPr>
                </w:p>
              </w:tc>
              <w:tc>
                <w:tcPr>
                  <w:tcW w:w="1905" w:type="dxa"/>
                  <w:vAlign w:val="center"/>
                </w:tcPr>
                <w:p>
                  <w:pPr>
                    <w:spacing w:line="240" w:lineRule="auto"/>
                    <w:jc w:val="center"/>
                    <w:rPr>
                      <w:sz w:val="21"/>
                      <w:szCs w:val="21"/>
                    </w:rPr>
                  </w:pPr>
                  <w:r>
                    <w:rPr>
                      <w:sz w:val="21"/>
                      <w:szCs w:val="21"/>
                    </w:rPr>
                    <w:t>年平均</w:t>
                  </w:r>
                </w:p>
              </w:tc>
              <w:tc>
                <w:tcPr>
                  <w:tcW w:w="1435" w:type="dxa"/>
                  <w:vAlign w:val="center"/>
                </w:tcPr>
                <w:p>
                  <w:pPr>
                    <w:spacing w:line="240" w:lineRule="auto"/>
                    <w:jc w:val="center"/>
                    <w:rPr>
                      <w:sz w:val="21"/>
                      <w:szCs w:val="21"/>
                    </w:rPr>
                  </w:pPr>
                  <w:r>
                    <w:rPr>
                      <w:sz w:val="21"/>
                      <w:szCs w:val="21"/>
                    </w:rPr>
                    <w:t>60</w:t>
                  </w:r>
                  <w:r>
                    <w:rPr>
                      <w:bCs/>
                      <w:sz w:val="21"/>
                      <w:szCs w:val="21"/>
                    </w:rPr>
                    <w:t>ug</w:t>
                  </w:r>
                  <w:r>
                    <w:rPr>
                      <w:bCs/>
                      <w:kern w:val="0"/>
                      <w:sz w:val="21"/>
                      <w:szCs w:val="21"/>
                    </w:rPr>
                    <w:t>/m</w:t>
                  </w:r>
                  <w:r>
                    <w:rPr>
                      <w:bCs/>
                      <w:kern w:val="0"/>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192" w:type="dxa"/>
                  <w:vMerge w:val="continue"/>
                  <w:vAlign w:val="center"/>
                </w:tcPr>
                <w:p>
                  <w:pPr>
                    <w:spacing w:line="240" w:lineRule="auto"/>
                    <w:jc w:val="center"/>
                    <w:rPr>
                      <w:sz w:val="21"/>
                      <w:szCs w:val="21"/>
                    </w:rPr>
                  </w:pPr>
                </w:p>
              </w:tc>
              <w:tc>
                <w:tcPr>
                  <w:tcW w:w="2180" w:type="dxa"/>
                  <w:vMerge w:val="continue"/>
                  <w:vAlign w:val="center"/>
                </w:tcPr>
                <w:p>
                  <w:pPr>
                    <w:spacing w:line="240" w:lineRule="auto"/>
                    <w:jc w:val="center"/>
                    <w:rPr>
                      <w:sz w:val="21"/>
                      <w:szCs w:val="21"/>
                    </w:rPr>
                  </w:pPr>
                </w:p>
              </w:tc>
              <w:tc>
                <w:tcPr>
                  <w:tcW w:w="1018" w:type="dxa"/>
                  <w:vMerge w:val="restart"/>
                  <w:vAlign w:val="center"/>
                </w:tcPr>
                <w:p>
                  <w:pPr>
                    <w:spacing w:line="240" w:lineRule="auto"/>
                    <w:jc w:val="center"/>
                    <w:rPr>
                      <w:sz w:val="21"/>
                      <w:szCs w:val="21"/>
                    </w:rPr>
                  </w:pPr>
                  <w:r>
                    <w:rPr>
                      <w:sz w:val="21"/>
                      <w:szCs w:val="21"/>
                    </w:rPr>
                    <w:t>NO</w:t>
                  </w:r>
                  <w:r>
                    <w:rPr>
                      <w:sz w:val="21"/>
                      <w:szCs w:val="21"/>
                      <w:vertAlign w:val="subscript"/>
                    </w:rPr>
                    <w:t>2</w:t>
                  </w:r>
                </w:p>
              </w:tc>
              <w:tc>
                <w:tcPr>
                  <w:tcW w:w="1905" w:type="dxa"/>
                  <w:vAlign w:val="center"/>
                </w:tcPr>
                <w:p>
                  <w:pPr>
                    <w:spacing w:line="240" w:lineRule="auto"/>
                    <w:jc w:val="center"/>
                    <w:rPr>
                      <w:sz w:val="21"/>
                      <w:szCs w:val="21"/>
                    </w:rPr>
                  </w:pPr>
                  <w:r>
                    <w:rPr>
                      <w:sz w:val="21"/>
                      <w:szCs w:val="21"/>
                    </w:rPr>
                    <w:t>1小时平均</w:t>
                  </w:r>
                </w:p>
              </w:tc>
              <w:tc>
                <w:tcPr>
                  <w:tcW w:w="1435" w:type="dxa"/>
                  <w:vAlign w:val="center"/>
                </w:tcPr>
                <w:p>
                  <w:pPr>
                    <w:spacing w:line="240" w:lineRule="auto"/>
                    <w:jc w:val="center"/>
                    <w:rPr>
                      <w:sz w:val="21"/>
                      <w:szCs w:val="21"/>
                    </w:rPr>
                  </w:pPr>
                  <w:r>
                    <w:rPr>
                      <w:sz w:val="21"/>
                      <w:szCs w:val="21"/>
                    </w:rPr>
                    <w:t>200</w:t>
                  </w:r>
                  <w:r>
                    <w:rPr>
                      <w:bCs/>
                      <w:sz w:val="21"/>
                      <w:szCs w:val="21"/>
                    </w:rPr>
                    <w:t>ug</w:t>
                  </w:r>
                  <w:r>
                    <w:rPr>
                      <w:bCs/>
                      <w:kern w:val="0"/>
                      <w:sz w:val="21"/>
                      <w:szCs w:val="21"/>
                    </w:rPr>
                    <w:t>/m</w:t>
                  </w:r>
                  <w:r>
                    <w:rPr>
                      <w:bCs/>
                      <w:kern w:val="0"/>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192" w:type="dxa"/>
                  <w:vMerge w:val="continue"/>
                  <w:vAlign w:val="center"/>
                </w:tcPr>
                <w:p>
                  <w:pPr>
                    <w:spacing w:line="240" w:lineRule="auto"/>
                    <w:jc w:val="center"/>
                    <w:rPr>
                      <w:sz w:val="21"/>
                      <w:szCs w:val="21"/>
                    </w:rPr>
                  </w:pPr>
                </w:p>
              </w:tc>
              <w:tc>
                <w:tcPr>
                  <w:tcW w:w="2180" w:type="dxa"/>
                  <w:vMerge w:val="continue"/>
                  <w:vAlign w:val="center"/>
                </w:tcPr>
                <w:p>
                  <w:pPr>
                    <w:spacing w:line="240" w:lineRule="auto"/>
                    <w:jc w:val="center"/>
                    <w:rPr>
                      <w:sz w:val="21"/>
                      <w:szCs w:val="21"/>
                    </w:rPr>
                  </w:pPr>
                </w:p>
              </w:tc>
              <w:tc>
                <w:tcPr>
                  <w:tcW w:w="1018" w:type="dxa"/>
                  <w:vMerge w:val="continue"/>
                  <w:vAlign w:val="center"/>
                </w:tcPr>
                <w:p>
                  <w:pPr>
                    <w:spacing w:line="240" w:lineRule="auto"/>
                    <w:jc w:val="center"/>
                    <w:rPr>
                      <w:sz w:val="21"/>
                      <w:szCs w:val="21"/>
                    </w:rPr>
                  </w:pPr>
                </w:p>
              </w:tc>
              <w:tc>
                <w:tcPr>
                  <w:tcW w:w="1905" w:type="dxa"/>
                  <w:vAlign w:val="center"/>
                </w:tcPr>
                <w:p>
                  <w:pPr>
                    <w:spacing w:line="240" w:lineRule="auto"/>
                    <w:jc w:val="center"/>
                    <w:rPr>
                      <w:sz w:val="21"/>
                      <w:szCs w:val="21"/>
                    </w:rPr>
                  </w:pPr>
                  <w:r>
                    <w:rPr>
                      <w:sz w:val="21"/>
                      <w:szCs w:val="21"/>
                    </w:rPr>
                    <w:t>24小时平均</w:t>
                  </w:r>
                </w:p>
              </w:tc>
              <w:tc>
                <w:tcPr>
                  <w:tcW w:w="1435" w:type="dxa"/>
                  <w:vAlign w:val="center"/>
                </w:tcPr>
                <w:p>
                  <w:pPr>
                    <w:spacing w:line="240" w:lineRule="auto"/>
                    <w:jc w:val="center"/>
                    <w:rPr>
                      <w:sz w:val="21"/>
                      <w:szCs w:val="21"/>
                    </w:rPr>
                  </w:pPr>
                  <w:r>
                    <w:rPr>
                      <w:sz w:val="21"/>
                      <w:szCs w:val="21"/>
                    </w:rPr>
                    <w:t>80</w:t>
                  </w:r>
                  <w:r>
                    <w:rPr>
                      <w:bCs/>
                      <w:sz w:val="21"/>
                      <w:szCs w:val="21"/>
                    </w:rPr>
                    <w:t>ug</w:t>
                  </w:r>
                  <w:r>
                    <w:rPr>
                      <w:bCs/>
                      <w:kern w:val="0"/>
                      <w:sz w:val="21"/>
                      <w:szCs w:val="21"/>
                    </w:rPr>
                    <w:t>/m</w:t>
                  </w:r>
                  <w:r>
                    <w:rPr>
                      <w:bCs/>
                      <w:kern w:val="0"/>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192" w:type="dxa"/>
                  <w:vMerge w:val="continue"/>
                  <w:vAlign w:val="center"/>
                </w:tcPr>
                <w:p>
                  <w:pPr>
                    <w:spacing w:line="240" w:lineRule="auto"/>
                    <w:jc w:val="center"/>
                    <w:rPr>
                      <w:sz w:val="21"/>
                      <w:szCs w:val="21"/>
                    </w:rPr>
                  </w:pPr>
                </w:p>
              </w:tc>
              <w:tc>
                <w:tcPr>
                  <w:tcW w:w="2180" w:type="dxa"/>
                  <w:vMerge w:val="continue"/>
                  <w:vAlign w:val="center"/>
                </w:tcPr>
                <w:p>
                  <w:pPr>
                    <w:spacing w:line="240" w:lineRule="auto"/>
                    <w:jc w:val="center"/>
                    <w:rPr>
                      <w:sz w:val="21"/>
                      <w:szCs w:val="21"/>
                    </w:rPr>
                  </w:pPr>
                </w:p>
              </w:tc>
              <w:tc>
                <w:tcPr>
                  <w:tcW w:w="1018" w:type="dxa"/>
                  <w:vMerge w:val="continue"/>
                  <w:vAlign w:val="center"/>
                </w:tcPr>
                <w:p>
                  <w:pPr>
                    <w:spacing w:line="240" w:lineRule="auto"/>
                    <w:jc w:val="center"/>
                    <w:rPr>
                      <w:sz w:val="21"/>
                      <w:szCs w:val="21"/>
                    </w:rPr>
                  </w:pPr>
                </w:p>
              </w:tc>
              <w:tc>
                <w:tcPr>
                  <w:tcW w:w="1905" w:type="dxa"/>
                  <w:vAlign w:val="center"/>
                </w:tcPr>
                <w:p>
                  <w:pPr>
                    <w:spacing w:line="240" w:lineRule="auto"/>
                    <w:jc w:val="center"/>
                    <w:rPr>
                      <w:sz w:val="21"/>
                      <w:szCs w:val="21"/>
                    </w:rPr>
                  </w:pPr>
                  <w:r>
                    <w:rPr>
                      <w:sz w:val="21"/>
                      <w:szCs w:val="21"/>
                    </w:rPr>
                    <w:t>年平均</w:t>
                  </w:r>
                </w:p>
              </w:tc>
              <w:tc>
                <w:tcPr>
                  <w:tcW w:w="1435" w:type="dxa"/>
                  <w:vAlign w:val="center"/>
                </w:tcPr>
                <w:p>
                  <w:pPr>
                    <w:spacing w:line="240" w:lineRule="auto"/>
                    <w:jc w:val="center"/>
                    <w:rPr>
                      <w:sz w:val="21"/>
                      <w:szCs w:val="21"/>
                    </w:rPr>
                  </w:pPr>
                  <w:r>
                    <w:rPr>
                      <w:sz w:val="21"/>
                      <w:szCs w:val="21"/>
                    </w:rPr>
                    <w:t>40</w:t>
                  </w:r>
                  <w:r>
                    <w:rPr>
                      <w:bCs/>
                      <w:sz w:val="21"/>
                      <w:szCs w:val="21"/>
                    </w:rPr>
                    <w:t>ug</w:t>
                  </w:r>
                  <w:r>
                    <w:rPr>
                      <w:bCs/>
                      <w:kern w:val="0"/>
                      <w:sz w:val="21"/>
                      <w:szCs w:val="21"/>
                    </w:rPr>
                    <w:t>/m</w:t>
                  </w:r>
                  <w:r>
                    <w:rPr>
                      <w:bCs/>
                      <w:kern w:val="0"/>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192" w:type="dxa"/>
                  <w:vMerge w:val="continue"/>
                  <w:vAlign w:val="center"/>
                </w:tcPr>
                <w:p>
                  <w:pPr>
                    <w:spacing w:line="240" w:lineRule="auto"/>
                    <w:jc w:val="center"/>
                    <w:rPr>
                      <w:sz w:val="21"/>
                      <w:szCs w:val="21"/>
                    </w:rPr>
                  </w:pPr>
                </w:p>
              </w:tc>
              <w:tc>
                <w:tcPr>
                  <w:tcW w:w="2180" w:type="dxa"/>
                  <w:vMerge w:val="continue"/>
                  <w:vAlign w:val="center"/>
                </w:tcPr>
                <w:p>
                  <w:pPr>
                    <w:spacing w:line="240" w:lineRule="auto"/>
                    <w:jc w:val="center"/>
                    <w:rPr>
                      <w:sz w:val="21"/>
                      <w:szCs w:val="21"/>
                    </w:rPr>
                  </w:pPr>
                </w:p>
              </w:tc>
              <w:tc>
                <w:tcPr>
                  <w:tcW w:w="1018" w:type="dxa"/>
                  <w:vMerge w:val="restart"/>
                  <w:vAlign w:val="center"/>
                </w:tcPr>
                <w:p>
                  <w:pPr>
                    <w:spacing w:line="240" w:lineRule="auto"/>
                    <w:jc w:val="center"/>
                    <w:rPr>
                      <w:sz w:val="21"/>
                      <w:szCs w:val="21"/>
                    </w:rPr>
                  </w:pPr>
                  <w:r>
                    <w:rPr>
                      <w:sz w:val="21"/>
                      <w:szCs w:val="21"/>
                    </w:rPr>
                    <w:t>PM</w:t>
                  </w:r>
                  <w:r>
                    <w:rPr>
                      <w:sz w:val="21"/>
                      <w:szCs w:val="21"/>
                      <w:vertAlign w:val="subscript"/>
                    </w:rPr>
                    <w:t>10</w:t>
                  </w:r>
                </w:p>
              </w:tc>
              <w:tc>
                <w:tcPr>
                  <w:tcW w:w="1905" w:type="dxa"/>
                  <w:vAlign w:val="center"/>
                </w:tcPr>
                <w:p>
                  <w:pPr>
                    <w:spacing w:line="240" w:lineRule="auto"/>
                    <w:jc w:val="center"/>
                    <w:rPr>
                      <w:sz w:val="21"/>
                      <w:szCs w:val="21"/>
                    </w:rPr>
                  </w:pPr>
                  <w:r>
                    <w:rPr>
                      <w:sz w:val="21"/>
                      <w:szCs w:val="21"/>
                    </w:rPr>
                    <w:t>24小时平均</w:t>
                  </w:r>
                </w:p>
              </w:tc>
              <w:tc>
                <w:tcPr>
                  <w:tcW w:w="1435" w:type="dxa"/>
                  <w:vAlign w:val="center"/>
                </w:tcPr>
                <w:p>
                  <w:pPr>
                    <w:spacing w:line="240" w:lineRule="auto"/>
                    <w:jc w:val="center"/>
                    <w:rPr>
                      <w:sz w:val="21"/>
                      <w:szCs w:val="21"/>
                    </w:rPr>
                  </w:pPr>
                  <w:r>
                    <w:rPr>
                      <w:sz w:val="21"/>
                      <w:szCs w:val="21"/>
                    </w:rPr>
                    <w:t>150</w:t>
                  </w:r>
                  <w:r>
                    <w:rPr>
                      <w:bCs/>
                      <w:sz w:val="21"/>
                      <w:szCs w:val="21"/>
                    </w:rPr>
                    <w:t>ug</w:t>
                  </w:r>
                  <w:r>
                    <w:rPr>
                      <w:bCs/>
                      <w:kern w:val="0"/>
                      <w:sz w:val="21"/>
                      <w:szCs w:val="21"/>
                    </w:rPr>
                    <w:t>/m</w:t>
                  </w:r>
                  <w:r>
                    <w:rPr>
                      <w:bCs/>
                      <w:kern w:val="0"/>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192" w:type="dxa"/>
                  <w:vMerge w:val="continue"/>
                  <w:vAlign w:val="center"/>
                </w:tcPr>
                <w:p>
                  <w:pPr>
                    <w:spacing w:line="240" w:lineRule="auto"/>
                    <w:jc w:val="center"/>
                    <w:rPr>
                      <w:sz w:val="21"/>
                      <w:szCs w:val="21"/>
                    </w:rPr>
                  </w:pPr>
                </w:p>
              </w:tc>
              <w:tc>
                <w:tcPr>
                  <w:tcW w:w="2180" w:type="dxa"/>
                  <w:vMerge w:val="continue"/>
                  <w:vAlign w:val="center"/>
                </w:tcPr>
                <w:p>
                  <w:pPr>
                    <w:spacing w:line="240" w:lineRule="auto"/>
                    <w:jc w:val="center"/>
                    <w:rPr>
                      <w:sz w:val="21"/>
                      <w:szCs w:val="21"/>
                    </w:rPr>
                  </w:pPr>
                </w:p>
              </w:tc>
              <w:tc>
                <w:tcPr>
                  <w:tcW w:w="1018" w:type="dxa"/>
                  <w:vMerge w:val="continue"/>
                  <w:vAlign w:val="center"/>
                </w:tcPr>
                <w:p>
                  <w:pPr>
                    <w:spacing w:line="240" w:lineRule="auto"/>
                    <w:jc w:val="center"/>
                    <w:rPr>
                      <w:sz w:val="21"/>
                      <w:szCs w:val="21"/>
                    </w:rPr>
                  </w:pPr>
                </w:p>
              </w:tc>
              <w:tc>
                <w:tcPr>
                  <w:tcW w:w="1905" w:type="dxa"/>
                  <w:vAlign w:val="center"/>
                </w:tcPr>
                <w:p>
                  <w:pPr>
                    <w:spacing w:line="240" w:lineRule="auto"/>
                    <w:jc w:val="center"/>
                    <w:rPr>
                      <w:sz w:val="21"/>
                      <w:szCs w:val="21"/>
                    </w:rPr>
                  </w:pPr>
                  <w:r>
                    <w:rPr>
                      <w:sz w:val="21"/>
                      <w:szCs w:val="21"/>
                    </w:rPr>
                    <w:t>年平均</w:t>
                  </w:r>
                </w:p>
              </w:tc>
              <w:tc>
                <w:tcPr>
                  <w:tcW w:w="1435" w:type="dxa"/>
                  <w:vAlign w:val="center"/>
                </w:tcPr>
                <w:p>
                  <w:pPr>
                    <w:spacing w:line="240" w:lineRule="auto"/>
                    <w:jc w:val="center"/>
                    <w:rPr>
                      <w:sz w:val="21"/>
                      <w:szCs w:val="21"/>
                    </w:rPr>
                  </w:pPr>
                  <w:r>
                    <w:rPr>
                      <w:sz w:val="21"/>
                      <w:szCs w:val="21"/>
                    </w:rPr>
                    <w:t>70</w:t>
                  </w:r>
                  <w:r>
                    <w:rPr>
                      <w:bCs/>
                      <w:sz w:val="21"/>
                      <w:szCs w:val="21"/>
                    </w:rPr>
                    <w:t>ug</w:t>
                  </w:r>
                  <w:r>
                    <w:rPr>
                      <w:bCs/>
                      <w:kern w:val="0"/>
                      <w:sz w:val="21"/>
                      <w:szCs w:val="21"/>
                    </w:rPr>
                    <w:t>/m</w:t>
                  </w:r>
                  <w:r>
                    <w:rPr>
                      <w:bCs/>
                      <w:kern w:val="0"/>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192" w:type="dxa"/>
                  <w:vMerge w:val="continue"/>
                  <w:vAlign w:val="center"/>
                </w:tcPr>
                <w:p>
                  <w:pPr>
                    <w:spacing w:line="240" w:lineRule="auto"/>
                    <w:jc w:val="center"/>
                    <w:rPr>
                      <w:sz w:val="21"/>
                      <w:szCs w:val="21"/>
                    </w:rPr>
                  </w:pPr>
                </w:p>
              </w:tc>
              <w:tc>
                <w:tcPr>
                  <w:tcW w:w="2180" w:type="dxa"/>
                  <w:vMerge w:val="continue"/>
                  <w:vAlign w:val="center"/>
                </w:tcPr>
                <w:p>
                  <w:pPr>
                    <w:spacing w:line="240" w:lineRule="auto"/>
                    <w:jc w:val="center"/>
                    <w:rPr>
                      <w:sz w:val="21"/>
                      <w:szCs w:val="21"/>
                    </w:rPr>
                  </w:pPr>
                </w:p>
              </w:tc>
              <w:tc>
                <w:tcPr>
                  <w:tcW w:w="1018" w:type="dxa"/>
                  <w:vMerge w:val="restart"/>
                  <w:vAlign w:val="center"/>
                </w:tcPr>
                <w:p>
                  <w:pPr>
                    <w:adjustRightInd w:val="0"/>
                    <w:snapToGrid w:val="0"/>
                    <w:spacing w:line="240" w:lineRule="auto"/>
                    <w:jc w:val="center"/>
                    <w:rPr>
                      <w:sz w:val="21"/>
                      <w:szCs w:val="21"/>
                    </w:rPr>
                  </w:pPr>
                  <w:r>
                    <w:rPr>
                      <w:sz w:val="21"/>
                      <w:szCs w:val="21"/>
                    </w:rPr>
                    <w:t>PM</w:t>
                  </w:r>
                  <w:r>
                    <w:rPr>
                      <w:sz w:val="21"/>
                      <w:szCs w:val="21"/>
                      <w:vertAlign w:val="subscript"/>
                    </w:rPr>
                    <w:t>2.5</w:t>
                  </w:r>
                </w:p>
              </w:tc>
              <w:tc>
                <w:tcPr>
                  <w:tcW w:w="1905" w:type="dxa"/>
                  <w:vAlign w:val="center"/>
                </w:tcPr>
                <w:p>
                  <w:pPr>
                    <w:spacing w:line="240" w:lineRule="auto"/>
                    <w:jc w:val="center"/>
                    <w:rPr>
                      <w:sz w:val="21"/>
                      <w:szCs w:val="21"/>
                    </w:rPr>
                  </w:pPr>
                  <w:r>
                    <w:rPr>
                      <w:sz w:val="21"/>
                      <w:szCs w:val="21"/>
                    </w:rPr>
                    <w:t>24小时平均</w:t>
                  </w:r>
                </w:p>
              </w:tc>
              <w:tc>
                <w:tcPr>
                  <w:tcW w:w="1435" w:type="dxa"/>
                  <w:vAlign w:val="center"/>
                </w:tcPr>
                <w:p>
                  <w:pPr>
                    <w:spacing w:line="240" w:lineRule="auto"/>
                    <w:jc w:val="center"/>
                    <w:rPr>
                      <w:sz w:val="21"/>
                      <w:szCs w:val="21"/>
                    </w:rPr>
                  </w:pPr>
                  <w:r>
                    <w:rPr>
                      <w:sz w:val="21"/>
                      <w:szCs w:val="21"/>
                    </w:rPr>
                    <w:t>75</w:t>
                  </w:r>
                  <w:r>
                    <w:rPr>
                      <w:bCs/>
                      <w:sz w:val="21"/>
                      <w:szCs w:val="21"/>
                    </w:rPr>
                    <w:t>ug</w:t>
                  </w:r>
                  <w:r>
                    <w:rPr>
                      <w:bCs/>
                      <w:kern w:val="0"/>
                      <w:sz w:val="21"/>
                      <w:szCs w:val="21"/>
                    </w:rPr>
                    <w:t>/m</w:t>
                  </w:r>
                  <w:r>
                    <w:rPr>
                      <w:bCs/>
                      <w:kern w:val="0"/>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192" w:type="dxa"/>
                  <w:vMerge w:val="continue"/>
                  <w:vAlign w:val="center"/>
                </w:tcPr>
                <w:p>
                  <w:pPr>
                    <w:spacing w:line="240" w:lineRule="auto"/>
                    <w:jc w:val="center"/>
                    <w:rPr>
                      <w:sz w:val="21"/>
                      <w:szCs w:val="21"/>
                    </w:rPr>
                  </w:pPr>
                </w:p>
              </w:tc>
              <w:tc>
                <w:tcPr>
                  <w:tcW w:w="2180" w:type="dxa"/>
                  <w:vMerge w:val="continue"/>
                  <w:vAlign w:val="center"/>
                </w:tcPr>
                <w:p>
                  <w:pPr>
                    <w:spacing w:line="240" w:lineRule="auto"/>
                    <w:jc w:val="center"/>
                    <w:rPr>
                      <w:sz w:val="21"/>
                      <w:szCs w:val="21"/>
                    </w:rPr>
                  </w:pPr>
                </w:p>
              </w:tc>
              <w:tc>
                <w:tcPr>
                  <w:tcW w:w="1018" w:type="dxa"/>
                  <w:vMerge w:val="continue"/>
                  <w:vAlign w:val="center"/>
                </w:tcPr>
                <w:p>
                  <w:pPr>
                    <w:spacing w:line="240" w:lineRule="auto"/>
                    <w:jc w:val="center"/>
                    <w:rPr>
                      <w:sz w:val="21"/>
                      <w:szCs w:val="21"/>
                    </w:rPr>
                  </w:pPr>
                </w:p>
              </w:tc>
              <w:tc>
                <w:tcPr>
                  <w:tcW w:w="1905" w:type="dxa"/>
                  <w:vAlign w:val="center"/>
                </w:tcPr>
                <w:p>
                  <w:pPr>
                    <w:spacing w:line="240" w:lineRule="auto"/>
                    <w:jc w:val="center"/>
                    <w:rPr>
                      <w:sz w:val="21"/>
                      <w:szCs w:val="21"/>
                    </w:rPr>
                  </w:pPr>
                  <w:r>
                    <w:rPr>
                      <w:sz w:val="21"/>
                      <w:szCs w:val="21"/>
                    </w:rPr>
                    <w:t>年平均</w:t>
                  </w:r>
                </w:p>
              </w:tc>
              <w:tc>
                <w:tcPr>
                  <w:tcW w:w="1435" w:type="dxa"/>
                  <w:vAlign w:val="center"/>
                </w:tcPr>
                <w:p>
                  <w:pPr>
                    <w:spacing w:line="240" w:lineRule="auto"/>
                    <w:jc w:val="center"/>
                    <w:rPr>
                      <w:sz w:val="21"/>
                      <w:szCs w:val="21"/>
                    </w:rPr>
                  </w:pPr>
                  <w:r>
                    <w:rPr>
                      <w:sz w:val="21"/>
                      <w:szCs w:val="21"/>
                    </w:rPr>
                    <w:t>35</w:t>
                  </w:r>
                  <w:r>
                    <w:rPr>
                      <w:bCs/>
                      <w:sz w:val="21"/>
                      <w:szCs w:val="21"/>
                    </w:rPr>
                    <w:t>ug</w:t>
                  </w:r>
                  <w:r>
                    <w:rPr>
                      <w:bCs/>
                      <w:kern w:val="0"/>
                      <w:sz w:val="21"/>
                      <w:szCs w:val="21"/>
                    </w:rPr>
                    <w:t>/m</w:t>
                  </w:r>
                  <w:r>
                    <w:rPr>
                      <w:bCs/>
                      <w:kern w:val="0"/>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192" w:type="dxa"/>
                  <w:vMerge w:val="continue"/>
                  <w:vAlign w:val="center"/>
                </w:tcPr>
                <w:p>
                  <w:pPr>
                    <w:spacing w:line="240" w:lineRule="auto"/>
                    <w:jc w:val="center"/>
                    <w:rPr>
                      <w:sz w:val="21"/>
                      <w:szCs w:val="21"/>
                    </w:rPr>
                  </w:pPr>
                </w:p>
              </w:tc>
              <w:tc>
                <w:tcPr>
                  <w:tcW w:w="2180" w:type="dxa"/>
                  <w:vMerge w:val="continue"/>
                  <w:vAlign w:val="center"/>
                </w:tcPr>
                <w:p>
                  <w:pPr>
                    <w:spacing w:line="240" w:lineRule="auto"/>
                    <w:jc w:val="center"/>
                    <w:rPr>
                      <w:sz w:val="21"/>
                      <w:szCs w:val="21"/>
                    </w:rPr>
                  </w:pPr>
                </w:p>
              </w:tc>
              <w:tc>
                <w:tcPr>
                  <w:tcW w:w="1018" w:type="dxa"/>
                  <w:vMerge w:val="restart"/>
                  <w:vAlign w:val="center"/>
                </w:tcPr>
                <w:p>
                  <w:pPr>
                    <w:adjustRightInd w:val="0"/>
                    <w:snapToGrid w:val="0"/>
                    <w:spacing w:line="240" w:lineRule="auto"/>
                    <w:jc w:val="center"/>
                    <w:rPr>
                      <w:sz w:val="21"/>
                      <w:szCs w:val="21"/>
                    </w:rPr>
                  </w:pPr>
                  <w:r>
                    <w:rPr>
                      <w:sz w:val="21"/>
                      <w:szCs w:val="21"/>
                    </w:rPr>
                    <w:t>CO</w:t>
                  </w:r>
                </w:p>
              </w:tc>
              <w:tc>
                <w:tcPr>
                  <w:tcW w:w="1905" w:type="dxa"/>
                  <w:vAlign w:val="center"/>
                </w:tcPr>
                <w:p>
                  <w:pPr>
                    <w:spacing w:line="240" w:lineRule="auto"/>
                    <w:jc w:val="center"/>
                    <w:rPr>
                      <w:sz w:val="21"/>
                      <w:szCs w:val="21"/>
                    </w:rPr>
                  </w:pPr>
                  <w:r>
                    <w:rPr>
                      <w:sz w:val="21"/>
                      <w:szCs w:val="21"/>
                    </w:rPr>
                    <w:t>1小时平均</w:t>
                  </w:r>
                </w:p>
              </w:tc>
              <w:tc>
                <w:tcPr>
                  <w:tcW w:w="1435" w:type="dxa"/>
                  <w:vAlign w:val="center"/>
                </w:tcPr>
                <w:p>
                  <w:pPr>
                    <w:spacing w:line="240" w:lineRule="auto"/>
                    <w:jc w:val="center"/>
                    <w:rPr>
                      <w:sz w:val="21"/>
                      <w:szCs w:val="21"/>
                    </w:rPr>
                  </w:pPr>
                  <w:r>
                    <w:rPr>
                      <w:sz w:val="21"/>
                      <w:szCs w:val="21"/>
                    </w:rPr>
                    <w:t>10</w:t>
                  </w:r>
                  <w:r>
                    <w:rPr>
                      <w:bCs/>
                      <w:sz w:val="21"/>
                      <w:szCs w:val="21"/>
                    </w:rPr>
                    <w:t>mg</w:t>
                  </w:r>
                  <w:r>
                    <w:rPr>
                      <w:bCs/>
                      <w:kern w:val="0"/>
                      <w:sz w:val="21"/>
                      <w:szCs w:val="21"/>
                    </w:rPr>
                    <w:t>/m</w:t>
                  </w:r>
                  <w:r>
                    <w:rPr>
                      <w:bCs/>
                      <w:kern w:val="0"/>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192" w:type="dxa"/>
                  <w:vMerge w:val="continue"/>
                  <w:vAlign w:val="center"/>
                </w:tcPr>
                <w:p>
                  <w:pPr>
                    <w:spacing w:line="240" w:lineRule="auto"/>
                    <w:jc w:val="center"/>
                    <w:rPr>
                      <w:sz w:val="21"/>
                      <w:szCs w:val="21"/>
                    </w:rPr>
                  </w:pPr>
                </w:p>
              </w:tc>
              <w:tc>
                <w:tcPr>
                  <w:tcW w:w="2180" w:type="dxa"/>
                  <w:vMerge w:val="continue"/>
                  <w:vAlign w:val="center"/>
                </w:tcPr>
                <w:p>
                  <w:pPr>
                    <w:spacing w:line="240" w:lineRule="auto"/>
                    <w:jc w:val="center"/>
                    <w:rPr>
                      <w:sz w:val="21"/>
                      <w:szCs w:val="21"/>
                    </w:rPr>
                  </w:pPr>
                </w:p>
              </w:tc>
              <w:tc>
                <w:tcPr>
                  <w:tcW w:w="1018" w:type="dxa"/>
                  <w:vMerge w:val="continue"/>
                  <w:vAlign w:val="center"/>
                </w:tcPr>
                <w:p>
                  <w:pPr>
                    <w:adjustRightInd w:val="0"/>
                    <w:snapToGrid w:val="0"/>
                    <w:spacing w:line="240" w:lineRule="auto"/>
                    <w:jc w:val="center"/>
                    <w:rPr>
                      <w:sz w:val="21"/>
                      <w:szCs w:val="21"/>
                    </w:rPr>
                  </w:pPr>
                </w:p>
              </w:tc>
              <w:tc>
                <w:tcPr>
                  <w:tcW w:w="1905" w:type="dxa"/>
                  <w:vAlign w:val="center"/>
                </w:tcPr>
                <w:p>
                  <w:pPr>
                    <w:spacing w:line="240" w:lineRule="auto"/>
                    <w:jc w:val="center"/>
                    <w:rPr>
                      <w:sz w:val="21"/>
                      <w:szCs w:val="21"/>
                    </w:rPr>
                  </w:pPr>
                  <w:r>
                    <w:rPr>
                      <w:sz w:val="21"/>
                      <w:szCs w:val="21"/>
                    </w:rPr>
                    <w:t>24小时平均</w:t>
                  </w:r>
                </w:p>
              </w:tc>
              <w:tc>
                <w:tcPr>
                  <w:tcW w:w="1435" w:type="dxa"/>
                  <w:vAlign w:val="center"/>
                </w:tcPr>
                <w:p>
                  <w:pPr>
                    <w:spacing w:line="240" w:lineRule="auto"/>
                    <w:jc w:val="center"/>
                    <w:rPr>
                      <w:sz w:val="21"/>
                      <w:szCs w:val="21"/>
                    </w:rPr>
                  </w:pPr>
                  <w:r>
                    <w:rPr>
                      <w:sz w:val="21"/>
                      <w:szCs w:val="21"/>
                    </w:rPr>
                    <w:t>4</w:t>
                  </w:r>
                  <w:r>
                    <w:rPr>
                      <w:bCs/>
                      <w:sz w:val="21"/>
                      <w:szCs w:val="21"/>
                    </w:rPr>
                    <w:t>mg</w:t>
                  </w:r>
                  <w:r>
                    <w:rPr>
                      <w:bCs/>
                      <w:kern w:val="0"/>
                      <w:sz w:val="21"/>
                      <w:szCs w:val="21"/>
                    </w:rPr>
                    <w:t>/m</w:t>
                  </w:r>
                  <w:r>
                    <w:rPr>
                      <w:bCs/>
                      <w:kern w:val="0"/>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192" w:type="dxa"/>
                  <w:vMerge w:val="continue"/>
                  <w:vAlign w:val="center"/>
                </w:tcPr>
                <w:p>
                  <w:pPr>
                    <w:spacing w:line="240" w:lineRule="auto"/>
                    <w:jc w:val="center"/>
                    <w:rPr>
                      <w:sz w:val="21"/>
                      <w:szCs w:val="21"/>
                    </w:rPr>
                  </w:pPr>
                </w:p>
              </w:tc>
              <w:tc>
                <w:tcPr>
                  <w:tcW w:w="2180" w:type="dxa"/>
                  <w:vMerge w:val="continue"/>
                  <w:vAlign w:val="center"/>
                </w:tcPr>
                <w:p>
                  <w:pPr>
                    <w:spacing w:line="240" w:lineRule="auto"/>
                    <w:jc w:val="center"/>
                    <w:rPr>
                      <w:sz w:val="21"/>
                      <w:szCs w:val="21"/>
                    </w:rPr>
                  </w:pPr>
                </w:p>
              </w:tc>
              <w:tc>
                <w:tcPr>
                  <w:tcW w:w="1018" w:type="dxa"/>
                  <w:vMerge w:val="restart"/>
                  <w:vAlign w:val="center"/>
                </w:tcPr>
                <w:p>
                  <w:pPr>
                    <w:adjustRightInd w:val="0"/>
                    <w:snapToGrid w:val="0"/>
                    <w:spacing w:line="240" w:lineRule="auto"/>
                    <w:jc w:val="center"/>
                    <w:rPr>
                      <w:sz w:val="21"/>
                      <w:szCs w:val="21"/>
                    </w:rPr>
                  </w:pPr>
                  <w:r>
                    <w:rPr>
                      <w:sz w:val="21"/>
                      <w:szCs w:val="21"/>
                    </w:rPr>
                    <w:t>O</w:t>
                  </w:r>
                  <w:r>
                    <w:rPr>
                      <w:sz w:val="21"/>
                      <w:szCs w:val="21"/>
                      <w:vertAlign w:val="subscript"/>
                    </w:rPr>
                    <w:t>3</w:t>
                  </w:r>
                </w:p>
              </w:tc>
              <w:tc>
                <w:tcPr>
                  <w:tcW w:w="1905" w:type="dxa"/>
                  <w:vAlign w:val="center"/>
                </w:tcPr>
                <w:p>
                  <w:pPr>
                    <w:spacing w:line="240" w:lineRule="auto"/>
                    <w:jc w:val="center"/>
                    <w:rPr>
                      <w:sz w:val="21"/>
                      <w:szCs w:val="21"/>
                    </w:rPr>
                  </w:pPr>
                  <w:r>
                    <w:rPr>
                      <w:sz w:val="21"/>
                      <w:szCs w:val="21"/>
                    </w:rPr>
                    <w:t>1小时平均</w:t>
                  </w:r>
                </w:p>
              </w:tc>
              <w:tc>
                <w:tcPr>
                  <w:tcW w:w="1435" w:type="dxa"/>
                  <w:vAlign w:val="center"/>
                </w:tcPr>
                <w:p>
                  <w:pPr>
                    <w:spacing w:line="240" w:lineRule="auto"/>
                    <w:jc w:val="center"/>
                    <w:rPr>
                      <w:sz w:val="21"/>
                      <w:szCs w:val="21"/>
                    </w:rPr>
                  </w:pPr>
                  <w:r>
                    <w:rPr>
                      <w:sz w:val="21"/>
                      <w:szCs w:val="21"/>
                    </w:rPr>
                    <w:t>200</w:t>
                  </w:r>
                  <w:r>
                    <w:rPr>
                      <w:bCs/>
                      <w:sz w:val="21"/>
                      <w:szCs w:val="21"/>
                    </w:rPr>
                    <w:t>ug</w:t>
                  </w:r>
                  <w:r>
                    <w:rPr>
                      <w:bCs/>
                      <w:kern w:val="0"/>
                      <w:sz w:val="21"/>
                      <w:szCs w:val="21"/>
                    </w:rPr>
                    <w:t>/m</w:t>
                  </w:r>
                  <w:r>
                    <w:rPr>
                      <w:bCs/>
                      <w:kern w:val="0"/>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192" w:type="dxa"/>
                  <w:vMerge w:val="continue"/>
                  <w:vAlign w:val="center"/>
                </w:tcPr>
                <w:p>
                  <w:pPr>
                    <w:spacing w:line="240" w:lineRule="auto"/>
                    <w:jc w:val="center"/>
                    <w:rPr>
                      <w:sz w:val="21"/>
                      <w:szCs w:val="21"/>
                    </w:rPr>
                  </w:pPr>
                </w:p>
              </w:tc>
              <w:tc>
                <w:tcPr>
                  <w:tcW w:w="2180" w:type="dxa"/>
                  <w:vMerge w:val="continue"/>
                  <w:vAlign w:val="center"/>
                </w:tcPr>
                <w:p>
                  <w:pPr>
                    <w:spacing w:line="240" w:lineRule="auto"/>
                    <w:jc w:val="center"/>
                    <w:rPr>
                      <w:sz w:val="21"/>
                      <w:szCs w:val="21"/>
                    </w:rPr>
                  </w:pPr>
                </w:p>
              </w:tc>
              <w:tc>
                <w:tcPr>
                  <w:tcW w:w="1018" w:type="dxa"/>
                  <w:vMerge w:val="continue"/>
                  <w:vAlign w:val="center"/>
                </w:tcPr>
                <w:p>
                  <w:pPr>
                    <w:adjustRightInd w:val="0"/>
                    <w:snapToGrid w:val="0"/>
                    <w:spacing w:line="240" w:lineRule="auto"/>
                    <w:jc w:val="center"/>
                    <w:rPr>
                      <w:sz w:val="21"/>
                      <w:szCs w:val="21"/>
                    </w:rPr>
                  </w:pPr>
                </w:p>
              </w:tc>
              <w:tc>
                <w:tcPr>
                  <w:tcW w:w="1905" w:type="dxa"/>
                  <w:vAlign w:val="center"/>
                </w:tcPr>
                <w:p>
                  <w:pPr>
                    <w:spacing w:line="240" w:lineRule="auto"/>
                    <w:jc w:val="center"/>
                    <w:rPr>
                      <w:sz w:val="21"/>
                      <w:szCs w:val="21"/>
                    </w:rPr>
                  </w:pPr>
                  <w:r>
                    <w:rPr>
                      <w:sz w:val="21"/>
                      <w:szCs w:val="21"/>
                    </w:rPr>
                    <w:t>日最大8小时平均</w:t>
                  </w:r>
                </w:p>
              </w:tc>
              <w:tc>
                <w:tcPr>
                  <w:tcW w:w="1435" w:type="dxa"/>
                  <w:vAlign w:val="center"/>
                </w:tcPr>
                <w:p>
                  <w:pPr>
                    <w:spacing w:line="240" w:lineRule="auto"/>
                    <w:jc w:val="center"/>
                    <w:rPr>
                      <w:sz w:val="21"/>
                      <w:szCs w:val="21"/>
                    </w:rPr>
                  </w:pPr>
                  <w:r>
                    <w:rPr>
                      <w:sz w:val="21"/>
                      <w:szCs w:val="21"/>
                    </w:rPr>
                    <w:t>160</w:t>
                  </w:r>
                  <w:r>
                    <w:rPr>
                      <w:bCs/>
                      <w:sz w:val="21"/>
                      <w:szCs w:val="21"/>
                    </w:rPr>
                    <w:t>ug</w:t>
                  </w:r>
                  <w:r>
                    <w:rPr>
                      <w:bCs/>
                      <w:kern w:val="0"/>
                      <w:sz w:val="21"/>
                      <w:szCs w:val="21"/>
                    </w:rPr>
                    <w:t>/m</w:t>
                  </w:r>
                  <w:r>
                    <w:rPr>
                      <w:bCs/>
                      <w:kern w:val="0"/>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192" w:type="dxa"/>
                  <w:vMerge w:val="continue"/>
                  <w:vAlign w:val="center"/>
                </w:tcPr>
                <w:p>
                  <w:pPr>
                    <w:spacing w:line="240" w:lineRule="auto"/>
                    <w:jc w:val="center"/>
                    <w:rPr>
                      <w:sz w:val="21"/>
                      <w:szCs w:val="21"/>
                    </w:rPr>
                  </w:pPr>
                </w:p>
              </w:tc>
              <w:tc>
                <w:tcPr>
                  <w:tcW w:w="2180" w:type="dxa"/>
                  <w:vMerge w:val="continue"/>
                  <w:vAlign w:val="center"/>
                </w:tcPr>
                <w:p>
                  <w:pPr>
                    <w:spacing w:line="240" w:lineRule="auto"/>
                    <w:jc w:val="center"/>
                    <w:rPr>
                      <w:sz w:val="21"/>
                      <w:szCs w:val="21"/>
                    </w:rPr>
                  </w:pPr>
                </w:p>
              </w:tc>
              <w:tc>
                <w:tcPr>
                  <w:tcW w:w="1018" w:type="dxa"/>
                  <w:vMerge w:val="restart"/>
                  <w:vAlign w:val="center"/>
                </w:tcPr>
                <w:p>
                  <w:pPr>
                    <w:adjustRightInd w:val="0"/>
                    <w:snapToGrid w:val="0"/>
                    <w:spacing w:line="240" w:lineRule="auto"/>
                    <w:jc w:val="center"/>
                    <w:rPr>
                      <w:sz w:val="21"/>
                      <w:szCs w:val="21"/>
                    </w:rPr>
                  </w:pPr>
                  <w:r>
                    <w:rPr>
                      <w:rFonts w:hint="eastAsia"/>
                      <w:sz w:val="21"/>
                      <w:szCs w:val="21"/>
                    </w:rPr>
                    <w:t>TSP</w:t>
                  </w:r>
                </w:p>
              </w:tc>
              <w:tc>
                <w:tcPr>
                  <w:tcW w:w="1905" w:type="dxa"/>
                  <w:vAlign w:val="center"/>
                </w:tcPr>
                <w:p>
                  <w:pPr>
                    <w:spacing w:line="240" w:lineRule="auto"/>
                    <w:jc w:val="center"/>
                    <w:rPr>
                      <w:sz w:val="21"/>
                      <w:szCs w:val="21"/>
                    </w:rPr>
                  </w:pPr>
                  <w:r>
                    <w:rPr>
                      <w:sz w:val="21"/>
                      <w:szCs w:val="21"/>
                    </w:rPr>
                    <w:t>24小时平均</w:t>
                  </w:r>
                </w:p>
              </w:tc>
              <w:tc>
                <w:tcPr>
                  <w:tcW w:w="1435" w:type="dxa"/>
                  <w:vAlign w:val="center"/>
                </w:tcPr>
                <w:p>
                  <w:pPr>
                    <w:spacing w:line="240" w:lineRule="auto"/>
                    <w:jc w:val="center"/>
                    <w:rPr>
                      <w:sz w:val="21"/>
                      <w:szCs w:val="21"/>
                    </w:rPr>
                  </w:pPr>
                  <w:r>
                    <w:rPr>
                      <w:rFonts w:hint="eastAsia"/>
                      <w:sz w:val="21"/>
                      <w:szCs w:val="21"/>
                    </w:rPr>
                    <w:t>300</w:t>
                  </w:r>
                  <w:r>
                    <w:rPr>
                      <w:bCs/>
                      <w:sz w:val="21"/>
                      <w:szCs w:val="21"/>
                    </w:rPr>
                    <w:t>ug</w:t>
                  </w:r>
                  <w:r>
                    <w:rPr>
                      <w:bCs/>
                      <w:kern w:val="0"/>
                      <w:sz w:val="21"/>
                      <w:szCs w:val="21"/>
                    </w:rPr>
                    <w:t>/m</w:t>
                  </w:r>
                  <w:r>
                    <w:rPr>
                      <w:bCs/>
                      <w:kern w:val="0"/>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192" w:type="dxa"/>
                  <w:vMerge w:val="continue"/>
                  <w:vAlign w:val="center"/>
                </w:tcPr>
                <w:p>
                  <w:pPr>
                    <w:spacing w:line="240" w:lineRule="auto"/>
                    <w:jc w:val="center"/>
                    <w:rPr>
                      <w:sz w:val="21"/>
                      <w:szCs w:val="21"/>
                    </w:rPr>
                  </w:pPr>
                </w:p>
              </w:tc>
              <w:tc>
                <w:tcPr>
                  <w:tcW w:w="2180" w:type="dxa"/>
                  <w:vMerge w:val="continue"/>
                  <w:vAlign w:val="center"/>
                </w:tcPr>
                <w:p>
                  <w:pPr>
                    <w:spacing w:line="240" w:lineRule="auto"/>
                    <w:jc w:val="center"/>
                    <w:rPr>
                      <w:sz w:val="21"/>
                      <w:szCs w:val="21"/>
                    </w:rPr>
                  </w:pPr>
                </w:p>
              </w:tc>
              <w:tc>
                <w:tcPr>
                  <w:tcW w:w="1018" w:type="dxa"/>
                  <w:vMerge w:val="continue"/>
                  <w:vAlign w:val="center"/>
                </w:tcPr>
                <w:p>
                  <w:pPr>
                    <w:adjustRightInd w:val="0"/>
                    <w:snapToGrid w:val="0"/>
                    <w:spacing w:line="240" w:lineRule="auto"/>
                    <w:jc w:val="center"/>
                    <w:rPr>
                      <w:sz w:val="21"/>
                      <w:szCs w:val="21"/>
                    </w:rPr>
                  </w:pPr>
                </w:p>
              </w:tc>
              <w:tc>
                <w:tcPr>
                  <w:tcW w:w="1905" w:type="dxa"/>
                  <w:vAlign w:val="center"/>
                </w:tcPr>
                <w:p>
                  <w:pPr>
                    <w:spacing w:line="240" w:lineRule="auto"/>
                    <w:jc w:val="center"/>
                    <w:rPr>
                      <w:sz w:val="21"/>
                      <w:szCs w:val="21"/>
                    </w:rPr>
                  </w:pPr>
                  <w:r>
                    <w:rPr>
                      <w:sz w:val="21"/>
                      <w:szCs w:val="21"/>
                    </w:rPr>
                    <w:t>年平均</w:t>
                  </w:r>
                </w:p>
              </w:tc>
              <w:tc>
                <w:tcPr>
                  <w:tcW w:w="1435" w:type="dxa"/>
                  <w:vAlign w:val="center"/>
                </w:tcPr>
                <w:p>
                  <w:pPr>
                    <w:spacing w:line="240" w:lineRule="auto"/>
                    <w:jc w:val="center"/>
                    <w:rPr>
                      <w:sz w:val="21"/>
                      <w:szCs w:val="21"/>
                    </w:rPr>
                  </w:pPr>
                  <w:r>
                    <w:rPr>
                      <w:rFonts w:hint="eastAsia"/>
                      <w:sz w:val="21"/>
                      <w:szCs w:val="21"/>
                    </w:rPr>
                    <w:t>20</w:t>
                  </w:r>
                  <w:r>
                    <w:rPr>
                      <w:sz w:val="21"/>
                      <w:szCs w:val="21"/>
                    </w:rPr>
                    <w:t>0</w:t>
                  </w:r>
                  <w:r>
                    <w:rPr>
                      <w:bCs/>
                      <w:sz w:val="21"/>
                      <w:szCs w:val="21"/>
                    </w:rPr>
                    <w:t>ug</w:t>
                  </w:r>
                  <w:r>
                    <w:rPr>
                      <w:bCs/>
                      <w:kern w:val="0"/>
                      <w:sz w:val="21"/>
                      <w:szCs w:val="21"/>
                    </w:rPr>
                    <w:t>/m</w:t>
                  </w:r>
                  <w:r>
                    <w:rPr>
                      <w:bCs/>
                      <w:kern w:val="0"/>
                      <w:sz w:val="21"/>
                      <w:szCs w:val="21"/>
                      <w:vertAlign w:val="superscript"/>
                    </w:rPr>
                    <w:t>3</w:t>
                  </w:r>
                </w:p>
              </w:tc>
            </w:tr>
          </w:tbl>
          <w:p>
            <w:pPr>
              <w:widowControl w:val="0"/>
              <w:ind w:firstLine="480" w:firstLineChars="200"/>
              <w:rPr>
                <w:rFonts w:eastAsiaTheme="minorEastAsia"/>
                <w:lang w:val="en-GB"/>
              </w:rPr>
            </w:pPr>
            <w:r>
              <w:rPr>
                <w:rFonts w:eastAsiaTheme="minorEastAsia"/>
                <w:lang w:val="en-GB"/>
              </w:rPr>
              <w:t>2、声环境质量</w:t>
            </w:r>
          </w:p>
          <w:p>
            <w:pPr>
              <w:widowControl w:val="0"/>
              <w:ind w:firstLine="480" w:firstLineChars="200"/>
              <w:rPr>
                <w:rFonts w:eastAsiaTheme="minorEastAsia"/>
                <w:b/>
                <w:lang w:val="en-GB"/>
              </w:rPr>
            </w:pPr>
            <w:r>
              <w:rPr>
                <w:rFonts w:eastAsiaTheme="minorEastAsia"/>
                <w:lang w:val="en-GB"/>
              </w:rPr>
              <w:t>执行</w:t>
            </w:r>
            <w:r>
              <w:rPr>
                <w:rFonts w:eastAsiaTheme="minorEastAsia"/>
                <w:lang w:val="en-GB" w:eastAsia="zh-TW"/>
              </w:rPr>
              <w:t>《声环境质量标准》（GB3096-2008）中</w:t>
            </w:r>
            <w:r>
              <w:rPr>
                <w:rFonts w:eastAsiaTheme="minorEastAsia"/>
                <w:lang w:val="en-GB"/>
              </w:rPr>
              <w:t>2类标准。</w:t>
            </w:r>
            <w:r>
              <w:t>具体标准限值见表</w:t>
            </w:r>
            <w:r>
              <w:rPr>
                <w:rFonts w:hint="eastAsia"/>
              </w:rPr>
              <w:t>4-</w:t>
            </w:r>
            <w:r>
              <w:t>2</w:t>
            </w:r>
            <w:r>
              <w:rPr>
                <w:rFonts w:hint="eastAsia"/>
              </w:rPr>
              <w:t>。</w:t>
            </w:r>
          </w:p>
          <w:p>
            <w:pPr>
              <w:pStyle w:val="44"/>
              <w:widowControl w:val="0"/>
              <w:numPr>
                <w:ilvl w:val="0"/>
                <w:numId w:val="5"/>
              </w:numPr>
              <w:spacing w:line="240" w:lineRule="auto"/>
              <w:ind w:left="0" w:firstLine="0" w:firstLineChars="0"/>
              <w:jc w:val="center"/>
              <w:rPr>
                <w:rFonts w:eastAsiaTheme="minorEastAsia"/>
                <w:b/>
                <w:kern w:val="28"/>
                <w:sz w:val="21"/>
                <w:szCs w:val="28"/>
                <w:lang w:val="en-GB"/>
              </w:rPr>
            </w:pPr>
            <w:r>
              <w:rPr>
                <w:rFonts w:eastAsiaTheme="minorEastAsia"/>
                <w:b/>
                <w:kern w:val="28"/>
                <w:sz w:val="21"/>
                <w:szCs w:val="28"/>
                <w:lang w:val="en-GB"/>
              </w:rPr>
              <w:t>声环境质量标准</w:t>
            </w:r>
          </w:p>
          <w:tbl>
            <w:tblPr>
              <w:tblStyle w:val="24"/>
              <w:tblW w:w="7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5"/>
              <w:gridCol w:w="2263"/>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888" w:type="pct"/>
                  <w:vAlign w:val="center"/>
                </w:tcPr>
                <w:p>
                  <w:pPr>
                    <w:spacing w:line="240" w:lineRule="auto"/>
                    <w:jc w:val="center"/>
                    <w:rPr>
                      <w:sz w:val="21"/>
                      <w:szCs w:val="21"/>
                    </w:rPr>
                  </w:pPr>
                  <w:r>
                    <w:rPr>
                      <w:sz w:val="21"/>
                      <w:szCs w:val="21"/>
                    </w:rPr>
                    <w:t>执行标准</w:t>
                  </w:r>
                </w:p>
              </w:tc>
              <w:tc>
                <w:tcPr>
                  <w:tcW w:w="1446" w:type="pct"/>
                  <w:vAlign w:val="center"/>
                </w:tcPr>
                <w:p>
                  <w:pPr>
                    <w:spacing w:line="240" w:lineRule="auto"/>
                    <w:jc w:val="center"/>
                    <w:rPr>
                      <w:sz w:val="21"/>
                      <w:szCs w:val="21"/>
                    </w:rPr>
                  </w:pPr>
                  <w:r>
                    <w:rPr>
                      <w:sz w:val="21"/>
                      <w:szCs w:val="21"/>
                    </w:rPr>
                    <w:t>昼间标准</w:t>
                  </w:r>
                </w:p>
              </w:tc>
              <w:tc>
                <w:tcPr>
                  <w:tcW w:w="1666" w:type="pct"/>
                  <w:vAlign w:val="center"/>
                </w:tcPr>
                <w:p>
                  <w:pPr>
                    <w:spacing w:line="240" w:lineRule="auto"/>
                    <w:jc w:val="center"/>
                    <w:rPr>
                      <w:sz w:val="21"/>
                      <w:szCs w:val="21"/>
                    </w:rPr>
                  </w:pPr>
                  <w:r>
                    <w:rPr>
                      <w:sz w:val="21"/>
                      <w:szCs w:val="21"/>
                    </w:rPr>
                    <w:t>夜间标准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1888" w:type="pct"/>
                </w:tcPr>
                <w:p>
                  <w:pPr>
                    <w:spacing w:line="240" w:lineRule="auto"/>
                    <w:jc w:val="center"/>
                    <w:rPr>
                      <w:sz w:val="21"/>
                      <w:szCs w:val="21"/>
                    </w:rPr>
                  </w:pPr>
                  <w:r>
                    <w:rPr>
                      <w:sz w:val="21"/>
                      <w:szCs w:val="21"/>
                    </w:rPr>
                    <w:t>《声环境质量标准》</w:t>
                  </w:r>
                </w:p>
                <w:p>
                  <w:pPr>
                    <w:widowControl w:val="0"/>
                    <w:spacing w:line="240" w:lineRule="auto"/>
                    <w:jc w:val="center"/>
                    <w:rPr>
                      <w:rFonts w:eastAsiaTheme="minorEastAsia"/>
                      <w:sz w:val="21"/>
                      <w:szCs w:val="21"/>
                    </w:rPr>
                  </w:pPr>
                  <w:r>
                    <w:rPr>
                      <w:sz w:val="21"/>
                      <w:szCs w:val="21"/>
                    </w:rPr>
                    <w:t>（GB3096-2008）2类标准</w:t>
                  </w:r>
                </w:p>
              </w:tc>
              <w:tc>
                <w:tcPr>
                  <w:tcW w:w="1446" w:type="pct"/>
                  <w:vAlign w:val="center"/>
                </w:tcPr>
                <w:p>
                  <w:pPr>
                    <w:widowControl w:val="0"/>
                    <w:spacing w:line="240" w:lineRule="auto"/>
                    <w:jc w:val="center"/>
                    <w:rPr>
                      <w:rFonts w:eastAsiaTheme="minorEastAsia"/>
                      <w:sz w:val="21"/>
                      <w:szCs w:val="21"/>
                    </w:rPr>
                  </w:pPr>
                  <w:r>
                    <w:rPr>
                      <w:rFonts w:eastAsiaTheme="minorEastAsia"/>
                      <w:sz w:val="21"/>
                      <w:szCs w:val="21"/>
                    </w:rPr>
                    <w:t>60</w:t>
                  </w:r>
                </w:p>
              </w:tc>
              <w:tc>
                <w:tcPr>
                  <w:tcW w:w="1666" w:type="pct"/>
                  <w:vAlign w:val="center"/>
                </w:tcPr>
                <w:p>
                  <w:pPr>
                    <w:widowControl w:val="0"/>
                    <w:spacing w:line="240" w:lineRule="auto"/>
                    <w:jc w:val="center"/>
                    <w:rPr>
                      <w:rFonts w:eastAsiaTheme="minorEastAsia"/>
                      <w:sz w:val="21"/>
                      <w:szCs w:val="21"/>
                    </w:rPr>
                  </w:pPr>
                  <w:r>
                    <w:rPr>
                      <w:rFonts w:eastAsiaTheme="minorEastAsia"/>
                      <w:sz w:val="21"/>
                      <w:szCs w:val="21"/>
                    </w:rPr>
                    <w:t>50</w:t>
                  </w:r>
                </w:p>
              </w:tc>
            </w:tr>
          </w:tbl>
          <w:p>
            <w:pPr>
              <w:pStyle w:val="56"/>
              <w:widowControl w:val="0"/>
              <w:spacing w:before="156" w:line="240" w:lineRule="auto"/>
              <w:rPr>
                <w:rFonts w:eastAsiaTheme="minorEastAsia"/>
                <w:b w:val="0"/>
                <w:sz w:val="28"/>
                <w:szCs w:val="28"/>
              </w:rPr>
            </w:pPr>
          </w:p>
          <w:p>
            <w:pPr>
              <w:pStyle w:val="56"/>
              <w:widowControl w:val="0"/>
              <w:spacing w:before="156" w:line="240" w:lineRule="auto"/>
              <w:rPr>
                <w:rFonts w:eastAsiaTheme="minorEastAsia"/>
                <w:b w:val="0"/>
                <w:sz w:val="28"/>
                <w:szCs w:val="28"/>
              </w:rPr>
            </w:pPr>
          </w:p>
          <w:p>
            <w:pPr>
              <w:pStyle w:val="56"/>
              <w:widowControl w:val="0"/>
              <w:spacing w:before="156" w:line="240" w:lineRule="auto"/>
              <w:rPr>
                <w:rFonts w:eastAsiaTheme="minorEastAsia"/>
                <w:b w:val="0"/>
                <w:sz w:val="28"/>
                <w:szCs w:val="28"/>
              </w:rPr>
            </w:pPr>
          </w:p>
          <w:p>
            <w:pPr>
              <w:pStyle w:val="56"/>
              <w:widowControl w:val="0"/>
              <w:spacing w:before="156" w:line="240" w:lineRule="auto"/>
              <w:rPr>
                <w:rFonts w:eastAsiaTheme="minorEastAsia"/>
                <w:b w:val="0"/>
                <w:sz w:val="28"/>
                <w:szCs w:val="28"/>
              </w:rPr>
            </w:pPr>
          </w:p>
          <w:p>
            <w:pPr>
              <w:pStyle w:val="56"/>
              <w:widowControl w:val="0"/>
              <w:spacing w:before="156" w:line="240" w:lineRule="auto"/>
              <w:jc w:val="center"/>
              <w:rPr>
                <w:rFonts w:eastAsiaTheme="minorEastAsia"/>
                <w:b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jc w:val="center"/>
        </w:trPr>
        <w:tc>
          <w:tcPr>
            <w:tcW w:w="453" w:type="dxa"/>
            <w:vAlign w:val="center"/>
          </w:tcPr>
          <w:p>
            <w:pPr>
              <w:pStyle w:val="56"/>
              <w:widowControl w:val="0"/>
              <w:spacing w:beforeLines="0" w:line="240" w:lineRule="auto"/>
              <w:jc w:val="center"/>
              <w:outlineLvl w:val="0"/>
              <w:rPr>
                <w:rFonts w:eastAsiaTheme="minorEastAsia"/>
                <w:sz w:val="22"/>
                <w:szCs w:val="28"/>
              </w:rPr>
            </w:pPr>
            <w:r>
              <w:rPr>
                <w:rFonts w:eastAsiaTheme="minorEastAsia"/>
                <w:sz w:val="22"/>
                <w:szCs w:val="28"/>
              </w:rPr>
              <w:t>污</w:t>
            </w:r>
          </w:p>
          <w:p>
            <w:pPr>
              <w:pStyle w:val="56"/>
              <w:widowControl w:val="0"/>
              <w:spacing w:beforeLines="0" w:line="240" w:lineRule="auto"/>
              <w:jc w:val="center"/>
              <w:outlineLvl w:val="0"/>
              <w:rPr>
                <w:rFonts w:eastAsiaTheme="minorEastAsia"/>
                <w:sz w:val="22"/>
                <w:szCs w:val="28"/>
              </w:rPr>
            </w:pPr>
            <w:r>
              <w:rPr>
                <w:rFonts w:eastAsiaTheme="minorEastAsia"/>
                <w:sz w:val="22"/>
                <w:szCs w:val="28"/>
              </w:rPr>
              <w:t>染</w:t>
            </w:r>
          </w:p>
          <w:p>
            <w:pPr>
              <w:pStyle w:val="56"/>
              <w:widowControl w:val="0"/>
              <w:spacing w:beforeLines="0" w:line="240" w:lineRule="auto"/>
              <w:jc w:val="center"/>
              <w:outlineLvl w:val="0"/>
              <w:rPr>
                <w:rFonts w:eastAsiaTheme="minorEastAsia"/>
                <w:sz w:val="22"/>
                <w:szCs w:val="28"/>
              </w:rPr>
            </w:pPr>
            <w:r>
              <w:rPr>
                <w:rFonts w:eastAsiaTheme="minorEastAsia"/>
                <w:sz w:val="22"/>
                <w:szCs w:val="28"/>
              </w:rPr>
              <w:t>物</w:t>
            </w:r>
          </w:p>
          <w:p>
            <w:pPr>
              <w:pStyle w:val="56"/>
              <w:widowControl w:val="0"/>
              <w:spacing w:beforeLines="0" w:line="240" w:lineRule="auto"/>
              <w:jc w:val="center"/>
              <w:outlineLvl w:val="0"/>
              <w:rPr>
                <w:rFonts w:eastAsiaTheme="minorEastAsia"/>
                <w:sz w:val="22"/>
                <w:szCs w:val="28"/>
              </w:rPr>
            </w:pPr>
            <w:r>
              <w:rPr>
                <w:rFonts w:eastAsiaTheme="minorEastAsia"/>
                <w:sz w:val="22"/>
                <w:szCs w:val="28"/>
              </w:rPr>
              <w:t>排</w:t>
            </w:r>
          </w:p>
          <w:p>
            <w:pPr>
              <w:pStyle w:val="56"/>
              <w:widowControl w:val="0"/>
              <w:spacing w:beforeLines="0" w:line="240" w:lineRule="auto"/>
              <w:jc w:val="center"/>
              <w:outlineLvl w:val="0"/>
              <w:rPr>
                <w:rFonts w:eastAsiaTheme="minorEastAsia"/>
                <w:sz w:val="22"/>
                <w:szCs w:val="28"/>
              </w:rPr>
            </w:pPr>
            <w:r>
              <w:rPr>
                <w:rFonts w:eastAsiaTheme="minorEastAsia"/>
                <w:sz w:val="22"/>
                <w:szCs w:val="28"/>
              </w:rPr>
              <w:t>放</w:t>
            </w:r>
          </w:p>
          <w:p>
            <w:pPr>
              <w:pStyle w:val="56"/>
              <w:widowControl w:val="0"/>
              <w:spacing w:beforeLines="0" w:line="240" w:lineRule="auto"/>
              <w:jc w:val="center"/>
              <w:outlineLvl w:val="0"/>
              <w:rPr>
                <w:rFonts w:eastAsiaTheme="minorEastAsia"/>
                <w:sz w:val="22"/>
                <w:szCs w:val="28"/>
              </w:rPr>
            </w:pPr>
            <w:r>
              <w:rPr>
                <w:rFonts w:eastAsiaTheme="minorEastAsia"/>
                <w:sz w:val="22"/>
                <w:szCs w:val="28"/>
              </w:rPr>
              <w:t>标</w:t>
            </w:r>
          </w:p>
          <w:p>
            <w:pPr>
              <w:pStyle w:val="56"/>
              <w:widowControl w:val="0"/>
              <w:spacing w:beforeLines="0" w:line="240" w:lineRule="auto"/>
              <w:jc w:val="center"/>
              <w:outlineLvl w:val="0"/>
              <w:rPr>
                <w:rFonts w:eastAsiaTheme="minorEastAsia"/>
                <w:szCs w:val="28"/>
              </w:rPr>
            </w:pPr>
            <w:r>
              <w:rPr>
                <w:rFonts w:eastAsiaTheme="minorEastAsia"/>
                <w:sz w:val="22"/>
                <w:szCs w:val="28"/>
              </w:rPr>
              <w:t>准</w:t>
            </w:r>
          </w:p>
        </w:tc>
        <w:tc>
          <w:tcPr>
            <w:tcW w:w="7906" w:type="dxa"/>
            <w:vAlign w:val="center"/>
          </w:tcPr>
          <w:p>
            <w:pPr>
              <w:widowControl w:val="0"/>
              <w:autoSpaceDE w:val="0"/>
              <w:autoSpaceDN w:val="0"/>
              <w:ind w:firstLine="480" w:firstLineChars="200"/>
              <w:rPr>
                <w:rFonts w:eastAsiaTheme="minorEastAsia"/>
              </w:rPr>
            </w:pPr>
            <w:r>
              <w:rPr>
                <w:rFonts w:eastAsiaTheme="minorEastAsia"/>
              </w:rPr>
              <w:t>1、废气</w:t>
            </w:r>
          </w:p>
          <w:p>
            <w:pPr>
              <w:widowControl w:val="0"/>
              <w:ind w:firstLine="480" w:firstLineChars="200"/>
              <w:rPr>
                <w:rFonts w:eastAsiaTheme="minorEastAsia"/>
                <w:b/>
                <w:lang w:val="en-GB"/>
              </w:rPr>
            </w:pPr>
            <w:r>
              <w:rPr>
                <w:rFonts w:eastAsiaTheme="minorEastAsia"/>
                <w:kern w:val="28"/>
              </w:rPr>
              <w:t>施工期扬尘执行《施工场界扬尘排放限值》（DB61/1078-2017）中限值；运营期颗粒物执行《大气污染物综合排放标准》（GB16297-1996）表2中浓度限值。</w:t>
            </w:r>
            <w:r>
              <w:t>具体标准限值见表</w:t>
            </w:r>
            <w:r>
              <w:rPr>
                <w:rFonts w:hint="eastAsia"/>
              </w:rPr>
              <w:t>4-</w:t>
            </w:r>
            <w:r>
              <w:t>3</w:t>
            </w:r>
            <w:r>
              <w:rPr>
                <w:rFonts w:hint="eastAsia"/>
              </w:rPr>
              <w:t>。</w:t>
            </w:r>
          </w:p>
          <w:p>
            <w:pPr>
              <w:pStyle w:val="44"/>
              <w:widowControl w:val="0"/>
              <w:numPr>
                <w:ilvl w:val="0"/>
                <w:numId w:val="5"/>
              </w:numPr>
              <w:spacing w:line="240" w:lineRule="auto"/>
              <w:ind w:left="0" w:firstLine="0" w:firstLineChars="0"/>
              <w:jc w:val="center"/>
              <w:rPr>
                <w:rFonts w:eastAsiaTheme="minorEastAsia"/>
                <w:b/>
                <w:kern w:val="28"/>
                <w:sz w:val="21"/>
                <w:szCs w:val="21"/>
              </w:rPr>
            </w:pPr>
            <w:r>
              <w:rPr>
                <w:b/>
                <w:bCs/>
                <w:sz w:val="21"/>
                <w:szCs w:val="21"/>
              </w:rPr>
              <w:t>大气污染物排放标准</w:t>
            </w:r>
          </w:p>
          <w:tbl>
            <w:tblPr>
              <w:tblStyle w:val="24"/>
              <w:tblW w:w="79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2"/>
              <w:gridCol w:w="1325"/>
              <w:gridCol w:w="2638"/>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932" w:type="dxa"/>
                  <w:vAlign w:val="center"/>
                </w:tcPr>
                <w:p>
                  <w:pPr>
                    <w:spacing w:line="240" w:lineRule="auto"/>
                    <w:jc w:val="center"/>
                    <w:rPr>
                      <w:sz w:val="21"/>
                      <w:szCs w:val="21"/>
                    </w:rPr>
                  </w:pPr>
                  <w:r>
                    <w:rPr>
                      <w:sz w:val="21"/>
                      <w:szCs w:val="21"/>
                    </w:rPr>
                    <w:t>标准名称及级（类）别</w:t>
                  </w:r>
                </w:p>
              </w:tc>
              <w:tc>
                <w:tcPr>
                  <w:tcW w:w="1325" w:type="dxa"/>
                  <w:vAlign w:val="center"/>
                </w:tcPr>
                <w:p>
                  <w:pPr>
                    <w:spacing w:line="240" w:lineRule="auto"/>
                    <w:jc w:val="center"/>
                    <w:rPr>
                      <w:sz w:val="21"/>
                      <w:szCs w:val="21"/>
                    </w:rPr>
                  </w:pPr>
                  <w:r>
                    <w:rPr>
                      <w:sz w:val="21"/>
                      <w:szCs w:val="21"/>
                    </w:rPr>
                    <w:t>污染因子</w:t>
                  </w:r>
                </w:p>
              </w:tc>
              <w:tc>
                <w:tcPr>
                  <w:tcW w:w="3730" w:type="dxa"/>
                  <w:gridSpan w:val="2"/>
                  <w:vAlign w:val="center"/>
                </w:tcPr>
                <w:p>
                  <w:pPr>
                    <w:spacing w:line="240" w:lineRule="auto"/>
                    <w:jc w:val="center"/>
                    <w:rPr>
                      <w:sz w:val="21"/>
                      <w:szCs w:val="21"/>
                    </w:rPr>
                  </w:pPr>
                  <w:r>
                    <w:rPr>
                      <w:sz w:val="21"/>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932" w:type="dxa"/>
                  <w:vMerge w:val="restart"/>
                  <w:vAlign w:val="center"/>
                </w:tcPr>
                <w:p>
                  <w:pPr>
                    <w:spacing w:line="240" w:lineRule="auto"/>
                    <w:jc w:val="center"/>
                    <w:rPr>
                      <w:sz w:val="21"/>
                      <w:szCs w:val="21"/>
                    </w:rPr>
                  </w:pPr>
                  <w:r>
                    <w:rPr>
                      <w:sz w:val="21"/>
                      <w:szCs w:val="21"/>
                    </w:rPr>
                    <w:t>《施工场界扬尘排放限值》（DB61/1078-2017）</w:t>
                  </w:r>
                </w:p>
              </w:tc>
              <w:tc>
                <w:tcPr>
                  <w:tcW w:w="1325" w:type="dxa"/>
                  <w:vMerge w:val="restart"/>
                  <w:vAlign w:val="center"/>
                </w:tcPr>
                <w:p>
                  <w:pPr>
                    <w:spacing w:line="240" w:lineRule="auto"/>
                    <w:jc w:val="center"/>
                    <w:rPr>
                      <w:sz w:val="21"/>
                      <w:szCs w:val="21"/>
                    </w:rPr>
                  </w:pPr>
                  <w:r>
                    <w:rPr>
                      <w:sz w:val="21"/>
                      <w:szCs w:val="21"/>
                    </w:rPr>
                    <w:t>施工扬尘</w:t>
                  </w:r>
                </w:p>
              </w:tc>
              <w:tc>
                <w:tcPr>
                  <w:tcW w:w="2638" w:type="dxa"/>
                  <w:vAlign w:val="center"/>
                </w:tcPr>
                <w:p>
                  <w:pPr>
                    <w:spacing w:line="240" w:lineRule="auto"/>
                    <w:jc w:val="center"/>
                    <w:rPr>
                      <w:sz w:val="21"/>
                      <w:szCs w:val="21"/>
                    </w:rPr>
                  </w:pPr>
                  <w:r>
                    <w:rPr>
                      <w:sz w:val="21"/>
                      <w:szCs w:val="21"/>
                    </w:rPr>
                    <w:t>拆除、土方及地基处理工程</w:t>
                  </w:r>
                </w:p>
              </w:tc>
              <w:tc>
                <w:tcPr>
                  <w:tcW w:w="1092" w:type="dxa"/>
                  <w:vAlign w:val="center"/>
                </w:tcPr>
                <w:p>
                  <w:pPr>
                    <w:spacing w:line="240" w:lineRule="auto"/>
                    <w:jc w:val="center"/>
                    <w:rPr>
                      <w:sz w:val="21"/>
                      <w:szCs w:val="21"/>
                    </w:rPr>
                  </w:pPr>
                  <w:r>
                    <w:rPr>
                      <w:sz w:val="21"/>
                      <w:szCs w:val="21"/>
                    </w:rPr>
                    <w:t>0.8mg/m</w:t>
                  </w:r>
                  <w:r>
                    <w:rPr>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2932" w:type="dxa"/>
                  <w:vMerge w:val="continue"/>
                  <w:vAlign w:val="center"/>
                </w:tcPr>
                <w:p>
                  <w:pPr>
                    <w:spacing w:line="240" w:lineRule="auto"/>
                    <w:jc w:val="center"/>
                    <w:rPr>
                      <w:sz w:val="21"/>
                      <w:szCs w:val="21"/>
                    </w:rPr>
                  </w:pPr>
                </w:p>
              </w:tc>
              <w:tc>
                <w:tcPr>
                  <w:tcW w:w="1325" w:type="dxa"/>
                  <w:vMerge w:val="continue"/>
                  <w:vAlign w:val="center"/>
                </w:tcPr>
                <w:p>
                  <w:pPr>
                    <w:spacing w:line="240" w:lineRule="auto"/>
                    <w:jc w:val="center"/>
                    <w:rPr>
                      <w:sz w:val="21"/>
                      <w:szCs w:val="21"/>
                    </w:rPr>
                  </w:pPr>
                </w:p>
              </w:tc>
              <w:tc>
                <w:tcPr>
                  <w:tcW w:w="2638" w:type="dxa"/>
                  <w:vAlign w:val="center"/>
                </w:tcPr>
                <w:p>
                  <w:pPr>
                    <w:spacing w:line="240" w:lineRule="auto"/>
                    <w:jc w:val="center"/>
                    <w:rPr>
                      <w:sz w:val="21"/>
                      <w:szCs w:val="21"/>
                    </w:rPr>
                  </w:pPr>
                  <w:r>
                    <w:rPr>
                      <w:sz w:val="21"/>
                      <w:szCs w:val="21"/>
                    </w:rPr>
                    <w:t>基础、主体结构及装饰工程</w:t>
                  </w:r>
                </w:p>
              </w:tc>
              <w:tc>
                <w:tcPr>
                  <w:tcW w:w="1092" w:type="dxa"/>
                  <w:vAlign w:val="center"/>
                </w:tcPr>
                <w:p>
                  <w:pPr>
                    <w:spacing w:line="240" w:lineRule="auto"/>
                    <w:jc w:val="center"/>
                    <w:rPr>
                      <w:sz w:val="21"/>
                      <w:szCs w:val="21"/>
                    </w:rPr>
                  </w:pPr>
                  <w:r>
                    <w:rPr>
                      <w:sz w:val="21"/>
                      <w:szCs w:val="21"/>
                    </w:rPr>
                    <w:t>0.7mg/m</w:t>
                  </w:r>
                  <w:r>
                    <w:rPr>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932" w:type="dxa"/>
                  <w:vAlign w:val="center"/>
                </w:tcPr>
                <w:p>
                  <w:pPr>
                    <w:pStyle w:val="8"/>
                    <w:spacing w:line="240" w:lineRule="auto"/>
                    <w:jc w:val="center"/>
                    <w:rPr>
                      <w:spacing w:val="-6"/>
                      <w:sz w:val="21"/>
                      <w:szCs w:val="21"/>
                    </w:rPr>
                  </w:pPr>
                  <w:r>
                    <w:rPr>
                      <w:spacing w:val="-6"/>
                      <w:sz w:val="21"/>
                      <w:szCs w:val="21"/>
                    </w:rPr>
                    <w:t>《大气污染物综合排放标准》（GB16297-1996）表2二级</w:t>
                  </w:r>
                </w:p>
                <w:p>
                  <w:pPr>
                    <w:pStyle w:val="8"/>
                    <w:spacing w:line="240" w:lineRule="auto"/>
                    <w:jc w:val="center"/>
                    <w:rPr>
                      <w:spacing w:val="-6"/>
                      <w:sz w:val="21"/>
                      <w:szCs w:val="21"/>
                    </w:rPr>
                  </w:pPr>
                  <w:r>
                    <w:rPr>
                      <w:spacing w:val="-6"/>
                      <w:sz w:val="21"/>
                      <w:szCs w:val="21"/>
                    </w:rPr>
                    <w:t>标准</w:t>
                  </w:r>
                </w:p>
              </w:tc>
              <w:tc>
                <w:tcPr>
                  <w:tcW w:w="1325" w:type="dxa"/>
                  <w:vAlign w:val="center"/>
                </w:tcPr>
                <w:p>
                  <w:pPr>
                    <w:spacing w:line="240" w:lineRule="auto"/>
                    <w:jc w:val="center"/>
                    <w:rPr>
                      <w:sz w:val="21"/>
                      <w:szCs w:val="21"/>
                    </w:rPr>
                  </w:pPr>
                  <w:r>
                    <w:rPr>
                      <w:sz w:val="21"/>
                      <w:szCs w:val="21"/>
                    </w:rPr>
                    <w:t>颗粒物</w:t>
                  </w:r>
                </w:p>
                <w:p>
                  <w:pPr>
                    <w:spacing w:line="240" w:lineRule="auto"/>
                    <w:jc w:val="center"/>
                    <w:rPr>
                      <w:sz w:val="21"/>
                      <w:szCs w:val="21"/>
                    </w:rPr>
                  </w:pPr>
                  <w:r>
                    <w:rPr>
                      <w:rFonts w:hint="eastAsia"/>
                      <w:sz w:val="21"/>
                      <w:szCs w:val="21"/>
                    </w:rPr>
                    <w:t>（</w:t>
                  </w:r>
                  <w:r>
                    <w:rPr>
                      <w:sz w:val="21"/>
                      <w:szCs w:val="21"/>
                    </w:rPr>
                    <w:t>无组织</w:t>
                  </w:r>
                  <w:r>
                    <w:rPr>
                      <w:rFonts w:hint="eastAsia"/>
                      <w:sz w:val="21"/>
                      <w:szCs w:val="21"/>
                    </w:rPr>
                    <w:t>）</w:t>
                  </w:r>
                </w:p>
              </w:tc>
              <w:tc>
                <w:tcPr>
                  <w:tcW w:w="2638" w:type="dxa"/>
                  <w:vAlign w:val="center"/>
                </w:tcPr>
                <w:p>
                  <w:pPr>
                    <w:spacing w:line="240" w:lineRule="auto"/>
                    <w:jc w:val="center"/>
                    <w:rPr>
                      <w:sz w:val="21"/>
                      <w:szCs w:val="21"/>
                    </w:rPr>
                  </w:pPr>
                  <w:r>
                    <w:rPr>
                      <w:snapToGrid w:val="0"/>
                      <w:kern w:val="0"/>
                      <w:sz w:val="21"/>
                      <w:szCs w:val="21"/>
                    </w:rPr>
                    <w:t>周界外浓度最高点</w:t>
                  </w:r>
                </w:p>
              </w:tc>
              <w:tc>
                <w:tcPr>
                  <w:tcW w:w="1092" w:type="dxa"/>
                  <w:vAlign w:val="center"/>
                </w:tcPr>
                <w:p>
                  <w:pPr>
                    <w:spacing w:line="240" w:lineRule="auto"/>
                    <w:jc w:val="center"/>
                    <w:rPr>
                      <w:sz w:val="21"/>
                      <w:szCs w:val="21"/>
                    </w:rPr>
                  </w:pPr>
                  <w:r>
                    <w:rPr>
                      <w:sz w:val="21"/>
                      <w:szCs w:val="21"/>
                    </w:rPr>
                    <w:t>1.0mg/m</w:t>
                  </w:r>
                  <w:r>
                    <w:rPr>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2932" w:type="dxa"/>
                  <w:vMerge w:val="restart"/>
                  <w:vAlign w:val="center"/>
                </w:tcPr>
                <w:p>
                  <w:pPr>
                    <w:spacing w:line="240" w:lineRule="auto"/>
                    <w:jc w:val="center"/>
                    <w:rPr>
                      <w:spacing w:val="-6"/>
                      <w:kern w:val="0"/>
                      <w:sz w:val="21"/>
                      <w:szCs w:val="21"/>
                    </w:rPr>
                  </w:pPr>
                  <w:r>
                    <w:rPr>
                      <w:spacing w:val="-6"/>
                      <w:kern w:val="0"/>
                      <w:sz w:val="21"/>
                      <w:szCs w:val="21"/>
                    </w:rPr>
                    <w:t>《饮食业油烟排放标准（试行）》（GB18483-2001）小型标准</w:t>
                  </w:r>
                </w:p>
              </w:tc>
              <w:tc>
                <w:tcPr>
                  <w:tcW w:w="1325" w:type="dxa"/>
                  <w:vMerge w:val="restart"/>
                  <w:vAlign w:val="center"/>
                </w:tcPr>
                <w:p>
                  <w:pPr>
                    <w:spacing w:line="240" w:lineRule="auto"/>
                    <w:jc w:val="center"/>
                    <w:rPr>
                      <w:kern w:val="0"/>
                      <w:sz w:val="21"/>
                      <w:szCs w:val="21"/>
                    </w:rPr>
                  </w:pPr>
                  <w:r>
                    <w:rPr>
                      <w:kern w:val="0"/>
                      <w:sz w:val="21"/>
                      <w:szCs w:val="21"/>
                    </w:rPr>
                    <w:t>油烟</w:t>
                  </w:r>
                </w:p>
              </w:tc>
              <w:tc>
                <w:tcPr>
                  <w:tcW w:w="2638" w:type="dxa"/>
                  <w:vAlign w:val="center"/>
                </w:tcPr>
                <w:p>
                  <w:pPr>
                    <w:spacing w:line="240" w:lineRule="auto"/>
                    <w:jc w:val="center"/>
                    <w:rPr>
                      <w:sz w:val="21"/>
                      <w:szCs w:val="21"/>
                    </w:rPr>
                  </w:pPr>
                  <w:r>
                    <w:rPr>
                      <w:sz w:val="21"/>
                      <w:szCs w:val="21"/>
                    </w:rPr>
                    <w:t>最高允许排放浓度</w:t>
                  </w:r>
                </w:p>
              </w:tc>
              <w:tc>
                <w:tcPr>
                  <w:tcW w:w="1092" w:type="dxa"/>
                  <w:vAlign w:val="center"/>
                </w:tcPr>
                <w:p>
                  <w:pPr>
                    <w:spacing w:line="240" w:lineRule="auto"/>
                    <w:jc w:val="center"/>
                    <w:rPr>
                      <w:kern w:val="0"/>
                      <w:sz w:val="21"/>
                      <w:szCs w:val="21"/>
                    </w:rPr>
                  </w:pPr>
                  <w:r>
                    <w:rPr>
                      <w:kern w:val="0"/>
                      <w:sz w:val="21"/>
                      <w:szCs w:val="21"/>
                    </w:rPr>
                    <w:t>2.0</w:t>
                  </w:r>
                  <w:r>
                    <w:rPr>
                      <w:sz w:val="21"/>
                      <w:szCs w:val="21"/>
                    </w:rPr>
                    <w:t>mg/m</w:t>
                  </w:r>
                  <w:r>
                    <w:rPr>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932" w:type="dxa"/>
                  <w:vMerge w:val="continue"/>
                  <w:vAlign w:val="center"/>
                </w:tcPr>
                <w:p>
                  <w:pPr>
                    <w:spacing w:line="240" w:lineRule="auto"/>
                    <w:jc w:val="center"/>
                    <w:rPr>
                      <w:kern w:val="0"/>
                      <w:sz w:val="21"/>
                      <w:szCs w:val="21"/>
                    </w:rPr>
                  </w:pPr>
                </w:p>
              </w:tc>
              <w:tc>
                <w:tcPr>
                  <w:tcW w:w="1325" w:type="dxa"/>
                  <w:vMerge w:val="continue"/>
                  <w:vAlign w:val="center"/>
                </w:tcPr>
                <w:p>
                  <w:pPr>
                    <w:spacing w:line="240" w:lineRule="auto"/>
                    <w:jc w:val="center"/>
                    <w:rPr>
                      <w:kern w:val="0"/>
                      <w:sz w:val="21"/>
                      <w:szCs w:val="21"/>
                    </w:rPr>
                  </w:pPr>
                </w:p>
              </w:tc>
              <w:tc>
                <w:tcPr>
                  <w:tcW w:w="2638" w:type="dxa"/>
                  <w:vAlign w:val="center"/>
                </w:tcPr>
                <w:p>
                  <w:pPr>
                    <w:spacing w:line="240" w:lineRule="auto"/>
                    <w:jc w:val="center"/>
                    <w:rPr>
                      <w:sz w:val="21"/>
                      <w:szCs w:val="21"/>
                    </w:rPr>
                  </w:pPr>
                  <w:r>
                    <w:rPr>
                      <w:sz w:val="21"/>
                      <w:szCs w:val="21"/>
                    </w:rPr>
                    <w:t>净化设施最低去除效率</w:t>
                  </w:r>
                </w:p>
              </w:tc>
              <w:tc>
                <w:tcPr>
                  <w:tcW w:w="1092" w:type="dxa"/>
                  <w:vAlign w:val="center"/>
                </w:tcPr>
                <w:p>
                  <w:pPr>
                    <w:spacing w:line="240" w:lineRule="auto"/>
                    <w:jc w:val="center"/>
                    <w:rPr>
                      <w:kern w:val="0"/>
                      <w:sz w:val="21"/>
                      <w:szCs w:val="21"/>
                    </w:rPr>
                  </w:pPr>
                  <w:r>
                    <w:rPr>
                      <w:kern w:val="0"/>
                      <w:sz w:val="21"/>
                      <w:szCs w:val="21"/>
                    </w:rPr>
                    <w:t>60%</w:t>
                  </w:r>
                </w:p>
              </w:tc>
            </w:tr>
          </w:tbl>
          <w:p>
            <w:pPr>
              <w:widowControl w:val="0"/>
              <w:autoSpaceDE w:val="0"/>
              <w:autoSpaceDN w:val="0"/>
              <w:ind w:firstLine="480" w:firstLineChars="200"/>
              <w:rPr>
                <w:rFonts w:eastAsiaTheme="minorEastAsia"/>
              </w:rPr>
            </w:pPr>
            <w:r>
              <w:rPr>
                <w:rFonts w:eastAsiaTheme="minorEastAsia"/>
              </w:rPr>
              <w:t>2、废水</w:t>
            </w:r>
          </w:p>
          <w:p>
            <w:pPr>
              <w:widowControl w:val="0"/>
              <w:autoSpaceDE w:val="0"/>
              <w:autoSpaceDN w:val="0"/>
              <w:ind w:firstLine="480" w:firstLineChars="200"/>
              <w:rPr>
                <w:rFonts w:eastAsiaTheme="minorEastAsia"/>
              </w:rPr>
            </w:pPr>
            <w:r>
              <w:rPr>
                <w:rFonts w:eastAsiaTheme="minorEastAsia"/>
              </w:rPr>
              <w:t>施工期生活污水经场地</w:t>
            </w:r>
            <w:r>
              <w:rPr>
                <w:rFonts w:hint="eastAsia" w:eastAsiaTheme="minorEastAsia"/>
              </w:rPr>
              <w:t>现有</w:t>
            </w:r>
            <w:r>
              <w:rPr>
                <w:rFonts w:eastAsiaTheme="minorEastAsia"/>
              </w:rPr>
              <w:t>旱厕收集后，用于周边农田施肥，不外排</w:t>
            </w:r>
            <w:r>
              <w:rPr>
                <w:rFonts w:hint="eastAsia" w:eastAsiaTheme="minorEastAsia"/>
              </w:rPr>
              <w:t>。</w:t>
            </w:r>
            <w:r>
              <w:rPr>
                <w:rFonts w:eastAsiaTheme="minorEastAsia"/>
              </w:rPr>
              <w:t>运营期生产废水经沉淀池处理后</w:t>
            </w:r>
            <w:r>
              <w:rPr>
                <w:rFonts w:hint="eastAsia" w:eastAsiaTheme="minorEastAsia"/>
              </w:rPr>
              <w:t>循环使用，</w:t>
            </w:r>
            <w:r>
              <w:rPr>
                <w:rFonts w:eastAsiaTheme="minorEastAsia"/>
              </w:rPr>
              <w:t>不外排</w:t>
            </w:r>
            <w:r>
              <w:rPr>
                <w:rFonts w:hint="eastAsia" w:eastAsiaTheme="minorEastAsia"/>
              </w:rPr>
              <w:t>；</w:t>
            </w:r>
            <w:r>
              <w:rPr>
                <w:rFonts w:eastAsiaTheme="minorEastAsia"/>
              </w:rPr>
              <w:t>生活污水</w:t>
            </w:r>
            <w:r>
              <w:rPr>
                <w:rFonts w:hint="eastAsia" w:eastAsiaTheme="minorEastAsia"/>
              </w:rPr>
              <w:t>经</w:t>
            </w:r>
            <w:r>
              <w:rPr>
                <w:rFonts w:eastAsiaTheme="minorEastAsia"/>
              </w:rPr>
              <w:t>化粪池处理后</w:t>
            </w:r>
            <w:r>
              <w:rPr>
                <w:rFonts w:hint="eastAsia" w:eastAsiaTheme="minorEastAsia"/>
              </w:rPr>
              <w:t>作为</w:t>
            </w:r>
            <w:r>
              <w:rPr>
                <w:rFonts w:eastAsiaTheme="minorEastAsia"/>
              </w:rPr>
              <w:t>农肥用于周边林地，不外排。</w:t>
            </w:r>
          </w:p>
          <w:p>
            <w:pPr>
              <w:widowControl w:val="0"/>
              <w:autoSpaceDE w:val="0"/>
              <w:autoSpaceDN w:val="0"/>
              <w:ind w:firstLine="480" w:firstLineChars="200"/>
              <w:rPr>
                <w:rFonts w:eastAsiaTheme="minorEastAsia"/>
              </w:rPr>
            </w:pPr>
            <w:r>
              <w:rPr>
                <w:rFonts w:eastAsiaTheme="minorEastAsia"/>
              </w:rPr>
              <w:t>3、噪声</w:t>
            </w:r>
          </w:p>
          <w:p>
            <w:pPr>
              <w:widowControl w:val="0"/>
              <w:ind w:firstLine="480" w:firstLineChars="200"/>
              <w:rPr>
                <w:rFonts w:eastAsiaTheme="minorEastAsia"/>
                <w:b/>
                <w:lang w:val="en-GB"/>
              </w:rPr>
            </w:pPr>
            <w:r>
              <w:rPr>
                <w:rFonts w:eastAsiaTheme="minorEastAsia"/>
              </w:rPr>
              <w:t>施工噪声执行《建筑施工场界环境噪声排放标准》（GB12523-2011），运营期厂界噪声执行《工业企业厂界环境噪声排放标准》（GB12348-2008）2类标准要求。</w:t>
            </w:r>
            <w:r>
              <w:t>具体标准限值见表</w:t>
            </w:r>
            <w:r>
              <w:rPr>
                <w:rFonts w:hint="eastAsia"/>
              </w:rPr>
              <w:t>4-</w:t>
            </w:r>
            <w:r>
              <w:t>4</w:t>
            </w:r>
            <w:r>
              <w:rPr>
                <w:rFonts w:hint="eastAsia"/>
              </w:rPr>
              <w:t>。</w:t>
            </w:r>
          </w:p>
          <w:p>
            <w:pPr>
              <w:pStyle w:val="44"/>
              <w:widowControl w:val="0"/>
              <w:numPr>
                <w:ilvl w:val="0"/>
                <w:numId w:val="5"/>
              </w:numPr>
              <w:spacing w:line="240" w:lineRule="auto"/>
              <w:ind w:left="0" w:firstLine="0" w:firstLineChars="0"/>
              <w:jc w:val="center"/>
              <w:rPr>
                <w:rFonts w:eastAsiaTheme="minorEastAsia"/>
                <w:b/>
                <w:sz w:val="21"/>
              </w:rPr>
            </w:pPr>
            <w:r>
              <w:rPr>
                <w:rFonts w:eastAsiaTheme="minorEastAsia"/>
                <w:b/>
                <w:sz w:val="21"/>
              </w:rPr>
              <w:t>厂界噪声标准</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3509"/>
              <w:gridCol w:w="1387"/>
              <w:gridCol w:w="960"/>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3" w:type="pct"/>
                  <w:vMerge w:val="restart"/>
                  <w:tcMar>
                    <w:left w:w="0" w:type="dxa"/>
                    <w:right w:w="0" w:type="dxa"/>
                  </w:tcMar>
                  <w:vAlign w:val="center"/>
                </w:tcPr>
                <w:p>
                  <w:pPr>
                    <w:pStyle w:val="61"/>
                    <w:rPr>
                      <w:rFonts w:eastAsiaTheme="minorEastAsia"/>
                    </w:rPr>
                  </w:pPr>
                  <w:r>
                    <w:rPr>
                      <w:rFonts w:eastAsiaTheme="minorEastAsia"/>
                    </w:rPr>
                    <w:t>类别</w:t>
                  </w:r>
                </w:p>
              </w:tc>
              <w:tc>
                <w:tcPr>
                  <w:tcW w:w="2237" w:type="pct"/>
                  <w:vMerge w:val="restart"/>
                  <w:tcMar>
                    <w:left w:w="0" w:type="dxa"/>
                    <w:right w:w="0" w:type="dxa"/>
                  </w:tcMar>
                  <w:vAlign w:val="center"/>
                </w:tcPr>
                <w:p>
                  <w:pPr>
                    <w:pStyle w:val="61"/>
                    <w:rPr>
                      <w:rFonts w:eastAsiaTheme="minorEastAsia"/>
                    </w:rPr>
                  </w:pPr>
                  <w:r>
                    <w:rPr>
                      <w:rFonts w:eastAsiaTheme="minorEastAsia"/>
                    </w:rPr>
                    <w:t>标准级别</w:t>
                  </w:r>
                </w:p>
              </w:tc>
              <w:tc>
                <w:tcPr>
                  <w:tcW w:w="884" w:type="pct"/>
                  <w:vMerge w:val="restart"/>
                  <w:tcMar>
                    <w:left w:w="0" w:type="dxa"/>
                    <w:right w:w="0" w:type="dxa"/>
                  </w:tcMar>
                  <w:vAlign w:val="center"/>
                </w:tcPr>
                <w:p>
                  <w:pPr>
                    <w:pStyle w:val="61"/>
                    <w:rPr>
                      <w:rFonts w:eastAsiaTheme="minorEastAsia"/>
                    </w:rPr>
                  </w:pPr>
                  <w:r>
                    <w:rPr>
                      <w:rFonts w:eastAsiaTheme="minorEastAsia"/>
                    </w:rPr>
                    <w:t>评价因子</w:t>
                  </w:r>
                </w:p>
              </w:tc>
              <w:tc>
                <w:tcPr>
                  <w:tcW w:w="1276" w:type="pct"/>
                  <w:gridSpan w:val="2"/>
                  <w:tcMar>
                    <w:left w:w="0" w:type="dxa"/>
                    <w:right w:w="0" w:type="dxa"/>
                  </w:tcMar>
                  <w:vAlign w:val="center"/>
                </w:tcPr>
                <w:p>
                  <w:pPr>
                    <w:pStyle w:val="61"/>
                    <w:rPr>
                      <w:rFonts w:eastAsiaTheme="minorEastAsia"/>
                      <w:lang w:eastAsia="zh-CN"/>
                    </w:rPr>
                  </w:pPr>
                  <w:r>
                    <w:rPr>
                      <w:rFonts w:eastAsiaTheme="minorEastAsia"/>
                      <w:lang w:eastAsia="zh-CN"/>
                    </w:rPr>
                    <w:t>标准值〔dB（A）〕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3" w:type="pct"/>
                  <w:vMerge w:val="continue"/>
                  <w:tcMar>
                    <w:left w:w="0" w:type="dxa"/>
                    <w:right w:w="0" w:type="dxa"/>
                  </w:tcMar>
                  <w:vAlign w:val="center"/>
                </w:tcPr>
                <w:p>
                  <w:pPr>
                    <w:pStyle w:val="61"/>
                    <w:rPr>
                      <w:rFonts w:eastAsiaTheme="minorEastAsia"/>
                      <w:lang w:eastAsia="zh-CN"/>
                    </w:rPr>
                  </w:pPr>
                </w:p>
              </w:tc>
              <w:tc>
                <w:tcPr>
                  <w:tcW w:w="2237" w:type="pct"/>
                  <w:vMerge w:val="continue"/>
                  <w:tcMar>
                    <w:left w:w="0" w:type="dxa"/>
                    <w:right w:w="0" w:type="dxa"/>
                  </w:tcMar>
                  <w:vAlign w:val="center"/>
                </w:tcPr>
                <w:p>
                  <w:pPr>
                    <w:pStyle w:val="61"/>
                    <w:rPr>
                      <w:rFonts w:eastAsiaTheme="minorEastAsia"/>
                      <w:lang w:eastAsia="zh-CN"/>
                    </w:rPr>
                  </w:pPr>
                </w:p>
              </w:tc>
              <w:tc>
                <w:tcPr>
                  <w:tcW w:w="884" w:type="pct"/>
                  <w:vMerge w:val="continue"/>
                  <w:tcMar>
                    <w:left w:w="0" w:type="dxa"/>
                    <w:right w:w="0" w:type="dxa"/>
                  </w:tcMar>
                  <w:vAlign w:val="center"/>
                </w:tcPr>
                <w:p>
                  <w:pPr>
                    <w:pStyle w:val="61"/>
                    <w:rPr>
                      <w:rFonts w:eastAsiaTheme="minorEastAsia"/>
                      <w:lang w:eastAsia="zh-CN"/>
                    </w:rPr>
                  </w:pPr>
                </w:p>
              </w:tc>
              <w:tc>
                <w:tcPr>
                  <w:tcW w:w="612" w:type="pct"/>
                  <w:tcMar>
                    <w:left w:w="0" w:type="dxa"/>
                    <w:right w:w="0" w:type="dxa"/>
                  </w:tcMar>
                  <w:vAlign w:val="center"/>
                </w:tcPr>
                <w:p>
                  <w:pPr>
                    <w:pStyle w:val="61"/>
                    <w:rPr>
                      <w:rFonts w:eastAsiaTheme="minorEastAsia"/>
                    </w:rPr>
                  </w:pPr>
                  <w:r>
                    <w:rPr>
                      <w:rFonts w:eastAsiaTheme="minorEastAsia"/>
                    </w:rPr>
                    <w:t>昼间</w:t>
                  </w:r>
                </w:p>
              </w:tc>
              <w:tc>
                <w:tcPr>
                  <w:tcW w:w="664" w:type="pct"/>
                  <w:tcMar>
                    <w:left w:w="0" w:type="dxa"/>
                    <w:right w:w="0" w:type="dxa"/>
                  </w:tcMar>
                  <w:vAlign w:val="center"/>
                </w:tcPr>
                <w:p>
                  <w:pPr>
                    <w:pStyle w:val="61"/>
                    <w:rPr>
                      <w:rFonts w:eastAsiaTheme="minorEastAsia"/>
                    </w:rPr>
                  </w:pPr>
                  <w:r>
                    <w:rPr>
                      <w:rFonts w:eastAsiaTheme="minorEastAsia"/>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3" w:type="pct"/>
                  <w:tcMar>
                    <w:left w:w="0" w:type="dxa"/>
                    <w:right w:w="0" w:type="dxa"/>
                  </w:tcMar>
                  <w:vAlign w:val="center"/>
                </w:tcPr>
                <w:p>
                  <w:pPr>
                    <w:pStyle w:val="61"/>
                    <w:rPr>
                      <w:rFonts w:eastAsiaTheme="minorEastAsia"/>
                    </w:rPr>
                  </w:pPr>
                  <w:r>
                    <w:rPr>
                      <w:rFonts w:eastAsiaTheme="minorEastAsia"/>
                    </w:rPr>
                    <w:t>施工期</w:t>
                  </w:r>
                </w:p>
              </w:tc>
              <w:tc>
                <w:tcPr>
                  <w:tcW w:w="2237" w:type="pct"/>
                  <w:tcMar>
                    <w:left w:w="0" w:type="dxa"/>
                    <w:right w:w="0" w:type="dxa"/>
                  </w:tcMar>
                  <w:vAlign w:val="center"/>
                </w:tcPr>
                <w:p>
                  <w:pPr>
                    <w:pStyle w:val="61"/>
                    <w:rPr>
                      <w:rFonts w:eastAsiaTheme="minorEastAsia"/>
                      <w:lang w:eastAsia="zh-CN"/>
                    </w:rPr>
                  </w:pPr>
                  <w:r>
                    <w:rPr>
                      <w:rFonts w:eastAsiaTheme="minorEastAsia"/>
                      <w:lang w:eastAsia="zh-CN"/>
                    </w:rPr>
                    <w:t>《建筑施工场界环境噪声排放标准》（GB12523-2011）</w:t>
                  </w:r>
                </w:p>
              </w:tc>
              <w:tc>
                <w:tcPr>
                  <w:tcW w:w="884" w:type="pct"/>
                  <w:tcMar>
                    <w:left w:w="0" w:type="dxa"/>
                    <w:right w:w="0" w:type="dxa"/>
                  </w:tcMar>
                  <w:vAlign w:val="center"/>
                </w:tcPr>
                <w:p>
                  <w:pPr>
                    <w:pStyle w:val="61"/>
                    <w:rPr>
                      <w:rFonts w:eastAsiaTheme="minorEastAsia"/>
                    </w:rPr>
                  </w:pPr>
                  <w:r>
                    <w:rPr>
                      <w:rFonts w:eastAsiaTheme="minorEastAsia"/>
                    </w:rPr>
                    <w:t>等效声级L</w:t>
                  </w:r>
                  <w:r>
                    <w:rPr>
                      <w:rFonts w:eastAsiaTheme="minorEastAsia"/>
                      <w:vertAlign w:val="subscript"/>
                    </w:rPr>
                    <w:t>eq</w:t>
                  </w:r>
                </w:p>
              </w:tc>
              <w:tc>
                <w:tcPr>
                  <w:tcW w:w="612" w:type="pct"/>
                  <w:tcMar>
                    <w:left w:w="0" w:type="dxa"/>
                    <w:right w:w="0" w:type="dxa"/>
                  </w:tcMar>
                  <w:vAlign w:val="center"/>
                </w:tcPr>
                <w:p>
                  <w:pPr>
                    <w:pStyle w:val="61"/>
                    <w:rPr>
                      <w:rFonts w:eastAsiaTheme="minorEastAsia"/>
                    </w:rPr>
                  </w:pPr>
                  <w:r>
                    <w:rPr>
                      <w:rFonts w:eastAsiaTheme="minorEastAsia"/>
                    </w:rPr>
                    <w:t>70</w:t>
                  </w:r>
                </w:p>
              </w:tc>
              <w:tc>
                <w:tcPr>
                  <w:tcW w:w="664" w:type="pct"/>
                  <w:tcMar>
                    <w:left w:w="0" w:type="dxa"/>
                    <w:right w:w="0" w:type="dxa"/>
                  </w:tcMar>
                  <w:vAlign w:val="center"/>
                </w:tcPr>
                <w:p>
                  <w:pPr>
                    <w:pStyle w:val="61"/>
                    <w:rPr>
                      <w:rFonts w:eastAsiaTheme="minorEastAsia"/>
                    </w:rPr>
                  </w:pPr>
                  <w:r>
                    <w:rPr>
                      <w:rFonts w:eastAsiaTheme="minorEastAsia"/>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03" w:type="pct"/>
                  <w:tcMar>
                    <w:left w:w="0" w:type="dxa"/>
                    <w:right w:w="0" w:type="dxa"/>
                  </w:tcMar>
                  <w:vAlign w:val="center"/>
                </w:tcPr>
                <w:p>
                  <w:pPr>
                    <w:pStyle w:val="61"/>
                    <w:rPr>
                      <w:rFonts w:eastAsiaTheme="minorEastAsia"/>
                    </w:rPr>
                  </w:pPr>
                  <w:r>
                    <w:rPr>
                      <w:rFonts w:eastAsiaTheme="minorEastAsia"/>
                    </w:rPr>
                    <w:t>运营期</w:t>
                  </w:r>
                </w:p>
              </w:tc>
              <w:tc>
                <w:tcPr>
                  <w:tcW w:w="2237" w:type="pct"/>
                  <w:tcMar>
                    <w:left w:w="0" w:type="dxa"/>
                    <w:right w:w="0" w:type="dxa"/>
                  </w:tcMar>
                  <w:vAlign w:val="center"/>
                </w:tcPr>
                <w:p>
                  <w:pPr>
                    <w:pStyle w:val="61"/>
                    <w:rPr>
                      <w:rFonts w:eastAsiaTheme="minorEastAsia"/>
                      <w:lang w:eastAsia="zh-CN"/>
                    </w:rPr>
                  </w:pPr>
                  <w:r>
                    <w:rPr>
                      <w:rFonts w:eastAsiaTheme="minorEastAsia"/>
                      <w:lang w:eastAsia="zh-CN"/>
                    </w:rPr>
                    <w:t>《工业企业厂界环境噪声排放标准》（GB12348-2008）2类标准</w:t>
                  </w:r>
                </w:p>
              </w:tc>
              <w:tc>
                <w:tcPr>
                  <w:tcW w:w="884" w:type="pct"/>
                  <w:tcMar>
                    <w:left w:w="0" w:type="dxa"/>
                    <w:right w:w="0" w:type="dxa"/>
                  </w:tcMar>
                  <w:vAlign w:val="center"/>
                </w:tcPr>
                <w:p>
                  <w:pPr>
                    <w:pStyle w:val="61"/>
                    <w:rPr>
                      <w:rFonts w:eastAsiaTheme="minorEastAsia"/>
                      <w:lang w:eastAsia="zh-CN"/>
                    </w:rPr>
                  </w:pPr>
                  <w:r>
                    <w:rPr>
                      <w:rFonts w:eastAsiaTheme="minorEastAsia"/>
                      <w:lang w:eastAsia="zh-CN"/>
                    </w:rPr>
                    <w:t>等效声级L</w:t>
                  </w:r>
                  <w:r>
                    <w:rPr>
                      <w:rFonts w:eastAsiaTheme="minorEastAsia"/>
                      <w:vertAlign w:val="subscript"/>
                      <w:lang w:eastAsia="zh-CN"/>
                    </w:rPr>
                    <w:t>eq</w:t>
                  </w:r>
                </w:p>
              </w:tc>
              <w:tc>
                <w:tcPr>
                  <w:tcW w:w="612" w:type="pct"/>
                  <w:tcMar>
                    <w:left w:w="0" w:type="dxa"/>
                    <w:right w:w="0" w:type="dxa"/>
                  </w:tcMar>
                  <w:vAlign w:val="center"/>
                </w:tcPr>
                <w:p>
                  <w:pPr>
                    <w:pStyle w:val="61"/>
                    <w:rPr>
                      <w:rFonts w:eastAsiaTheme="minorEastAsia"/>
                      <w:lang w:eastAsia="zh-CN"/>
                    </w:rPr>
                  </w:pPr>
                  <w:r>
                    <w:rPr>
                      <w:rFonts w:eastAsiaTheme="minorEastAsia"/>
                      <w:lang w:eastAsia="zh-CN"/>
                    </w:rPr>
                    <w:t>60</w:t>
                  </w:r>
                </w:p>
              </w:tc>
              <w:tc>
                <w:tcPr>
                  <w:tcW w:w="664" w:type="pct"/>
                  <w:tcMar>
                    <w:left w:w="0" w:type="dxa"/>
                    <w:right w:w="0" w:type="dxa"/>
                  </w:tcMar>
                  <w:vAlign w:val="center"/>
                </w:tcPr>
                <w:p>
                  <w:pPr>
                    <w:pStyle w:val="61"/>
                    <w:rPr>
                      <w:rFonts w:eastAsiaTheme="minorEastAsia"/>
                      <w:lang w:eastAsia="zh-CN"/>
                    </w:rPr>
                  </w:pPr>
                  <w:r>
                    <w:rPr>
                      <w:rFonts w:eastAsiaTheme="minorEastAsia"/>
                      <w:lang w:eastAsia="zh-CN"/>
                    </w:rPr>
                    <w:t>50</w:t>
                  </w:r>
                </w:p>
              </w:tc>
            </w:tr>
          </w:tbl>
          <w:p>
            <w:pPr>
              <w:pStyle w:val="44"/>
              <w:widowControl w:val="0"/>
              <w:autoSpaceDE w:val="0"/>
              <w:autoSpaceDN w:val="0"/>
              <w:ind w:left="374" w:firstLine="0" w:firstLineChars="0"/>
              <w:rPr>
                <w:rFonts w:eastAsiaTheme="minorEastAsia"/>
              </w:rPr>
            </w:pPr>
            <w:r>
              <w:rPr>
                <w:rFonts w:eastAsiaTheme="minorEastAsia"/>
              </w:rPr>
              <w:t>4、固体废弃物</w:t>
            </w:r>
          </w:p>
          <w:p>
            <w:pPr>
              <w:widowControl w:val="0"/>
              <w:autoSpaceDE w:val="0"/>
              <w:autoSpaceDN w:val="0"/>
              <w:ind w:firstLine="480" w:firstLineChars="200"/>
              <w:rPr>
                <w:rFonts w:eastAsiaTheme="minorEastAsia"/>
              </w:rPr>
            </w:pPr>
            <w:r>
              <w:rPr>
                <w:rFonts w:eastAsiaTheme="minorEastAsia"/>
              </w:rPr>
              <w:t>一般固废执行《一般工业固体废物贮存、处置场污染控制标准》（GB18599-2001）及修改单中的相关规定；危险废物执行《危险废物贮存污染控制标准》（GB18597-2001）及修改单中相关规定；生活垃圾执行《生活垃圾填埋场污染物控制标准》（GB16889-2008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6" w:hRule="atLeast"/>
          <w:jc w:val="center"/>
        </w:trPr>
        <w:tc>
          <w:tcPr>
            <w:tcW w:w="453" w:type="dxa"/>
            <w:vAlign w:val="center"/>
          </w:tcPr>
          <w:p>
            <w:pPr>
              <w:pStyle w:val="56"/>
              <w:widowControl w:val="0"/>
              <w:spacing w:beforeLines="0" w:line="240" w:lineRule="auto"/>
              <w:jc w:val="center"/>
              <w:outlineLvl w:val="0"/>
              <w:rPr>
                <w:rFonts w:eastAsiaTheme="minorEastAsia"/>
                <w:sz w:val="22"/>
                <w:szCs w:val="28"/>
              </w:rPr>
            </w:pPr>
            <w:r>
              <w:rPr>
                <w:rFonts w:eastAsiaTheme="minorEastAsia"/>
                <w:sz w:val="22"/>
                <w:szCs w:val="28"/>
              </w:rPr>
              <w:t>总</w:t>
            </w:r>
          </w:p>
          <w:p>
            <w:pPr>
              <w:pStyle w:val="56"/>
              <w:widowControl w:val="0"/>
              <w:spacing w:beforeLines="0" w:line="240" w:lineRule="auto"/>
              <w:jc w:val="center"/>
              <w:outlineLvl w:val="0"/>
              <w:rPr>
                <w:rFonts w:eastAsiaTheme="minorEastAsia"/>
                <w:sz w:val="22"/>
                <w:szCs w:val="28"/>
              </w:rPr>
            </w:pPr>
            <w:r>
              <w:rPr>
                <w:rFonts w:eastAsiaTheme="minorEastAsia"/>
                <w:sz w:val="22"/>
                <w:szCs w:val="28"/>
              </w:rPr>
              <w:t>量</w:t>
            </w:r>
          </w:p>
          <w:p>
            <w:pPr>
              <w:pStyle w:val="56"/>
              <w:widowControl w:val="0"/>
              <w:spacing w:beforeLines="0" w:line="240" w:lineRule="auto"/>
              <w:jc w:val="center"/>
              <w:outlineLvl w:val="0"/>
              <w:rPr>
                <w:rFonts w:eastAsiaTheme="minorEastAsia"/>
                <w:sz w:val="22"/>
                <w:szCs w:val="28"/>
              </w:rPr>
            </w:pPr>
            <w:r>
              <w:rPr>
                <w:rFonts w:eastAsiaTheme="minorEastAsia"/>
                <w:sz w:val="22"/>
                <w:szCs w:val="28"/>
              </w:rPr>
              <w:t>控</w:t>
            </w:r>
          </w:p>
          <w:p>
            <w:pPr>
              <w:pStyle w:val="56"/>
              <w:widowControl w:val="0"/>
              <w:spacing w:beforeLines="0" w:line="240" w:lineRule="auto"/>
              <w:jc w:val="center"/>
              <w:outlineLvl w:val="0"/>
              <w:rPr>
                <w:rFonts w:eastAsiaTheme="minorEastAsia"/>
                <w:sz w:val="22"/>
                <w:szCs w:val="28"/>
              </w:rPr>
            </w:pPr>
            <w:r>
              <w:rPr>
                <w:rFonts w:eastAsiaTheme="minorEastAsia"/>
                <w:sz w:val="22"/>
                <w:szCs w:val="28"/>
              </w:rPr>
              <w:t>制</w:t>
            </w:r>
          </w:p>
          <w:p>
            <w:pPr>
              <w:pStyle w:val="56"/>
              <w:widowControl w:val="0"/>
              <w:spacing w:beforeLines="0" w:line="240" w:lineRule="auto"/>
              <w:jc w:val="center"/>
              <w:outlineLvl w:val="0"/>
              <w:rPr>
                <w:rFonts w:eastAsiaTheme="minorEastAsia"/>
                <w:sz w:val="22"/>
                <w:szCs w:val="28"/>
              </w:rPr>
            </w:pPr>
            <w:r>
              <w:rPr>
                <w:rFonts w:eastAsiaTheme="minorEastAsia"/>
                <w:sz w:val="22"/>
                <w:szCs w:val="28"/>
              </w:rPr>
              <w:t>指</w:t>
            </w:r>
          </w:p>
          <w:p>
            <w:pPr>
              <w:pStyle w:val="56"/>
              <w:widowControl w:val="0"/>
              <w:spacing w:beforeLines="0" w:line="240" w:lineRule="auto"/>
              <w:jc w:val="center"/>
              <w:outlineLvl w:val="0"/>
              <w:rPr>
                <w:rFonts w:eastAsiaTheme="minorEastAsia"/>
                <w:sz w:val="28"/>
                <w:szCs w:val="28"/>
              </w:rPr>
            </w:pPr>
            <w:r>
              <w:rPr>
                <w:rFonts w:eastAsiaTheme="minorEastAsia"/>
                <w:sz w:val="22"/>
                <w:szCs w:val="28"/>
              </w:rPr>
              <w:t>标</w:t>
            </w:r>
          </w:p>
        </w:tc>
        <w:tc>
          <w:tcPr>
            <w:tcW w:w="7906" w:type="dxa"/>
            <w:vAlign w:val="center"/>
          </w:tcPr>
          <w:p>
            <w:pPr>
              <w:widowControl w:val="0"/>
              <w:ind w:firstLine="480" w:firstLineChars="200"/>
              <w:textAlignment w:val="baseline"/>
              <w:rPr>
                <w:color w:val="000000" w:themeColor="text1"/>
                <w:kern w:val="0"/>
                <w:lang w:val="fr-FR"/>
                <w14:textFill>
                  <w14:solidFill>
                    <w14:schemeClr w14:val="tx1"/>
                  </w14:solidFill>
                </w14:textFill>
              </w:rPr>
            </w:pPr>
            <w:r>
              <w:rPr>
                <w:color w:val="000000" w:themeColor="text1"/>
                <w:kern w:val="0"/>
                <w:lang w:val="fr-FR"/>
                <w14:textFill>
                  <w14:solidFill>
                    <w14:schemeClr w14:val="tx1"/>
                  </w14:solidFill>
                </w14:textFill>
              </w:rPr>
              <w:t>根据《国家环境保护“十三五”规划基本思路》：根据质量改善需求，继续实施全国SO</w:t>
            </w:r>
            <w:r>
              <w:rPr>
                <w:color w:val="000000" w:themeColor="text1"/>
                <w:kern w:val="0"/>
                <w:vertAlign w:val="subscript"/>
                <w:lang w:val="fr-FR"/>
                <w14:textFill>
                  <w14:solidFill>
                    <w14:schemeClr w14:val="tx1"/>
                  </w14:solidFill>
                </w14:textFill>
              </w:rPr>
              <w:t>2</w:t>
            </w:r>
            <w:r>
              <w:rPr>
                <w:color w:val="000000" w:themeColor="text1"/>
                <w:kern w:val="0"/>
                <w:lang w:val="fr-FR"/>
                <w14:textFill>
                  <w14:solidFill>
                    <w14:schemeClr w14:val="tx1"/>
                  </w14:solidFill>
                </w14:textFill>
              </w:rPr>
              <w:t>、NO</w:t>
            </w:r>
            <w:r>
              <w:rPr>
                <w:rFonts w:hint="eastAsia"/>
                <w:color w:val="000000" w:themeColor="text1"/>
                <w:kern w:val="0"/>
                <w:vertAlign w:val="subscript"/>
                <w14:textFill>
                  <w14:solidFill>
                    <w14:schemeClr w14:val="tx1"/>
                  </w14:solidFill>
                </w14:textFill>
              </w:rPr>
              <w:t>X</w:t>
            </w:r>
            <w:r>
              <w:rPr>
                <w:color w:val="000000" w:themeColor="text1"/>
                <w:kern w:val="0"/>
                <w:lang w:val="fr-FR"/>
                <w14:textFill>
                  <w14:solidFill>
                    <w14:schemeClr w14:val="tx1"/>
                  </w14:solidFill>
                </w14:textFill>
              </w:rPr>
              <w:t>、COD、氨氮排放总量控制指标，进一步完善总量控制指标体系。</w:t>
            </w:r>
          </w:p>
          <w:p>
            <w:pPr>
              <w:widowControl w:val="0"/>
              <w:ind w:firstLine="480" w:firstLineChars="200"/>
              <w:rPr>
                <w:color w:val="000000" w:themeColor="text1"/>
                <w:kern w:val="0"/>
                <w:szCs w:val="22"/>
                <w14:textFill>
                  <w14:solidFill>
                    <w14:schemeClr w14:val="tx1"/>
                  </w14:solidFill>
                </w14:textFill>
              </w:rPr>
            </w:pPr>
            <w:r>
              <w:rPr>
                <w:color w:val="000000" w:themeColor="text1"/>
                <w:kern w:val="0"/>
                <w:szCs w:val="22"/>
                <w:lang w:val="fr-FR"/>
                <w14:textFill>
                  <w14:solidFill>
                    <w14:schemeClr w14:val="tx1"/>
                  </w14:solidFill>
                </w14:textFill>
              </w:rPr>
              <w:t>根据工程分析，</w:t>
            </w:r>
            <w:r>
              <w:rPr>
                <w:rFonts w:hint="eastAsia"/>
                <w:color w:val="000000" w:themeColor="text1"/>
                <w:kern w:val="0"/>
                <w:szCs w:val="22"/>
                <w14:textFill>
                  <w14:solidFill>
                    <w14:schemeClr w14:val="tx1"/>
                  </w14:solidFill>
                </w14:textFill>
              </w:rPr>
              <w:t>本项目产生的大气污染物主要为粉尘，采取封闭式厂房、喷雾降尘措施后，粉尘排放量较小，呈无组织排放。</w:t>
            </w:r>
          </w:p>
          <w:p>
            <w:pPr>
              <w:pStyle w:val="56"/>
              <w:widowControl w:val="0"/>
              <w:adjustRightInd/>
              <w:snapToGrid/>
              <w:spacing w:beforeLines="0"/>
              <w:ind w:firstLine="480" w:firstLineChars="200"/>
              <w:rPr>
                <w:rFonts w:eastAsiaTheme="minorEastAsia"/>
                <w:b w:val="0"/>
                <w:szCs w:val="28"/>
              </w:rPr>
            </w:pPr>
            <w:r>
              <w:rPr>
                <w:rFonts w:hint="eastAsia"/>
                <w:b w:val="0"/>
                <w:color w:val="000000" w:themeColor="text1"/>
                <w:szCs w:val="22"/>
                <w14:textFill>
                  <w14:solidFill>
                    <w14:schemeClr w14:val="tx1"/>
                  </w14:solidFill>
                </w14:textFill>
              </w:rPr>
              <w:t>本</w:t>
            </w:r>
            <w:r>
              <w:rPr>
                <w:b w:val="0"/>
                <w:color w:val="000000" w:themeColor="text1"/>
                <w14:textFill>
                  <w14:solidFill>
                    <w14:schemeClr w14:val="tx1"/>
                  </w14:solidFill>
                </w14:textFill>
              </w:rPr>
              <w:t>项目</w:t>
            </w:r>
            <w:r>
              <w:rPr>
                <w:rFonts w:hint="eastAsia"/>
                <w:b w:val="0"/>
                <w:color w:val="000000" w:themeColor="text1"/>
                <w14:textFill>
                  <w14:solidFill>
                    <w14:schemeClr w14:val="tx1"/>
                  </w14:solidFill>
                </w14:textFill>
              </w:rPr>
              <w:t>生产废水经三级沉淀池</w:t>
            </w:r>
            <w:r>
              <w:rPr>
                <w:b w:val="0"/>
                <w:color w:val="000000" w:themeColor="text1"/>
                <w14:textFill>
                  <w14:solidFill>
                    <w14:schemeClr w14:val="tx1"/>
                  </w14:solidFill>
                </w14:textFill>
              </w:rPr>
              <w:t>处理后循环利用</w:t>
            </w:r>
            <w:r>
              <w:rPr>
                <w:rFonts w:hint="eastAsia"/>
                <w:b w:val="0"/>
                <w:color w:val="000000" w:themeColor="text1"/>
                <w14:textFill>
                  <w14:solidFill>
                    <w14:schemeClr w14:val="tx1"/>
                  </w14:solidFill>
                </w14:textFill>
              </w:rPr>
              <w:t>，</w:t>
            </w:r>
            <w:r>
              <w:rPr>
                <w:b w:val="0"/>
                <w:color w:val="000000" w:themeColor="text1"/>
                <w14:textFill>
                  <w14:solidFill>
                    <w14:schemeClr w14:val="tx1"/>
                  </w14:solidFill>
                </w14:textFill>
              </w:rPr>
              <w:t>不外排；</w:t>
            </w:r>
            <w:r>
              <w:rPr>
                <w:rFonts w:hint="eastAsia"/>
                <w:b w:val="0"/>
                <w:color w:val="000000" w:themeColor="text1"/>
                <w14:textFill>
                  <w14:solidFill>
                    <w14:schemeClr w14:val="tx1"/>
                  </w14:solidFill>
                </w14:textFill>
              </w:rPr>
              <w:t>生活</w:t>
            </w:r>
            <w:r>
              <w:rPr>
                <w:b w:val="0"/>
                <w:color w:val="000000" w:themeColor="text1"/>
                <w14:textFill>
                  <w14:solidFill>
                    <w14:schemeClr w14:val="tx1"/>
                  </w14:solidFill>
                </w14:textFill>
              </w:rPr>
              <w:t>污水</w:t>
            </w:r>
            <w:r>
              <w:rPr>
                <w:rFonts w:hint="eastAsia"/>
                <w:b w:val="0"/>
                <w:color w:val="000000" w:themeColor="text1"/>
                <w14:textFill>
                  <w14:solidFill>
                    <w14:schemeClr w14:val="tx1"/>
                  </w14:solidFill>
                </w14:textFill>
              </w:rPr>
              <w:t>全部作为农肥用于周边林地，不外排，因此环评建议</w:t>
            </w:r>
            <w:r>
              <w:rPr>
                <w:b w:val="0"/>
                <w:color w:val="000000" w:themeColor="text1"/>
                <w:szCs w:val="22"/>
                <w:lang w:val="fr-FR"/>
                <w14:textFill>
                  <w14:solidFill>
                    <w14:schemeClr w14:val="tx1"/>
                  </w14:solidFill>
                </w14:textFill>
              </w:rPr>
              <w:t>本项目</w:t>
            </w:r>
            <w:r>
              <w:rPr>
                <w:b w:val="0"/>
                <w:color w:val="000000" w:themeColor="text1"/>
                <w:szCs w:val="22"/>
                <w14:textFill>
                  <w14:solidFill>
                    <w14:schemeClr w14:val="tx1"/>
                  </w14:solidFill>
                </w14:textFill>
              </w:rPr>
              <w:t>不设总量控制指标。</w:t>
            </w:r>
          </w:p>
        </w:tc>
      </w:tr>
    </w:tbl>
    <w:p>
      <w:pPr>
        <w:pStyle w:val="56"/>
        <w:spacing w:beforeLines="0" w:line="240" w:lineRule="auto"/>
        <w:rPr>
          <w:rFonts w:eastAsiaTheme="minorEastAsia"/>
          <w:sz w:val="28"/>
          <w:szCs w:val="28"/>
        </w:rPr>
        <w:sectPr>
          <w:pgSz w:w="11906" w:h="16838"/>
          <w:pgMar w:top="1440" w:right="1800" w:bottom="2127" w:left="1800" w:header="851" w:footer="992" w:gutter="0"/>
          <w:pgNumType w:fmt="numberInDash"/>
          <w:cols w:space="720" w:num="1"/>
          <w:docGrid w:type="lines" w:linePitch="312" w:charSpace="0"/>
        </w:sectPr>
      </w:pPr>
    </w:p>
    <w:p>
      <w:pPr>
        <w:keepNext/>
        <w:keepLines/>
        <w:outlineLvl w:val="0"/>
        <w:rPr>
          <w:rFonts w:asciiTheme="minorEastAsia" w:hAnsiTheme="minorEastAsia" w:eastAsiaTheme="minorEastAsia"/>
          <w:b/>
          <w:bCs/>
          <w:kern w:val="44"/>
        </w:rPr>
      </w:pPr>
      <w:bookmarkStart w:id="60" w:name="_Toc1776"/>
      <w:r>
        <w:rPr>
          <w:rFonts w:asciiTheme="minorEastAsia" w:hAnsiTheme="minorEastAsia" w:eastAsiaTheme="minorEastAsia"/>
          <w:b/>
          <w:bCs/>
          <w:kern w:val="44"/>
        </w:rPr>
        <w:t>建设项目工程分析</w:t>
      </w:r>
      <w:bookmarkEnd w:id="60"/>
    </w:p>
    <w:tbl>
      <w:tblPr>
        <w:tblStyle w:val="25"/>
        <w:tblW w:w="52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5" w:hRule="atLeast"/>
          <w:jc w:val="center"/>
        </w:trPr>
        <w:tc>
          <w:tcPr>
            <w:tcW w:w="5000" w:type="pct"/>
          </w:tcPr>
          <w:p>
            <w:pPr>
              <w:widowControl w:val="0"/>
              <w:rPr>
                <w:rFonts w:asciiTheme="minorEastAsia" w:hAnsiTheme="minorEastAsia" w:eastAsiaTheme="minorEastAsia"/>
                <w:b/>
                <w:bCs/>
              </w:rPr>
            </w:pPr>
            <w:r>
              <w:rPr>
                <w:rFonts w:hint="eastAsia" w:asciiTheme="minorEastAsia" w:hAnsiTheme="minorEastAsia" w:eastAsiaTheme="minorEastAsia"/>
                <w:b/>
                <w:bCs/>
              </w:rPr>
              <w:t>工艺流程简述（图示）：</w:t>
            </w:r>
          </w:p>
          <w:p>
            <w:pPr>
              <w:widowControl w:val="0"/>
              <w:ind w:firstLine="480" w:firstLineChars="200"/>
              <w:rPr>
                <w:bCs/>
              </w:rPr>
            </w:pPr>
            <w:r>
              <w:rPr>
                <w:bCs/>
              </w:rPr>
              <w:t>一、施工期工艺流程及产污环节</w:t>
            </w:r>
          </w:p>
          <w:p>
            <w:pPr>
              <w:widowControl w:val="0"/>
              <w:ind w:firstLine="480" w:firstLineChars="200"/>
            </w:pPr>
            <w:r>
              <w:t>本项目属于新建项目，项目总占地面积</w:t>
            </w:r>
            <w:r>
              <w:rPr>
                <w:rFonts w:hint="eastAsia"/>
              </w:rPr>
              <w:t>3</w:t>
            </w:r>
            <w:r>
              <w:t>000m</w:t>
            </w:r>
            <w:r>
              <w:rPr>
                <w:vertAlign w:val="superscript"/>
              </w:rPr>
              <w:t>2</w:t>
            </w:r>
            <w:r>
              <w:t>，总建筑面积2000m</w:t>
            </w:r>
            <w:r>
              <w:rPr>
                <w:vertAlign w:val="superscript"/>
              </w:rPr>
              <w:t>2</w:t>
            </w:r>
            <w:r>
              <w:t>，项目现场较平整</w:t>
            </w:r>
            <w:r>
              <w:rPr>
                <w:rFonts w:hint="eastAsia"/>
              </w:rPr>
              <w:t>，</w:t>
            </w:r>
            <w:r>
              <w:t>施工期较简单</w:t>
            </w:r>
            <w:r>
              <w:rPr>
                <w:rFonts w:hint="eastAsia"/>
              </w:rPr>
              <w:t>，</w:t>
            </w:r>
            <w:r>
              <w:t>主要建设内容为</w:t>
            </w:r>
            <w:r>
              <w:rPr>
                <w:rFonts w:hint="eastAsia"/>
              </w:rPr>
              <w:t>厂房封闭及</w:t>
            </w:r>
            <w:r>
              <w:t>设备加装环保设施。项目建设周期</w:t>
            </w:r>
            <w:r>
              <w:rPr>
                <w:rFonts w:hint="eastAsia"/>
              </w:rPr>
              <w:t>为</w:t>
            </w:r>
            <w:r>
              <w:t>2</w:t>
            </w:r>
            <w:r>
              <w:rPr>
                <w:rFonts w:hint="eastAsia"/>
              </w:rPr>
              <w:t>个月</w:t>
            </w:r>
            <w:r>
              <w:t>。</w:t>
            </w:r>
          </w:p>
          <w:p>
            <w:pPr>
              <w:widowControl w:val="0"/>
              <w:ind w:firstLine="480" w:firstLineChars="200"/>
            </w:pPr>
            <w:r>
              <w:t>项目施工阶段主要污染因素为施工扬尘、施工机械燃油废气</w:t>
            </w:r>
            <w:r>
              <w:rPr>
                <w:rFonts w:hint="eastAsia"/>
              </w:rPr>
              <w:t>、施工机械</w:t>
            </w:r>
            <w:r>
              <w:t>噪声</w:t>
            </w:r>
            <w:r>
              <w:rPr>
                <w:rFonts w:hint="eastAsia"/>
              </w:rPr>
              <w:t>、建筑垃圾</w:t>
            </w:r>
            <w:r>
              <w:t>以及施工人员的生活污水、生活垃圾等。这些污染都是暂时的，随着施工期的结束而消除。施工期工艺流程及产污环节示意图见图5</w:t>
            </w:r>
            <w:r>
              <w:rPr>
                <w:rFonts w:hint="eastAsia"/>
              </w:rPr>
              <w:t>-</w:t>
            </w:r>
            <w:r>
              <w:t>1。</w:t>
            </w:r>
          </w:p>
          <w:p>
            <w:pPr>
              <w:widowControl w:val="0"/>
              <w:spacing w:before="156" w:beforeLines="50"/>
              <w:jc w:val="center"/>
              <w:rPr>
                <w:rFonts w:eastAsiaTheme="minorEastAsia"/>
              </w:rPr>
            </w:pPr>
            <w:r>
              <w:object>
                <v:shape id="_x0000_i1026" o:spt="75" type="#_x0000_t75" style="height:166.55pt;width:451.9pt;" o:ole="t" filled="f" o:preferrelative="t" stroked="f" coordsize="21600,21600">
                  <v:path/>
                  <v:fill on="f" focussize="0,0"/>
                  <v:stroke on="f" joinstyle="miter"/>
                  <v:imagedata r:id="rId11" o:title=""/>
                  <o:lock v:ext="edit" aspectratio="t"/>
                  <w10:wrap type="none"/>
                  <w10:anchorlock/>
                </v:shape>
                <o:OLEObject Type="Embed" ProgID="Visio.Drawing.15" ShapeID="_x0000_i1026" DrawAspect="Content" ObjectID="_1468075726" r:id="rId10">
                  <o:LockedField>false</o:LockedField>
                </o:OLEObject>
              </w:object>
            </w:r>
          </w:p>
          <w:p>
            <w:pPr>
              <w:widowControl w:val="0"/>
              <w:jc w:val="center"/>
            </w:pPr>
            <w:r>
              <w:rPr>
                <w:b/>
                <w:bCs/>
                <w:sz w:val="21"/>
                <w:szCs w:val="21"/>
              </w:rPr>
              <w:t>图5-1</w:t>
            </w:r>
            <w:r>
              <w:t xml:space="preserve">  </w:t>
            </w:r>
            <w:r>
              <w:rPr>
                <w:b/>
                <w:bCs/>
                <w:sz w:val="21"/>
                <w:szCs w:val="21"/>
              </w:rPr>
              <w:t>施工期工艺流程及产污位置图</w:t>
            </w:r>
          </w:p>
          <w:p>
            <w:pPr>
              <w:widowControl w:val="0"/>
              <w:ind w:firstLine="480" w:firstLineChars="200"/>
              <w:rPr>
                <w:bCs/>
              </w:rPr>
            </w:pPr>
            <w:r>
              <w:rPr>
                <w:bCs/>
              </w:rPr>
              <w:t>二、运营期工艺流程及产污环节</w:t>
            </w:r>
          </w:p>
          <w:p>
            <w:pPr>
              <w:widowControl/>
              <w:ind w:firstLine="480" w:firstLineChars="200"/>
              <w:rPr>
                <w:rFonts w:eastAsiaTheme="minorEastAsia"/>
                <w:color w:val="000000"/>
                <w:highlight w:val="green"/>
              </w:rPr>
            </w:pPr>
            <w:r>
              <w:rPr>
                <w:rFonts w:eastAsiaTheme="minorEastAsia"/>
                <w:color w:val="000000"/>
                <w:highlight w:val="green"/>
              </w:rPr>
              <w:t>本项目加工厂区建设</w:t>
            </w:r>
            <w:r>
              <w:rPr>
                <w:rFonts w:hint="eastAsia" w:eastAsiaTheme="minorEastAsia"/>
                <w:color w:val="000000"/>
                <w:highlight w:val="green"/>
              </w:rPr>
              <w:t>机制砂</w:t>
            </w:r>
            <w:r>
              <w:rPr>
                <w:rFonts w:eastAsiaTheme="minorEastAsia"/>
                <w:color w:val="000000"/>
                <w:highlight w:val="green"/>
              </w:rPr>
              <w:t>加工生产线一条</w:t>
            </w:r>
            <w:r>
              <w:rPr>
                <w:rFonts w:hint="eastAsia" w:eastAsiaTheme="minorEastAsia"/>
                <w:color w:val="000000"/>
                <w:highlight w:val="green"/>
              </w:rPr>
              <w:t>，加工能力为3万t/</w:t>
            </w:r>
            <w:r>
              <w:rPr>
                <w:rFonts w:eastAsiaTheme="minorEastAsia"/>
                <w:color w:val="000000"/>
                <w:highlight w:val="green"/>
              </w:rPr>
              <w:t>a</w:t>
            </w:r>
            <w:r>
              <w:rPr>
                <w:rFonts w:hint="eastAsia" w:eastAsiaTheme="minorEastAsia"/>
                <w:color w:val="000000"/>
                <w:highlight w:val="green"/>
              </w:rPr>
              <w:t>，采用湿法加工工艺。隧道废石渣由项目部工程车辆运至厂区原料堆场临时堆放，厂区内</w:t>
            </w:r>
            <w:r>
              <w:rPr>
                <w:rFonts w:eastAsiaTheme="minorEastAsia"/>
                <w:color w:val="000000"/>
                <w:highlight w:val="green"/>
              </w:rPr>
              <w:t>原料</w:t>
            </w:r>
            <w:r>
              <w:rPr>
                <w:rFonts w:hint="eastAsia" w:eastAsiaTheme="minorEastAsia"/>
                <w:color w:val="000000"/>
                <w:highlight w:val="green"/>
              </w:rPr>
              <w:t>废石渣</w:t>
            </w:r>
            <w:r>
              <w:rPr>
                <w:rFonts w:eastAsiaTheme="minorEastAsia"/>
                <w:color w:val="000000"/>
                <w:highlight w:val="green"/>
              </w:rPr>
              <w:t>通过铲车运至给料机进料斗下料，给料机</w:t>
            </w:r>
            <w:r>
              <w:rPr>
                <w:rFonts w:hint="eastAsia" w:eastAsiaTheme="minorEastAsia"/>
                <w:color w:val="000000"/>
                <w:highlight w:val="green"/>
              </w:rPr>
              <w:t>出来</w:t>
            </w:r>
            <w:r>
              <w:rPr>
                <w:rFonts w:eastAsiaTheme="minorEastAsia"/>
                <w:color w:val="000000"/>
                <w:highlight w:val="green"/>
              </w:rPr>
              <w:t>的废石渣原料通过皮带机传送至碎石机进行破碎，破碎后的</w:t>
            </w:r>
            <w:r>
              <w:rPr>
                <w:rFonts w:hint="eastAsia" w:eastAsiaTheme="minorEastAsia"/>
                <w:color w:val="000000"/>
                <w:highlight w:val="green"/>
              </w:rPr>
              <w:t>碎石料</w:t>
            </w:r>
            <w:r>
              <w:rPr>
                <w:rFonts w:eastAsiaTheme="minorEastAsia"/>
                <w:color w:val="000000"/>
                <w:highlight w:val="green"/>
              </w:rPr>
              <w:t>通过皮带机传送至振动滚筛进行筛分。振动筛筛条孔径大小为</w:t>
            </w:r>
            <w:r>
              <w:rPr>
                <w:rFonts w:hint="eastAsia" w:eastAsiaTheme="minorEastAsia"/>
                <w:color w:val="000000"/>
                <w:highlight w:val="green"/>
              </w:rPr>
              <w:t>6</w:t>
            </w:r>
            <w:r>
              <w:rPr>
                <w:rFonts w:eastAsiaTheme="minorEastAsia"/>
                <w:color w:val="000000"/>
                <w:highlight w:val="green"/>
              </w:rPr>
              <w:t>mm</w:t>
            </w:r>
            <w:r>
              <w:rPr>
                <w:rFonts w:hint="eastAsia" w:eastAsiaTheme="minorEastAsia"/>
                <w:color w:val="000000"/>
                <w:highlight w:val="green"/>
              </w:rPr>
              <w:t>，</w:t>
            </w:r>
            <w:r>
              <w:rPr>
                <w:rFonts w:eastAsiaTheme="minorEastAsia"/>
                <w:color w:val="000000"/>
                <w:highlight w:val="green"/>
              </w:rPr>
              <w:t>可将破碎后的碎石料分选成0~4mm粒径的</w:t>
            </w:r>
            <w:r>
              <w:rPr>
                <w:rFonts w:hint="eastAsia" w:eastAsiaTheme="minorEastAsia"/>
                <w:color w:val="000000"/>
                <w:highlight w:val="green"/>
              </w:rPr>
              <w:t>细</w:t>
            </w:r>
            <w:r>
              <w:rPr>
                <w:rFonts w:eastAsiaTheme="minorEastAsia"/>
                <w:color w:val="000000"/>
                <w:highlight w:val="green"/>
              </w:rPr>
              <w:t>砂和粒径</w:t>
            </w:r>
            <w:r>
              <w:rPr>
                <w:rFonts w:eastAsiaTheme="minorEastAsia"/>
                <w:highlight w:val="green"/>
              </w:rPr>
              <w:t>≥4mm</w:t>
            </w:r>
            <w:r>
              <w:rPr>
                <w:rFonts w:eastAsiaTheme="minorEastAsia"/>
                <w:color w:val="000000"/>
                <w:highlight w:val="green"/>
              </w:rPr>
              <w:t>的粗砂</w:t>
            </w:r>
            <w:r>
              <w:rPr>
                <w:rFonts w:hint="eastAsia" w:eastAsiaTheme="minorEastAsia"/>
                <w:color w:val="000000"/>
                <w:highlight w:val="green"/>
              </w:rPr>
              <w:t>。</w:t>
            </w:r>
            <w:r>
              <w:rPr>
                <w:rFonts w:eastAsiaTheme="minorEastAsia"/>
                <w:color w:val="000000"/>
                <w:highlight w:val="green"/>
              </w:rPr>
              <w:t>粒径0~4mm的细砂为合格产品</w:t>
            </w:r>
            <w:r>
              <w:rPr>
                <w:rFonts w:hint="eastAsia" w:eastAsiaTheme="minorEastAsia"/>
                <w:color w:val="000000"/>
                <w:highlight w:val="green"/>
              </w:rPr>
              <w:t>，</w:t>
            </w:r>
            <w:r>
              <w:rPr>
                <w:rFonts w:eastAsiaTheme="minorEastAsia"/>
                <w:color w:val="000000"/>
                <w:highlight w:val="green"/>
              </w:rPr>
              <w:t>直接送至洗砂机进行洗砂</w:t>
            </w:r>
            <w:r>
              <w:rPr>
                <w:rFonts w:hint="eastAsia" w:eastAsiaTheme="minorEastAsia"/>
                <w:color w:val="000000"/>
                <w:highlight w:val="green"/>
              </w:rPr>
              <w:t>；</w:t>
            </w:r>
            <w:r>
              <w:rPr>
                <w:rFonts w:eastAsiaTheme="minorEastAsia"/>
                <w:color w:val="000000"/>
                <w:highlight w:val="green"/>
              </w:rPr>
              <w:t>粒径</w:t>
            </w:r>
            <w:r>
              <w:rPr>
                <w:rFonts w:eastAsiaTheme="minorEastAsia"/>
                <w:highlight w:val="green"/>
              </w:rPr>
              <w:t>≥4mm</w:t>
            </w:r>
            <w:r>
              <w:rPr>
                <w:rFonts w:eastAsiaTheme="minorEastAsia"/>
                <w:color w:val="000000"/>
                <w:highlight w:val="green"/>
              </w:rPr>
              <w:t>的粗砂由皮带机传送至制砂机制砂，制砂机出来后的细料进入洗砂机洗砂</w:t>
            </w:r>
            <w:r>
              <w:rPr>
                <w:rFonts w:hint="eastAsia" w:eastAsiaTheme="minorEastAsia"/>
                <w:color w:val="000000"/>
                <w:highlight w:val="green"/>
              </w:rPr>
              <w:t>。</w:t>
            </w:r>
            <w:r>
              <w:rPr>
                <w:rFonts w:eastAsiaTheme="minorEastAsia"/>
                <w:color w:val="000000"/>
                <w:highlight w:val="green"/>
              </w:rPr>
              <w:t>洗砂机出料通过皮带传送至成品堆场。</w:t>
            </w:r>
          </w:p>
          <w:p>
            <w:pPr>
              <w:pStyle w:val="2"/>
              <w:widowControl w:val="0"/>
              <w:ind w:firstLine="480" w:firstLineChars="200"/>
              <w:outlineLvl w:val="1"/>
              <w:rPr>
                <w:rFonts w:ascii="Times New Roman" w:hAnsi="Times New Roman" w:eastAsiaTheme="minorEastAsia"/>
                <w:b w:val="0"/>
                <w:color w:val="000000"/>
                <w:sz w:val="24"/>
              </w:rPr>
            </w:pPr>
            <w:r>
              <w:rPr>
                <w:rFonts w:ascii="Times New Roman" w:hAnsi="Times New Roman" w:eastAsiaTheme="minorEastAsia"/>
                <w:b w:val="0"/>
                <w:color w:val="000000"/>
                <w:sz w:val="24"/>
                <w:highlight w:val="green"/>
              </w:rPr>
              <w:t>洗砂废水通过排水管道进入三级沉淀池，经沉淀后全部循环利用，不外排。废泥渣经压滤机压滤后外售砖厂。</w:t>
            </w:r>
          </w:p>
          <w:p>
            <w:pPr>
              <w:widowControl w:val="0"/>
              <w:ind w:firstLine="480" w:firstLineChars="200"/>
            </w:pPr>
            <w:r>
              <w:t>运营期工艺流程及产物环节图见图</w:t>
            </w:r>
            <w:r>
              <w:rPr>
                <w:rFonts w:hint="eastAsia"/>
              </w:rPr>
              <w:t>5-</w:t>
            </w:r>
            <w:r>
              <w:t>2。</w:t>
            </w:r>
          </w:p>
          <w:p>
            <w:pPr>
              <w:widowControl w:val="0"/>
              <w:jc w:val="center"/>
              <w:rPr>
                <w:b/>
                <w:bCs/>
                <w:sz w:val="21"/>
                <w:szCs w:val="21"/>
              </w:rPr>
            </w:pPr>
            <w:r>
              <w:object>
                <v:shape id="_x0000_i1027" o:spt="75" type="#_x0000_t75" style="height:472.85pt;width:326.15pt;" o:ole="t" filled="f" o:preferrelative="t" stroked="f" coordsize="21600,21600">
                  <v:path/>
                  <v:fill on="f" focussize="0,0"/>
                  <v:stroke on="f" joinstyle="miter"/>
                  <v:imagedata r:id="rId13" o:title=""/>
                  <o:lock v:ext="edit" aspectratio="t"/>
                  <w10:wrap type="none"/>
                  <w10:anchorlock/>
                </v:shape>
                <o:OLEObject Type="Embed" ProgID="Visio.Drawing.15" ShapeID="_x0000_i1027" DrawAspect="Content" ObjectID="_1468075727" r:id="rId12">
                  <o:LockedField>false</o:LockedField>
                </o:OLEObject>
              </w:object>
            </w:r>
          </w:p>
          <w:p>
            <w:pPr>
              <w:widowControl w:val="0"/>
              <w:spacing w:line="240" w:lineRule="auto"/>
              <w:jc w:val="center"/>
              <w:rPr>
                <w:b/>
                <w:bCs/>
                <w:sz w:val="21"/>
                <w:szCs w:val="21"/>
              </w:rPr>
            </w:pPr>
            <w:r>
              <w:rPr>
                <w:b/>
                <w:bCs/>
                <w:sz w:val="21"/>
                <w:szCs w:val="21"/>
              </w:rPr>
              <w:t>图5-2</w:t>
            </w:r>
            <w:r>
              <w:t xml:space="preserve">  </w:t>
            </w:r>
            <w:r>
              <w:rPr>
                <w:b/>
                <w:bCs/>
                <w:sz w:val="21"/>
                <w:szCs w:val="21"/>
              </w:rPr>
              <w:t>运营期工艺流程及产污</w:t>
            </w:r>
            <w:r>
              <w:rPr>
                <w:rFonts w:hint="eastAsia"/>
                <w:b/>
                <w:bCs/>
                <w:sz w:val="21"/>
                <w:szCs w:val="21"/>
              </w:rPr>
              <w:t>环节</w:t>
            </w:r>
            <w:r>
              <w:rPr>
                <w:b/>
                <w:bCs/>
                <w:sz w:val="21"/>
                <w:szCs w:val="21"/>
              </w:rPr>
              <w:t>图</w:t>
            </w:r>
          </w:p>
          <w:p>
            <w:pPr>
              <w:widowControl w:val="0"/>
              <w:rPr>
                <w:rFonts w:asciiTheme="minorEastAsia" w:hAnsiTheme="minorEastAsia" w:eastAsiaTheme="minorEastAsia"/>
                <w:b/>
                <w:bCs/>
              </w:rPr>
            </w:pPr>
            <w:r>
              <w:rPr>
                <w:rFonts w:asciiTheme="minorEastAsia" w:hAnsiTheme="minorEastAsia" w:eastAsiaTheme="minorEastAsia"/>
                <w:b/>
                <w:bCs/>
              </w:rPr>
              <w:t>主要污染工序</w:t>
            </w:r>
          </w:p>
          <w:p>
            <w:pPr>
              <w:pStyle w:val="19"/>
              <w:widowControl w:val="0"/>
              <w:ind w:right="0" w:rightChars="0" w:firstLine="480" w:firstLineChars="200"/>
              <w:rPr>
                <w:bCs/>
                <w:sz w:val="24"/>
              </w:rPr>
            </w:pPr>
            <w:r>
              <w:rPr>
                <w:bCs/>
                <w:sz w:val="24"/>
              </w:rPr>
              <w:t>一、施工期</w:t>
            </w:r>
          </w:p>
          <w:p>
            <w:pPr>
              <w:pStyle w:val="19"/>
              <w:widowControl w:val="0"/>
              <w:ind w:right="0" w:rightChars="0" w:firstLine="480" w:firstLineChars="200"/>
              <w:rPr>
                <w:sz w:val="24"/>
              </w:rPr>
            </w:pPr>
            <w:r>
              <w:rPr>
                <w:sz w:val="24"/>
              </w:rPr>
              <w:t>项目施工期对环境的影响主要是施工废气，废水、施工噪声及固体废弃物等。</w:t>
            </w:r>
          </w:p>
          <w:p>
            <w:pPr>
              <w:pStyle w:val="19"/>
              <w:widowControl w:val="0"/>
              <w:tabs>
                <w:tab w:val="left" w:pos="4480"/>
              </w:tabs>
              <w:ind w:right="0" w:rightChars="0" w:firstLine="480" w:firstLineChars="200"/>
              <w:rPr>
                <w:bCs/>
                <w:sz w:val="24"/>
              </w:rPr>
            </w:pPr>
            <w:r>
              <w:rPr>
                <w:bCs/>
                <w:sz w:val="24"/>
              </w:rPr>
              <w:t>1、废气</w:t>
            </w:r>
          </w:p>
          <w:p>
            <w:pPr>
              <w:pStyle w:val="19"/>
              <w:widowControl w:val="0"/>
              <w:tabs>
                <w:tab w:val="left" w:pos="4480"/>
              </w:tabs>
              <w:ind w:right="0" w:rightChars="0" w:firstLine="480" w:firstLineChars="200"/>
              <w:rPr>
                <w:sz w:val="24"/>
              </w:rPr>
            </w:pPr>
            <w:r>
              <w:rPr>
                <w:sz w:val="24"/>
              </w:rPr>
              <w:t>项目施工期的大气污染物主要是扬尘，施工机械及车辆产生的废气。</w:t>
            </w:r>
          </w:p>
          <w:p>
            <w:pPr>
              <w:pStyle w:val="19"/>
              <w:widowControl w:val="0"/>
              <w:tabs>
                <w:tab w:val="left" w:pos="4480"/>
              </w:tabs>
              <w:ind w:right="0" w:rightChars="0" w:firstLine="480" w:firstLineChars="200"/>
              <w:rPr>
                <w:sz w:val="24"/>
              </w:rPr>
            </w:pPr>
            <w:r>
              <w:rPr>
                <w:sz w:val="24"/>
              </w:rPr>
              <w:t>（1）施工扬尘</w:t>
            </w:r>
          </w:p>
          <w:p>
            <w:pPr>
              <w:pStyle w:val="19"/>
              <w:widowControl w:val="0"/>
              <w:tabs>
                <w:tab w:val="left" w:pos="4480"/>
              </w:tabs>
              <w:ind w:right="0" w:rightChars="0" w:firstLine="480" w:firstLineChars="200"/>
              <w:rPr>
                <w:sz w:val="24"/>
              </w:rPr>
            </w:pPr>
            <w:r>
              <w:rPr>
                <w:sz w:val="24"/>
              </w:rPr>
              <w:t>施工扬尘主要来自于场地基础施工、主体工程等施工过程，另外在砂石料卸料、堆放过程以及车辆进出工地等也会产生扬尘，都属于无组织排放。扬尘量的大小与施工现场条件、管理水平、机械化程度以及施工季节、土质和气象等诸多因素有关。</w:t>
            </w:r>
            <w:r>
              <w:rPr>
                <w:bCs/>
                <w:sz w:val="24"/>
              </w:rPr>
              <w:t>不利气象条件下，如风速≥3.0m/s时，上述颗粒物就会扬起进入大气环境中，对周围环境空气质量造成影响。</w:t>
            </w:r>
          </w:p>
          <w:p>
            <w:pPr>
              <w:pStyle w:val="19"/>
              <w:widowControl w:val="0"/>
              <w:tabs>
                <w:tab w:val="left" w:pos="4480"/>
              </w:tabs>
              <w:ind w:right="0" w:rightChars="0" w:firstLine="480" w:firstLineChars="200"/>
              <w:rPr>
                <w:sz w:val="24"/>
              </w:rPr>
            </w:pPr>
            <w:r>
              <w:rPr>
                <w:sz w:val="24"/>
              </w:rPr>
              <w:t>（2）施工机械及车辆废气</w:t>
            </w:r>
          </w:p>
          <w:p>
            <w:pPr>
              <w:pStyle w:val="19"/>
              <w:widowControl w:val="0"/>
              <w:tabs>
                <w:tab w:val="left" w:pos="4480"/>
              </w:tabs>
              <w:ind w:right="0" w:rightChars="0" w:firstLine="480" w:firstLineChars="200"/>
              <w:rPr>
                <w:sz w:val="24"/>
              </w:rPr>
            </w:pPr>
            <w:r>
              <w:rPr>
                <w:sz w:val="24"/>
              </w:rPr>
              <w:t>施工期间，使用机动车运送原料、设备和建筑机械设备等，均会排放一定量的CO、NO</w:t>
            </w:r>
            <w:r>
              <w:rPr>
                <w:sz w:val="24"/>
                <w:vertAlign w:val="subscript"/>
              </w:rPr>
              <w:t>X</w:t>
            </w:r>
            <w:r>
              <w:rPr>
                <w:sz w:val="24"/>
              </w:rPr>
              <w:t>和THC等，其特点是排放量小，属于间断性无组织排放。</w:t>
            </w:r>
          </w:p>
          <w:p>
            <w:pPr>
              <w:pStyle w:val="19"/>
              <w:widowControl w:val="0"/>
              <w:tabs>
                <w:tab w:val="left" w:pos="4480"/>
              </w:tabs>
              <w:ind w:right="0" w:rightChars="0" w:firstLine="480" w:firstLineChars="200"/>
              <w:rPr>
                <w:bCs/>
                <w:sz w:val="24"/>
              </w:rPr>
            </w:pPr>
            <w:r>
              <w:rPr>
                <w:bCs/>
                <w:sz w:val="24"/>
              </w:rPr>
              <w:t>2、废水</w:t>
            </w:r>
          </w:p>
          <w:p>
            <w:pPr>
              <w:pStyle w:val="19"/>
              <w:widowControl w:val="0"/>
              <w:tabs>
                <w:tab w:val="left" w:pos="4480"/>
              </w:tabs>
              <w:ind w:right="0" w:rightChars="0" w:firstLine="480" w:firstLineChars="200"/>
              <w:rPr>
                <w:bCs/>
                <w:sz w:val="24"/>
              </w:rPr>
            </w:pPr>
            <w:r>
              <w:rPr>
                <w:bCs/>
                <w:sz w:val="24"/>
              </w:rPr>
              <w:t>施工过程中产生的废水主要为施工人员产生的生活污水和建筑施工废水。</w:t>
            </w:r>
          </w:p>
          <w:p>
            <w:pPr>
              <w:pStyle w:val="19"/>
              <w:widowControl w:val="0"/>
              <w:tabs>
                <w:tab w:val="left" w:pos="4480"/>
              </w:tabs>
              <w:ind w:right="0" w:rightChars="0" w:firstLine="480" w:firstLineChars="200"/>
              <w:rPr>
                <w:rFonts w:eastAsiaTheme="minorEastAsia"/>
                <w:sz w:val="24"/>
              </w:rPr>
            </w:pPr>
            <w:r>
              <w:rPr>
                <w:rFonts w:eastAsiaTheme="minorEastAsia"/>
                <w:sz w:val="24"/>
              </w:rPr>
              <w:t>（1）施工作业废水</w:t>
            </w:r>
          </w:p>
          <w:p>
            <w:pPr>
              <w:pStyle w:val="19"/>
              <w:widowControl w:val="0"/>
              <w:tabs>
                <w:tab w:val="left" w:pos="4480"/>
              </w:tabs>
              <w:ind w:right="0" w:rightChars="0" w:firstLine="480" w:firstLineChars="200"/>
              <w:rPr>
                <w:rFonts w:eastAsiaTheme="minorEastAsia"/>
                <w:sz w:val="24"/>
              </w:rPr>
            </w:pPr>
            <w:r>
              <w:rPr>
                <w:rFonts w:eastAsiaTheme="minorEastAsia"/>
                <w:sz w:val="24"/>
              </w:rPr>
              <w:t>施工作业废水主要为场地硬化养护用水和施工机械设备冲洗废水。废水主要污染物为泥沙、悬浮物等。施工废水经沉淀池沉淀处理后，可回用至场地洒水抑尘等施工环节中，不外排。</w:t>
            </w:r>
          </w:p>
          <w:p>
            <w:pPr>
              <w:pStyle w:val="19"/>
              <w:widowControl w:val="0"/>
              <w:tabs>
                <w:tab w:val="left" w:pos="4480"/>
              </w:tabs>
              <w:ind w:right="0" w:rightChars="0" w:firstLine="480" w:firstLineChars="200"/>
              <w:rPr>
                <w:rFonts w:eastAsiaTheme="minorEastAsia"/>
                <w:sz w:val="24"/>
              </w:rPr>
            </w:pPr>
            <w:r>
              <w:rPr>
                <w:rFonts w:eastAsiaTheme="minorEastAsia"/>
                <w:sz w:val="24"/>
              </w:rPr>
              <w:t>（2）施工期生活污水</w:t>
            </w:r>
          </w:p>
          <w:p>
            <w:pPr>
              <w:widowControl w:val="0"/>
              <w:ind w:firstLine="480" w:firstLineChars="200"/>
              <w:rPr>
                <w:rFonts w:eastAsiaTheme="minorEastAsia"/>
              </w:rPr>
            </w:pPr>
            <w:r>
              <w:rPr>
                <w:rFonts w:eastAsiaTheme="minorEastAsia"/>
                <w:kern w:val="0"/>
              </w:rPr>
              <w:t>本项目在现有场地施工，</w:t>
            </w:r>
            <w:r>
              <w:rPr>
                <w:rFonts w:eastAsiaTheme="minorEastAsia"/>
              </w:rPr>
              <w:t>施工高峰期人员约10人，施工人员用水按</w:t>
            </w:r>
            <w:r>
              <w:rPr>
                <w:rFonts w:hint="eastAsia" w:eastAsiaTheme="minorEastAsia"/>
              </w:rPr>
              <w:t>4</w:t>
            </w:r>
            <w:r>
              <w:rPr>
                <w:rFonts w:eastAsiaTheme="minorEastAsia"/>
              </w:rPr>
              <w:t>0L/d·人计算，则用水量为</w:t>
            </w:r>
            <w:r>
              <w:rPr>
                <w:rFonts w:hint="eastAsia" w:eastAsiaTheme="minorEastAsia"/>
              </w:rPr>
              <w:t>0.</w:t>
            </w:r>
            <w:r>
              <w:rPr>
                <w:rFonts w:eastAsiaTheme="minorEastAsia"/>
              </w:rPr>
              <w:t>4m</w:t>
            </w:r>
            <w:r>
              <w:rPr>
                <w:rFonts w:eastAsiaTheme="minorEastAsia"/>
                <w:vertAlign w:val="superscript"/>
              </w:rPr>
              <w:t>3</w:t>
            </w:r>
            <w:r>
              <w:rPr>
                <w:rFonts w:eastAsiaTheme="minorEastAsia"/>
              </w:rPr>
              <w:t>/d</w:t>
            </w:r>
            <w:r>
              <w:rPr>
                <w:rFonts w:hint="eastAsia" w:eastAsiaTheme="minorEastAsia"/>
              </w:rPr>
              <w:t>，</w:t>
            </w:r>
            <w:r>
              <w:rPr>
                <w:rFonts w:eastAsiaTheme="minorEastAsia"/>
              </w:rPr>
              <w:t>污水排放系数取0.8，则生活污水产生量为</w:t>
            </w:r>
            <w:r>
              <w:rPr>
                <w:rFonts w:hint="eastAsia" w:eastAsiaTheme="minorEastAsia"/>
              </w:rPr>
              <w:t>0.</w:t>
            </w:r>
            <w:r>
              <w:rPr>
                <w:rFonts w:eastAsiaTheme="minorEastAsia"/>
              </w:rPr>
              <w:t>32m</w:t>
            </w:r>
            <w:r>
              <w:rPr>
                <w:rFonts w:eastAsiaTheme="minorEastAsia"/>
                <w:vertAlign w:val="superscript"/>
              </w:rPr>
              <w:t>3</w:t>
            </w:r>
            <w:r>
              <w:rPr>
                <w:rFonts w:eastAsiaTheme="minorEastAsia"/>
              </w:rPr>
              <w:t>/d</w:t>
            </w:r>
            <w:r>
              <w:rPr>
                <w:rFonts w:hint="eastAsia" w:eastAsiaTheme="minorEastAsia"/>
              </w:rPr>
              <w:t>，</w:t>
            </w:r>
            <w:r>
              <w:t>主要污染因子为COD、BOD</w:t>
            </w:r>
            <w:r>
              <w:rPr>
                <w:vertAlign w:val="subscript"/>
              </w:rPr>
              <w:t>5</w:t>
            </w:r>
            <w:r>
              <w:t>、SS、NH</w:t>
            </w:r>
            <w:r>
              <w:rPr>
                <w:vertAlign w:val="subscript"/>
              </w:rPr>
              <w:t>3</w:t>
            </w:r>
            <w:r>
              <w:t>-N，其中盥洗废水回用于施工场地洒水抑尘；</w:t>
            </w:r>
            <w:r>
              <w:rPr>
                <w:rFonts w:eastAsiaTheme="minorEastAsia"/>
                <w:kern w:val="0"/>
              </w:rPr>
              <w:t>污水经现有旱厕收集后，用于</w:t>
            </w:r>
            <w:r>
              <w:rPr>
                <w:rFonts w:hint="eastAsia" w:eastAsiaTheme="minorEastAsia"/>
                <w:kern w:val="0"/>
              </w:rPr>
              <w:t>林地</w:t>
            </w:r>
            <w:r>
              <w:rPr>
                <w:rFonts w:eastAsiaTheme="minorEastAsia"/>
                <w:kern w:val="0"/>
              </w:rPr>
              <w:t>堆肥处理。</w:t>
            </w:r>
          </w:p>
          <w:p>
            <w:pPr>
              <w:pStyle w:val="19"/>
              <w:widowControl w:val="0"/>
              <w:tabs>
                <w:tab w:val="left" w:pos="4480"/>
              </w:tabs>
              <w:ind w:right="0" w:rightChars="0" w:firstLine="480" w:firstLineChars="200"/>
              <w:rPr>
                <w:bCs/>
                <w:sz w:val="24"/>
              </w:rPr>
            </w:pPr>
            <w:r>
              <w:rPr>
                <w:bCs/>
                <w:sz w:val="24"/>
              </w:rPr>
              <w:t>3、噪声</w:t>
            </w:r>
          </w:p>
          <w:p>
            <w:pPr>
              <w:widowControl w:val="0"/>
              <w:ind w:firstLine="480" w:firstLineChars="200"/>
              <w:rPr>
                <w:kern w:val="0"/>
                <w:szCs w:val="20"/>
              </w:rPr>
            </w:pPr>
            <w:r>
              <w:t>本项目施工过程使用的机械主要有：挖掘机、推土机、装载机等，根据《噪声与振动控制工程手册》，上述施工机械单体设备的声源声级一般在85dB（A）~100dB（A）之间。施工期噪声影响虽然是暂时的，但是施工过程中采用的施工机械一般都具有噪声高、无规则等特点，且无明显的指向性。此外</w:t>
            </w:r>
            <w:r>
              <w:rPr>
                <w:rFonts w:hint="eastAsia"/>
              </w:rPr>
              <w:t>，</w:t>
            </w:r>
            <w:r>
              <w:rPr>
                <w:kern w:val="0"/>
              </w:rPr>
              <w:t>运输车辆一般声级为85dB（A）。</w:t>
            </w:r>
            <w:r>
              <w:t>主要噪声源及其噪声值见表5</w:t>
            </w:r>
            <w:r>
              <w:rPr>
                <w:rFonts w:hint="eastAsia"/>
              </w:rPr>
              <w:t>-</w:t>
            </w:r>
            <w:r>
              <w:t>1。</w:t>
            </w:r>
          </w:p>
          <w:p>
            <w:pPr>
              <w:pStyle w:val="19"/>
              <w:widowControl w:val="0"/>
              <w:numPr>
                <w:ilvl w:val="0"/>
                <w:numId w:val="6"/>
              </w:numPr>
              <w:tabs>
                <w:tab w:val="left" w:pos="4480"/>
              </w:tabs>
              <w:spacing w:line="240" w:lineRule="auto"/>
              <w:ind w:left="0" w:right="0" w:rightChars="0" w:firstLine="0" w:firstLineChars="0"/>
              <w:jc w:val="center"/>
              <w:rPr>
                <w:sz w:val="15"/>
              </w:rPr>
            </w:pPr>
            <w:r>
              <w:rPr>
                <w:b/>
                <w:sz w:val="21"/>
              </w:rPr>
              <w:t xml:space="preserve">  施工期主要机械设备噪声值一览表     单位：dB（A）</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9"/>
              <w:gridCol w:w="2468"/>
              <w:gridCol w:w="2710"/>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660" w:type="pct"/>
                  <w:vAlign w:val="center"/>
                </w:tcPr>
                <w:p>
                  <w:pPr>
                    <w:spacing w:line="240" w:lineRule="auto"/>
                    <w:jc w:val="center"/>
                    <w:rPr>
                      <w:b/>
                      <w:sz w:val="21"/>
                      <w:szCs w:val="21"/>
                    </w:rPr>
                  </w:pPr>
                  <w:r>
                    <w:rPr>
                      <w:b/>
                      <w:sz w:val="21"/>
                      <w:szCs w:val="21"/>
                    </w:rPr>
                    <w:t>序号</w:t>
                  </w:r>
                </w:p>
              </w:tc>
              <w:tc>
                <w:tcPr>
                  <w:tcW w:w="1358" w:type="pct"/>
                  <w:vAlign w:val="center"/>
                </w:tcPr>
                <w:p>
                  <w:pPr>
                    <w:spacing w:line="240" w:lineRule="auto"/>
                    <w:jc w:val="center"/>
                    <w:rPr>
                      <w:b/>
                      <w:sz w:val="21"/>
                      <w:szCs w:val="21"/>
                    </w:rPr>
                  </w:pPr>
                  <w:r>
                    <w:rPr>
                      <w:b/>
                      <w:sz w:val="21"/>
                      <w:szCs w:val="21"/>
                    </w:rPr>
                    <w:t>设备名称</w:t>
                  </w:r>
                </w:p>
              </w:tc>
              <w:tc>
                <w:tcPr>
                  <w:tcW w:w="1491" w:type="pct"/>
                  <w:vAlign w:val="center"/>
                </w:tcPr>
                <w:p>
                  <w:pPr>
                    <w:spacing w:line="240" w:lineRule="auto"/>
                    <w:jc w:val="center"/>
                    <w:rPr>
                      <w:b/>
                      <w:sz w:val="21"/>
                      <w:szCs w:val="21"/>
                    </w:rPr>
                  </w:pPr>
                  <w:r>
                    <w:rPr>
                      <w:b/>
                      <w:sz w:val="21"/>
                      <w:szCs w:val="21"/>
                    </w:rPr>
                    <w:t>声级dB(A)</w:t>
                  </w:r>
                </w:p>
              </w:tc>
              <w:tc>
                <w:tcPr>
                  <w:tcW w:w="1491" w:type="pct"/>
                  <w:vAlign w:val="center"/>
                </w:tcPr>
                <w:p>
                  <w:pPr>
                    <w:spacing w:line="240" w:lineRule="auto"/>
                    <w:jc w:val="center"/>
                    <w:rPr>
                      <w:b/>
                      <w:sz w:val="21"/>
                      <w:szCs w:val="21"/>
                    </w:rPr>
                  </w:pPr>
                  <w:r>
                    <w:rPr>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660" w:type="pct"/>
                  <w:shd w:val="clear" w:color="auto" w:fill="auto"/>
                  <w:vAlign w:val="center"/>
                </w:tcPr>
                <w:p>
                  <w:pPr>
                    <w:spacing w:line="240" w:lineRule="auto"/>
                    <w:jc w:val="center"/>
                    <w:rPr>
                      <w:sz w:val="21"/>
                      <w:szCs w:val="21"/>
                    </w:rPr>
                  </w:pPr>
                  <w:r>
                    <w:rPr>
                      <w:sz w:val="21"/>
                      <w:szCs w:val="21"/>
                    </w:rPr>
                    <w:t>1</w:t>
                  </w:r>
                </w:p>
              </w:tc>
              <w:tc>
                <w:tcPr>
                  <w:tcW w:w="1358" w:type="pct"/>
                  <w:vAlign w:val="center"/>
                </w:tcPr>
                <w:p>
                  <w:pPr>
                    <w:spacing w:line="240" w:lineRule="auto"/>
                    <w:jc w:val="center"/>
                    <w:rPr>
                      <w:sz w:val="21"/>
                      <w:szCs w:val="21"/>
                    </w:rPr>
                  </w:pPr>
                  <w:r>
                    <w:rPr>
                      <w:sz w:val="21"/>
                      <w:szCs w:val="21"/>
                    </w:rPr>
                    <w:t>推土机</w:t>
                  </w:r>
                </w:p>
              </w:tc>
              <w:tc>
                <w:tcPr>
                  <w:tcW w:w="1491" w:type="pct"/>
                  <w:vAlign w:val="center"/>
                </w:tcPr>
                <w:p>
                  <w:pPr>
                    <w:tabs>
                      <w:tab w:val="left" w:pos="615"/>
                    </w:tabs>
                    <w:spacing w:line="240" w:lineRule="auto"/>
                    <w:jc w:val="center"/>
                    <w:rPr>
                      <w:sz w:val="21"/>
                      <w:szCs w:val="21"/>
                    </w:rPr>
                  </w:pPr>
                  <w:r>
                    <w:rPr>
                      <w:sz w:val="21"/>
                      <w:szCs w:val="21"/>
                    </w:rPr>
                    <w:t>9</w:t>
                  </w:r>
                  <w:r>
                    <w:rPr>
                      <w:rFonts w:hint="eastAsia"/>
                      <w:sz w:val="21"/>
                      <w:szCs w:val="21"/>
                    </w:rPr>
                    <w:t>0</w:t>
                  </w:r>
                </w:p>
              </w:tc>
              <w:tc>
                <w:tcPr>
                  <w:tcW w:w="1491" w:type="pct"/>
                  <w:vMerge w:val="restart"/>
                  <w:vAlign w:val="center"/>
                </w:tcPr>
                <w:p>
                  <w:pPr>
                    <w:tabs>
                      <w:tab w:val="left" w:pos="615"/>
                    </w:tabs>
                    <w:spacing w:line="240" w:lineRule="auto"/>
                    <w:jc w:val="center"/>
                    <w:rPr>
                      <w:sz w:val="21"/>
                      <w:szCs w:val="21"/>
                    </w:rPr>
                  </w:pPr>
                  <w:r>
                    <w:rPr>
                      <w:sz w:val="21"/>
                      <w:szCs w:val="21"/>
                    </w:rPr>
                    <w:t>基础、主体工程施工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660" w:type="pct"/>
                  <w:shd w:val="clear" w:color="auto" w:fill="auto"/>
                  <w:vAlign w:val="center"/>
                </w:tcPr>
                <w:p>
                  <w:pPr>
                    <w:spacing w:line="240" w:lineRule="auto"/>
                    <w:jc w:val="center"/>
                    <w:rPr>
                      <w:sz w:val="21"/>
                      <w:szCs w:val="21"/>
                    </w:rPr>
                  </w:pPr>
                  <w:r>
                    <w:rPr>
                      <w:sz w:val="21"/>
                      <w:szCs w:val="21"/>
                    </w:rPr>
                    <w:t>2</w:t>
                  </w:r>
                </w:p>
              </w:tc>
              <w:tc>
                <w:tcPr>
                  <w:tcW w:w="1358" w:type="pct"/>
                  <w:shd w:val="clear" w:color="auto" w:fill="auto"/>
                  <w:vAlign w:val="center"/>
                </w:tcPr>
                <w:p>
                  <w:pPr>
                    <w:spacing w:line="240" w:lineRule="auto"/>
                    <w:jc w:val="center"/>
                    <w:rPr>
                      <w:sz w:val="21"/>
                      <w:szCs w:val="21"/>
                    </w:rPr>
                  </w:pPr>
                  <w:r>
                    <w:rPr>
                      <w:rFonts w:hint="eastAsia"/>
                      <w:sz w:val="21"/>
                      <w:szCs w:val="21"/>
                    </w:rPr>
                    <w:t>打桩机</w:t>
                  </w:r>
                </w:p>
              </w:tc>
              <w:tc>
                <w:tcPr>
                  <w:tcW w:w="1491" w:type="pct"/>
                  <w:shd w:val="clear" w:color="auto" w:fill="auto"/>
                  <w:vAlign w:val="center"/>
                </w:tcPr>
                <w:p>
                  <w:pPr>
                    <w:spacing w:line="240" w:lineRule="auto"/>
                    <w:jc w:val="center"/>
                    <w:rPr>
                      <w:sz w:val="21"/>
                      <w:szCs w:val="21"/>
                    </w:rPr>
                  </w:pPr>
                  <w:r>
                    <w:rPr>
                      <w:sz w:val="21"/>
                      <w:szCs w:val="21"/>
                    </w:rPr>
                    <w:t>8</w:t>
                  </w:r>
                  <w:r>
                    <w:rPr>
                      <w:rFonts w:hint="eastAsia"/>
                      <w:sz w:val="21"/>
                      <w:szCs w:val="21"/>
                    </w:rPr>
                    <w:t>9</w:t>
                  </w:r>
                </w:p>
              </w:tc>
              <w:tc>
                <w:tcPr>
                  <w:tcW w:w="1491" w:type="pct"/>
                  <w:vMerge w:val="continue"/>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660" w:type="pct"/>
                  <w:shd w:val="clear" w:color="auto" w:fill="auto"/>
                  <w:vAlign w:val="center"/>
                </w:tcPr>
                <w:p>
                  <w:pPr>
                    <w:spacing w:line="240" w:lineRule="auto"/>
                    <w:jc w:val="center"/>
                    <w:rPr>
                      <w:sz w:val="21"/>
                      <w:szCs w:val="21"/>
                    </w:rPr>
                  </w:pPr>
                  <w:r>
                    <w:rPr>
                      <w:sz w:val="21"/>
                      <w:szCs w:val="21"/>
                    </w:rPr>
                    <w:t>3</w:t>
                  </w:r>
                </w:p>
              </w:tc>
              <w:tc>
                <w:tcPr>
                  <w:tcW w:w="1358" w:type="pct"/>
                  <w:shd w:val="clear" w:color="auto" w:fill="auto"/>
                  <w:vAlign w:val="center"/>
                </w:tcPr>
                <w:p>
                  <w:pPr>
                    <w:spacing w:line="240" w:lineRule="auto"/>
                    <w:jc w:val="center"/>
                    <w:rPr>
                      <w:sz w:val="21"/>
                      <w:szCs w:val="21"/>
                    </w:rPr>
                  </w:pPr>
                  <w:r>
                    <w:rPr>
                      <w:sz w:val="21"/>
                      <w:szCs w:val="21"/>
                    </w:rPr>
                    <w:t>挖掘机</w:t>
                  </w:r>
                </w:p>
              </w:tc>
              <w:tc>
                <w:tcPr>
                  <w:tcW w:w="1491" w:type="pct"/>
                  <w:shd w:val="clear" w:color="auto" w:fill="auto"/>
                  <w:vAlign w:val="center"/>
                </w:tcPr>
                <w:p>
                  <w:pPr>
                    <w:spacing w:line="240" w:lineRule="auto"/>
                    <w:jc w:val="center"/>
                    <w:rPr>
                      <w:sz w:val="21"/>
                      <w:szCs w:val="21"/>
                    </w:rPr>
                  </w:pPr>
                  <w:r>
                    <w:rPr>
                      <w:rFonts w:hint="eastAsia"/>
                      <w:sz w:val="21"/>
                      <w:szCs w:val="21"/>
                    </w:rPr>
                    <w:t>85</w:t>
                  </w:r>
                </w:p>
              </w:tc>
              <w:tc>
                <w:tcPr>
                  <w:tcW w:w="1491" w:type="pct"/>
                  <w:vMerge w:val="continue"/>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660" w:type="pct"/>
                  <w:shd w:val="clear" w:color="auto" w:fill="auto"/>
                  <w:vAlign w:val="center"/>
                </w:tcPr>
                <w:p>
                  <w:pPr>
                    <w:spacing w:line="240" w:lineRule="auto"/>
                    <w:jc w:val="center"/>
                    <w:rPr>
                      <w:sz w:val="21"/>
                      <w:szCs w:val="21"/>
                    </w:rPr>
                  </w:pPr>
                  <w:r>
                    <w:rPr>
                      <w:sz w:val="21"/>
                      <w:szCs w:val="21"/>
                    </w:rPr>
                    <w:t>4</w:t>
                  </w:r>
                </w:p>
              </w:tc>
              <w:tc>
                <w:tcPr>
                  <w:tcW w:w="1358" w:type="pct"/>
                  <w:vAlign w:val="center"/>
                </w:tcPr>
                <w:p>
                  <w:pPr>
                    <w:spacing w:line="240" w:lineRule="auto"/>
                    <w:jc w:val="center"/>
                    <w:rPr>
                      <w:sz w:val="21"/>
                      <w:szCs w:val="21"/>
                    </w:rPr>
                  </w:pPr>
                  <w:r>
                    <w:rPr>
                      <w:rFonts w:hint="eastAsia"/>
                      <w:sz w:val="21"/>
                      <w:szCs w:val="21"/>
                    </w:rPr>
                    <w:t>电锯</w:t>
                  </w:r>
                </w:p>
              </w:tc>
              <w:tc>
                <w:tcPr>
                  <w:tcW w:w="1491" w:type="pct"/>
                  <w:vAlign w:val="center"/>
                </w:tcPr>
                <w:p>
                  <w:pPr>
                    <w:spacing w:line="240" w:lineRule="auto"/>
                    <w:jc w:val="center"/>
                    <w:rPr>
                      <w:sz w:val="21"/>
                      <w:szCs w:val="21"/>
                    </w:rPr>
                  </w:pPr>
                  <w:r>
                    <w:rPr>
                      <w:rFonts w:hint="eastAsia"/>
                      <w:sz w:val="21"/>
                      <w:szCs w:val="21"/>
                    </w:rPr>
                    <w:t>86</w:t>
                  </w:r>
                </w:p>
              </w:tc>
              <w:tc>
                <w:tcPr>
                  <w:tcW w:w="1491" w:type="pct"/>
                  <w:vMerge w:val="continue"/>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660" w:type="pct"/>
                  <w:shd w:val="clear" w:color="auto" w:fill="auto"/>
                  <w:vAlign w:val="center"/>
                </w:tcPr>
                <w:p>
                  <w:pPr>
                    <w:spacing w:line="240" w:lineRule="auto"/>
                    <w:jc w:val="center"/>
                    <w:rPr>
                      <w:sz w:val="21"/>
                      <w:szCs w:val="21"/>
                    </w:rPr>
                  </w:pPr>
                  <w:r>
                    <w:rPr>
                      <w:sz w:val="21"/>
                      <w:szCs w:val="21"/>
                    </w:rPr>
                    <w:t>5</w:t>
                  </w:r>
                </w:p>
              </w:tc>
              <w:tc>
                <w:tcPr>
                  <w:tcW w:w="1358" w:type="pct"/>
                  <w:vAlign w:val="center"/>
                </w:tcPr>
                <w:p>
                  <w:pPr>
                    <w:spacing w:line="240" w:lineRule="auto"/>
                    <w:jc w:val="center"/>
                    <w:rPr>
                      <w:sz w:val="21"/>
                      <w:szCs w:val="21"/>
                    </w:rPr>
                  </w:pPr>
                  <w:r>
                    <w:rPr>
                      <w:sz w:val="21"/>
                      <w:szCs w:val="21"/>
                    </w:rPr>
                    <w:t>切割机</w:t>
                  </w:r>
                </w:p>
              </w:tc>
              <w:tc>
                <w:tcPr>
                  <w:tcW w:w="1491" w:type="pct"/>
                  <w:vAlign w:val="center"/>
                </w:tcPr>
                <w:p>
                  <w:pPr>
                    <w:spacing w:line="240" w:lineRule="auto"/>
                    <w:jc w:val="center"/>
                    <w:rPr>
                      <w:sz w:val="21"/>
                      <w:szCs w:val="21"/>
                    </w:rPr>
                  </w:pPr>
                  <w:r>
                    <w:rPr>
                      <w:rFonts w:hint="eastAsia"/>
                      <w:sz w:val="21"/>
                      <w:szCs w:val="21"/>
                    </w:rPr>
                    <w:t>100</w:t>
                  </w:r>
                </w:p>
              </w:tc>
              <w:tc>
                <w:tcPr>
                  <w:tcW w:w="1491" w:type="pct"/>
                  <w:vMerge w:val="restart"/>
                  <w:vAlign w:val="center"/>
                </w:tcPr>
                <w:p>
                  <w:pPr>
                    <w:spacing w:line="240" w:lineRule="auto"/>
                    <w:jc w:val="center"/>
                    <w:rPr>
                      <w:sz w:val="21"/>
                      <w:szCs w:val="21"/>
                    </w:rPr>
                  </w:pPr>
                  <w:r>
                    <w:rPr>
                      <w:rFonts w:hint="eastAsia"/>
                      <w:sz w:val="21"/>
                      <w:szCs w:val="21"/>
                    </w:rPr>
                    <w:t>设备</w:t>
                  </w:r>
                  <w:r>
                    <w:rPr>
                      <w:sz w:val="21"/>
                      <w:szCs w:val="21"/>
                    </w:rPr>
                    <w:t>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660" w:type="pct"/>
                  <w:shd w:val="clear" w:color="auto" w:fill="auto"/>
                  <w:vAlign w:val="center"/>
                </w:tcPr>
                <w:p>
                  <w:pPr>
                    <w:spacing w:line="240" w:lineRule="auto"/>
                    <w:jc w:val="center"/>
                    <w:rPr>
                      <w:sz w:val="21"/>
                      <w:szCs w:val="21"/>
                    </w:rPr>
                  </w:pPr>
                  <w:r>
                    <w:rPr>
                      <w:rFonts w:hint="eastAsia"/>
                      <w:sz w:val="21"/>
                      <w:szCs w:val="21"/>
                    </w:rPr>
                    <w:t>6</w:t>
                  </w:r>
                </w:p>
              </w:tc>
              <w:tc>
                <w:tcPr>
                  <w:tcW w:w="1358" w:type="pct"/>
                  <w:vAlign w:val="center"/>
                </w:tcPr>
                <w:p>
                  <w:pPr>
                    <w:spacing w:line="240" w:lineRule="auto"/>
                    <w:jc w:val="center"/>
                    <w:rPr>
                      <w:sz w:val="21"/>
                      <w:szCs w:val="21"/>
                    </w:rPr>
                  </w:pPr>
                  <w:r>
                    <w:rPr>
                      <w:sz w:val="21"/>
                      <w:szCs w:val="21"/>
                    </w:rPr>
                    <w:t>电钻</w:t>
                  </w:r>
                </w:p>
              </w:tc>
              <w:tc>
                <w:tcPr>
                  <w:tcW w:w="1491" w:type="pct"/>
                  <w:vAlign w:val="center"/>
                </w:tcPr>
                <w:p>
                  <w:pPr>
                    <w:spacing w:line="240" w:lineRule="auto"/>
                    <w:jc w:val="center"/>
                    <w:rPr>
                      <w:sz w:val="21"/>
                      <w:szCs w:val="21"/>
                    </w:rPr>
                  </w:pPr>
                  <w:r>
                    <w:rPr>
                      <w:rFonts w:hint="eastAsia"/>
                      <w:sz w:val="21"/>
                      <w:szCs w:val="21"/>
                    </w:rPr>
                    <w:t>85</w:t>
                  </w:r>
                </w:p>
              </w:tc>
              <w:tc>
                <w:tcPr>
                  <w:tcW w:w="1491" w:type="pct"/>
                  <w:vMerge w:val="continue"/>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 w:hRule="atLeast"/>
                <w:jc w:val="center"/>
              </w:trPr>
              <w:tc>
                <w:tcPr>
                  <w:tcW w:w="660" w:type="pct"/>
                  <w:shd w:val="clear" w:color="auto" w:fill="auto"/>
                  <w:vAlign w:val="center"/>
                </w:tcPr>
                <w:p>
                  <w:pPr>
                    <w:spacing w:line="240" w:lineRule="auto"/>
                    <w:jc w:val="center"/>
                    <w:rPr>
                      <w:sz w:val="21"/>
                      <w:szCs w:val="21"/>
                    </w:rPr>
                  </w:pPr>
                  <w:r>
                    <w:rPr>
                      <w:rFonts w:hint="eastAsia"/>
                      <w:sz w:val="21"/>
                      <w:szCs w:val="21"/>
                    </w:rPr>
                    <w:t>7</w:t>
                  </w:r>
                </w:p>
              </w:tc>
              <w:tc>
                <w:tcPr>
                  <w:tcW w:w="1358" w:type="pct"/>
                  <w:vAlign w:val="center"/>
                </w:tcPr>
                <w:p>
                  <w:pPr>
                    <w:spacing w:line="240" w:lineRule="auto"/>
                    <w:jc w:val="center"/>
                    <w:rPr>
                      <w:sz w:val="21"/>
                      <w:szCs w:val="21"/>
                    </w:rPr>
                  </w:pPr>
                  <w:r>
                    <w:rPr>
                      <w:sz w:val="21"/>
                      <w:szCs w:val="21"/>
                    </w:rPr>
                    <w:t>运输车辆</w:t>
                  </w:r>
                </w:p>
              </w:tc>
              <w:tc>
                <w:tcPr>
                  <w:tcW w:w="1491" w:type="pct"/>
                  <w:vAlign w:val="center"/>
                </w:tcPr>
                <w:p>
                  <w:pPr>
                    <w:spacing w:line="240" w:lineRule="auto"/>
                    <w:jc w:val="center"/>
                    <w:rPr>
                      <w:sz w:val="21"/>
                      <w:szCs w:val="21"/>
                    </w:rPr>
                  </w:pPr>
                  <w:r>
                    <w:rPr>
                      <w:rFonts w:hint="eastAsia"/>
                      <w:sz w:val="21"/>
                      <w:szCs w:val="21"/>
                    </w:rPr>
                    <w:t>85</w:t>
                  </w:r>
                </w:p>
              </w:tc>
              <w:tc>
                <w:tcPr>
                  <w:tcW w:w="1491" w:type="pct"/>
                  <w:vMerge w:val="continue"/>
                  <w:vAlign w:val="center"/>
                </w:tcPr>
                <w:p>
                  <w:pPr>
                    <w:spacing w:line="240" w:lineRule="auto"/>
                    <w:jc w:val="center"/>
                    <w:rPr>
                      <w:sz w:val="21"/>
                      <w:szCs w:val="21"/>
                    </w:rPr>
                  </w:pPr>
                </w:p>
              </w:tc>
            </w:tr>
          </w:tbl>
          <w:p>
            <w:pPr>
              <w:pStyle w:val="19"/>
              <w:widowControl w:val="0"/>
              <w:tabs>
                <w:tab w:val="left" w:pos="4480"/>
              </w:tabs>
              <w:ind w:right="0" w:rightChars="0" w:firstLine="480" w:firstLineChars="200"/>
              <w:rPr>
                <w:bCs/>
                <w:sz w:val="24"/>
              </w:rPr>
            </w:pPr>
            <w:r>
              <w:rPr>
                <w:bCs/>
                <w:sz w:val="24"/>
              </w:rPr>
              <w:t>4、固体废物</w:t>
            </w:r>
          </w:p>
          <w:p>
            <w:pPr>
              <w:pStyle w:val="19"/>
              <w:widowControl w:val="0"/>
              <w:tabs>
                <w:tab w:val="left" w:pos="4480"/>
              </w:tabs>
              <w:ind w:right="0" w:rightChars="0" w:firstLine="480" w:firstLineChars="200"/>
              <w:rPr>
                <w:sz w:val="24"/>
              </w:rPr>
            </w:pPr>
            <w:r>
              <w:rPr>
                <w:sz w:val="24"/>
              </w:rPr>
              <w:t>项目施工期仅沉淀池、厂房建设需要开挖，产生的土石方用于场地垫高</w:t>
            </w:r>
            <w:r>
              <w:rPr>
                <w:rFonts w:hint="eastAsia"/>
                <w:sz w:val="24"/>
              </w:rPr>
              <w:t>、</w:t>
            </w:r>
            <w:r>
              <w:rPr>
                <w:sz w:val="24"/>
              </w:rPr>
              <w:t>平整</w:t>
            </w:r>
            <w:r>
              <w:rPr>
                <w:rFonts w:hint="eastAsia"/>
                <w:sz w:val="24"/>
              </w:rPr>
              <w:t>，</w:t>
            </w:r>
            <w:r>
              <w:rPr>
                <w:sz w:val="24"/>
              </w:rPr>
              <w:t>可做到挖填方平衡，无废弃土石方产生。施工期产生的固体废物主要为建筑垃圾及施工人员产生的生活垃圾。</w:t>
            </w:r>
          </w:p>
          <w:p>
            <w:pPr>
              <w:pStyle w:val="19"/>
              <w:widowControl w:val="0"/>
              <w:tabs>
                <w:tab w:val="left" w:pos="4480"/>
              </w:tabs>
              <w:ind w:right="0" w:rightChars="0" w:firstLine="480" w:firstLineChars="200"/>
              <w:rPr>
                <w:sz w:val="24"/>
              </w:rPr>
            </w:pPr>
            <w:r>
              <w:rPr>
                <w:sz w:val="24"/>
              </w:rPr>
              <w:t>（1）施工人员生活垃圾</w:t>
            </w:r>
          </w:p>
          <w:p>
            <w:pPr>
              <w:pStyle w:val="19"/>
              <w:widowControl w:val="0"/>
              <w:tabs>
                <w:tab w:val="left" w:pos="4480"/>
              </w:tabs>
              <w:ind w:right="0" w:rightChars="0" w:firstLine="480" w:firstLineChars="200"/>
              <w:rPr>
                <w:sz w:val="24"/>
              </w:rPr>
            </w:pPr>
            <w:r>
              <w:rPr>
                <w:sz w:val="24"/>
              </w:rPr>
              <w:t>施工期施工人员会产生一定的生活垃圾，工地生活垃圾按0.5kg/（d·人），施工高峰期人员10人，产生量为5kg/d。施工人员生活垃圾集中收集后，由环卫部门统一收集处理。</w:t>
            </w:r>
          </w:p>
          <w:p>
            <w:pPr>
              <w:pStyle w:val="19"/>
              <w:widowControl w:val="0"/>
              <w:tabs>
                <w:tab w:val="left" w:pos="4480"/>
              </w:tabs>
              <w:ind w:right="0" w:rightChars="0" w:firstLine="480" w:firstLineChars="200"/>
              <w:rPr>
                <w:sz w:val="24"/>
              </w:rPr>
            </w:pPr>
            <w:r>
              <w:rPr>
                <w:sz w:val="24"/>
              </w:rPr>
              <w:t>（2）施工过程中产生的建筑垃圾</w:t>
            </w:r>
          </w:p>
          <w:p>
            <w:pPr>
              <w:pStyle w:val="19"/>
              <w:widowControl w:val="0"/>
              <w:tabs>
                <w:tab w:val="left" w:pos="4480"/>
              </w:tabs>
              <w:ind w:right="0" w:rightChars="0" w:firstLine="480" w:firstLineChars="200"/>
              <w:rPr>
                <w:sz w:val="24"/>
              </w:rPr>
            </w:pPr>
            <w:r>
              <w:rPr>
                <w:sz w:val="24"/>
              </w:rPr>
              <w:t>项目施工期工程量简单</w:t>
            </w:r>
            <w:r>
              <w:rPr>
                <w:rFonts w:hint="eastAsia"/>
                <w:sz w:val="24"/>
              </w:rPr>
              <w:t>，</w:t>
            </w:r>
            <w:r>
              <w:rPr>
                <w:sz w:val="24"/>
              </w:rPr>
              <w:t>建筑垃圾量较少。施工产生建筑垃圾的主要成分为彩钢棚边角料、废包装材料等</w:t>
            </w:r>
            <w:r>
              <w:rPr>
                <w:rFonts w:hint="eastAsia"/>
                <w:sz w:val="24"/>
              </w:rPr>
              <w:t>，</w:t>
            </w:r>
            <w:r>
              <w:rPr>
                <w:sz w:val="24"/>
              </w:rPr>
              <w:t>售卖或赠予当地废品回收站</w:t>
            </w:r>
            <w:r>
              <w:rPr>
                <w:rFonts w:hint="eastAsia"/>
                <w:sz w:val="24"/>
              </w:rPr>
              <w:t>。</w:t>
            </w:r>
          </w:p>
          <w:p>
            <w:pPr>
              <w:pStyle w:val="19"/>
              <w:widowControl w:val="0"/>
              <w:tabs>
                <w:tab w:val="left" w:pos="4480"/>
              </w:tabs>
              <w:ind w:right="0" w:rightChars="0" w:firstLine="480" w:firstLineChars="200"/>
              <w:rPr>
                <w:bCs/>
                <w:sz w:val="24"/>
              </w:rPr>
            </w:pPr>
            <w:r>
              <w:rPr>
                <w:bCs/>
                <w:sz w:val="24"/>
              </w:rPr>
              <w:t>5、生态环境</w:t>
            </w:r>
          </w:p>
          <w:p>
            <w:pPr>
              <w:pStyle w:val="19"/>
              <w:widowControl w:val="0"/>
              <w:tabs>
                <w:tab w:val="left" w:pos="4480"/>
              </w:tabs>
              <w:ind w:right="0" w:rightChars="0" w:firstLine="480" w:firstLineChars="200"/>
              <w:rPr>
                <w:sz w:val="24"/>
              </w:rPr>
            </w:pPr>
            <w:r>
              <w:rPr>
                <w:sz w:val="24"/>
              </w:rPr>
              <w:t>项目施工建设过程中涉及少量的开挖，产生少量的土方，这些临时堆放的挖方在一定时期内形成新的地表土壤，经雨水冲刷，将会产生较轻的水土流失。</w:t>
            </w:r>
          </w:p>
          <w:p>
            <w:pPr>
              <w:widowControl w:val="0"/>
              <w:ind w:firstLine="480" w:firstLineChars="200"/>
              <w:rPr>
                <w:rFonts w:eastAsiaTheme="minorEastAsia"/>
                <w:bCs/>
              </w:rPr>
            </w:pPr>
            <w:r>
              <w:rPr>
                <w:rFonts w:eastAsiaTheme="minorEastAsia"/>
                <w:bCs/>
              </w:rPr>
              <w:t>二、运营期</w:t>
            </w:r>
          </w:p>
          <w:p>
            <w:pPr>
              <w:widowControl w:val="0"/>
              <w:ind w:firstLine="480" w:firstLineChars="200"/>
              <w:rPr>
                <w:bCs/>
              </w:rPr>
            </w:pPr>
            <w:r>
              <w:rPr>
                <w:bCs/>
              </w:rPr>
              <w:t>1、废气</w:t>
            </w:r>
          </w:p>
          <w:p>
            <w:pPr>
              <w:widowControl w:val="0"/>
              <w:ind w:firstLine="480" w:firstLineChars="200"/>
            </w:pPr>
            <w:r>
              <w:t>运营期废气主要是</w:t>
            </w:r>
            <w:r>
              <w:rPr>
                <w:bCs/>
              </w:rPr>
              <w:t>破碎筛分粉尘、制砂粉尘</w:t>
            </w:r>
            <w:r>
              <w:rPr>
                <w:rFonts w:hint="eastAsia"/>
                <w:bCs/>
              </w:rPr>
              <w:t>、产品</w:t>
            </w:r>
            <w:r>
              <w:rPr>
                <w:bCs/>
              </w:rPr>
              <w:t>装卸粉尘</w:t>
            </w:r>
            <w:r>
              <w:rPr>
                <w:rFonts w:hint="eastAsia"/>
                <w:bCs/>
              </w:rPr>
              <w:t>、</w:t>
            </w:r>
            <w:r>
              <w:rPr>
                <w:bCs/>
              </w:rPr>
              <w:t>原料卸料粉尘</w:t>
            </w:r>
            <w:r>
              <w:rPr>
                <w:rFonts w:hint="eastAsia"/>
                <w:bCs/>
              </w:rPr>
              <w:t>和</w:t>
            </w:r>
            <w:r>
              <w:rPr>
                <w:bCs/>
              </w:rPr>
              <w:t>运输</w:t>
            </w:r>
            <w:r>
              <w:rPr>
                <w:rFonts w:hint="eastAsia"/>
                <w:bCs/>
              </w:rPr>
              <w:t>车辆</w:t>
            </w:r>
            <w:r>
              <w:rPr>
                <w:bCs/>
              </w:rPr>
              <w:t>扬尘</w:t>
            </w:r>
            <w:r>
              <w:rPr>
                <w:rFonts w:hint="eastAsia"/>
                <w:bCs/>
              </w:rPr>
              <w:t>，</w:t>
            </w:r>
            <w:r>
              <w:rPr>
                <w:bCs/>
              </w:rPr>
              <w:t>以及食堂油烟</w:t>
            </w:r>
            <w:r>
              <w:t>。</w:t>
            </w:r>
          </w:p>
          <w:p>
            <w:pPr>
              <w:widowControl w:val="0"/>
              <w:ind w:firstLine="480" w:firstLineChars="200"/>
              <w:contextualSpacing/>
              <w:rPr>
                <w:bCs/>
              </w:rPr>
            </w:pPr>
            <w:r>
              <w:rPr>
                <w:bCs/>
              </w:rPr>
              <w:t>（1）破碎、筛分粉尘</w:t>
            </w:r>
          </w:p>
          <w:p>
            <w:pPr>
              <w:widowControl w:val="0"/>
              <w:ind w:firstLine="480" w:firstLineChars="200"/>
              <w:contextualSpacing/>
              <w:rPr>
                <w:bCs/>
                <w:color w:val="000000"/>
                <w:szCs w:val="22"/>
              </w:rPr>
            </w:pPr>
            <w:r>
              <w:rPr>
                <w:rFonts w:hint="eastAsia"/>
                <w:bCs/>
                <w:color w:val="000000"/>
                <w:szCs w:val="22"/>
              </w:rPr>
              <w:t>项目使用碎石机对洞渣原料进行加工破碎，在生产加工过程中会产生粉尘，破碎、筛分工序主要起尘点包括给料机、碎石机、滚筛等。本项目原料总用量为</w:t>
            </w:r>
            <w:r>
              <w:rPr>
                <w:bCs/>
                <w:color w:val="000000"/>
                <w:szCs w:val="22"/>
              </w:rPr>
              <w:t>3</w:t>
            </w:r>
            <w:r>
              <w:rPr>
                <w:rFonts w:hint="eastAsia"/>
                <w:bCs/>
                <w:color w:val="000000"/>
                <w:szCs w:val="22"/>
              </w:rPr>
              <w:t>0</w:t>
            </w:r>
            <w:r>
              <w:rPr>
                <w:bCs/>
                <w:color w:val="000000"/>
                <w:szCs w:val="22"/>
              </w:rPr>
              <w:t>000t/a</w:t>
            </w:r>
            <w:r>
              <w:rPr>
                <w:rFonts w:hint="eastAsia"/>
                <w:bCs/>
                <w:color w:val="000000"/>
                <w:szCs w:val="22"/>
              </w:rPr>
              <w:t>，粉尘产生量参照《逸散性工业粉尘控制技术》（中国环境科学出版社，J.A.奥里蒙、G.A九兹等编著张良壁等编译）中破碎和筛选排放参数，按</w:t>
            </w:r>
            <w:r>
              <w:rPr>
                <w:bCs/>
                <w:color w:val="000000"/>
                <w:szCs w:val="22"/>
              </w:rPr>
              <w:t>0.05kg/t</w:t>
            </w:r>
            <w:r>
              <w:rPr>
                <w:rFonts w:hint="eastAsia"/>
                <w:bCs/>
                <w:color w:val="000000"/>
                <w:szCs w:val="22"/>
              </w:rPr>
              <w:t>原料计，则本项目破碎筛分工序粉尘产生量为</w:t>
            </w:r>
            <w:r>
              <w:rPr>
                <w:bCs/>
                <w:color w:val="000000"/>
                <w:szCs w:val="22"/>
              </w:rPr>
              <w:t>1.5t/a</w:t>
            </w:r>
            <w:r>
              <w:rPr>
                <w:rFonts w:hint="eastAsia"/>
                <w:bCs/>
                <w:color w:val="000000"/>
                <w:szCs w:val="22"/>
              </w:rPr>
              <w:t>。</w:t>
            </w:r>
          </w:p>
          <w:p>
            <w:pPr>
              <w:widowControl w:val="0"/>
              <w:ind w:firstLine="480" w:firstLineChars="200"/>
              <w:contextualSpacing/>
            </w:pPr>
            <w:r>
              <w:t>环评要求建设单位在封闭厂房内</w:t>
            </w:r>
            <w:r>
              <w:rPr>
                <w:rFonts w:hint="eastAsia"/>
              </w:rPr>
              <w:t>对</w:t>
            </w:r>
            <w:r>
              <w:t>给料机</w:t>
            </w:r>
            <w:r>
              <w:rPr>
                <w:rFonts w:hint="eastAsia"/>
              </w:rPr>
              <w:t>、</w:t>
            </w:r>
            <w:r>
              <w:t>碎石机及滚筛区域再</w:t>
            </w:r>
            <w:r>
              <w:rPr>
                <w:rFonts w:hint="eastAsia"/>
              </w:rPr>
              <w:t>设置全封闭</w:t>
            </w:r>
            <w:r>
              <w:t>围挡</w:t>
            </w:r>
            <w:r>
              <w:rPr>
                <w:rFonts w:hint="eastAsia"/>
              </w:rPr>
              <w:t>，</w:t>
            </w:r>
            <w:r>
              <w:t>仅留出入门</w:t>
            </w:r>
            <w:r>
              <w:rPr>
                <w:rFonts w:hint="eastAsia"/>
              </w:rPr>
              <w:t>进出，工作时将出入门关闭，整个区域形成一个沉降室，对破碎筛分粉尘进行沉降，粉尘沉降效率按</w:t>
            </w:r>
            <w:r>
              <w:t>85</w:t>
            </w:r>
            <w:r>
              <w:rPr>
                <w:rFonts w:hint="eastAsia"/>
              </w:rPr>
              <w:t>%</w:t>
            </w:r>
            <w:r>
              <w:t>计</w:t>
            </w:r>
            <w:r>
              <w:rPr>
                <w:rFonts w:hint="eastAsia"/>
              </w:rPr>
              <w:t>；</w:t>
            </w:r>
            <w:r>
              <w:t>其余15</w:t>
            </w:r>
            <w:r>
              <w:rPr>
                <w:rFonts w:hint="eastAsia"/>
              </w:rPr>
              <w:t>%逸散出的粉尘以无组织形式在全封闭车间内自由沉降和扩散，其中大部分（约占</w:t>
            </w:r>
            <w:r>
              <w:t>80</w:t>
            </w:r>
            <w:r>
              <w:rPr>
                <w:rFonts w:hint="eastAsia"/>
              </w:rPr>
              <w:t>%）沉降到地面，小部分（约占2</w:t>
            </w:r>
            <w:r>
              <w:t>0</w:t>
            </w:r>
            <w:r>
              <w:rPr>
                <w:rFonts w:hint="eastAsia"/>
              </w:rPr>
              <w:t>%）以无组织形式排放，则破碎筛分粉尘排放量为</w:t>
            </w:r>
            <w:r>
              <w:rPr>
                <w:rFonts w:hint="eastAsia"/>
                <w:bCs/>
                <w:color w:val="000000"/>
                <w:szCs w:val="22"/>
              </w:rPr>
              <w:t>0.0</w:t>
            </w:r>
            <w:r>
              <w:rPr>
                <w:bCs/>
                <w:color w:val="000000"/>
                <w:szCs w:val="22"/>
              </w:rPr>
              <w:t>45t/a</w:t>
            </w:r>
            <w:r>
              <w:rPr>
                <w:rFonts w:hint="eastAsia"/>
                <w:bCs/>
                <w:color w:val="000000"/>
                <w:szCs w:val="22"/>
              </w:rPr>
              <w:t>。</w:t>
            </w:r>
          </w:p>
          <w:p>
            <w:pPr>
              <w:widowControl w:val="0"/>
              <w:tabs>
                <w:tab w:val="left" w:pos="1080"/>
              </w:tabs>
              <w:ind w:firstLine="480" w:firstLineChars="200"/>
              <w:contextualSpacing/>
              <w:rPr>
                <w:color w:val="000000"/>
              </w:rPr>
            </w:pPr>
            <w:r>
              <w:rPr>
                <w:rFonts w:hint="eastAsia"/>
                <w:color w:val="000000"/>
              </w:rPr>
              <w:t>（2）</w:t>
            </w:r>
            <w:r>
              <w:rPr>
                <w:color w:val="000000"/>
              </w:rPr>
              <w:t>制砂粉尘</w:t>
            </w:r>
          </w:p>
          <w:p>
            <w:pPr>
              <w:widowControl w:val="0"/>
              <w:tabs>
                <w:tab w:val="left" w:pos="1080"/>
              </w:tabs>
              <w:ind w:firstLine="480" w:firstLineChars="200"/>
              <w:contextualSpacing/>
              <w:rPr>
                <w:rFonts w:eastAsiaTheme="minorEastAsia"/>
              </w:rPr>
            </w:pPr>
            <w:r>
              <w:rPr>
                <w:rFonts w:eastAsiaTheme="minorEastAsia"/>
              </w:rPr>
              <w:t>筛分出的粒径&gt;4mm</w:t>
            </w:r>
            <w:r>
              <w:rPr>
                <w:rFonts w:hint="eastAsia" w:eastAsiaTheme="minorEastAsia"/>
              </w:rPr>
              <w:t>的物料经过皮带传送至洗砂机对物料进行再次破碎，在此工序中会产生粉尘，主要起尘点为制砂机进出料口和传送带。</w:t>
            </w:r>
            <w:r>
              <w:rPr>
                <w:rFonts w:eastAsiaTheme="minorEastAsia"/>
              </w:rPr>
              <w:t>参考《逸散性工业粉尘控制技术》、《工业污染核算》等书，并类比调查同类型加工行业数据，本制砂机</w:t>
            </w:r>
            <w:r>
              <w:rPr>
                <w:rFonts w:eastAsiaTheme="minorEastAsia"/>
                <w:lang w:val="en-GB"/>
              </w:rPr>
              <w:t>粉尘</w:t>
            </w:r>
            <w:r>
              <w:rPr>
                <w:rFonts w:eastAsiaTheme="minorEastAsia"/>
              </w:rPr>
              <w:t>产生系数约为0.1kg/t原料，则制砂机</w:t>
            </w:r>
            <w:r>
              <w:rPr>
                <w:rFonts w:eastAsiaTheme="minorEastAsia"/>
                <w:lang w:val="en-GB"/>
              </w:rPr>
              <w:t>粉尘</w:t>
            </w:r>
            <w:r>
              <w:rPr>
                <w:rFonts w:eastAsiaTheme="minorEastAsia"/>
              </w:rPr>
              <w:t>产生量约为3.0t/a。</w:t>
            </w:r>
          </w:p>
          <w:p>
            <w:pPr>
              <w:widowControl w:val="0"/>
              <w:ind w:firstLine="480" w:firstLineChars="200"/>
              <w:contextualSpacing/>
            </w:pPr>
            <w:r>
              <w:rPr>
                <w:rFonts w:hint="eastAsia"/>
              </w:rPr>
              <w:t>本项目配备雾化喷淋设施，在滚筛到下料斗的传送带上空安装2个喷头、制砂机进出料口分别安装1个喷头，共4个0.72L/min的雾化喷头，对制砂粉尘进行喷雾洒水降尘。</w:t>
            </w:r>
            <w:r>
              <w:rPr>
                <w:rFonts w:eastAsiaTheme="minorEastAsia"/>
              </w:rPr>
              <w:t>喷雾洒水降尘效率为80%</w:t>
            </w:r>
            <w:r>
              <w:rPr>
                <w:rFonts w:hint="eastAsia" w:eastAsiaTheme="minorEastAsia"/>
              </w:rPr>
              <w:t>；</w:t>
            </w:r>
            <w:r>
              <w:rPr>
                <w:rFonts w:eastAsiaTheme="minorEastAsia"/>
              </w:rPr>
              <w:t>其余20</w:t>
            </w:r>
            <w:r>
              <w:rPr>
                <w:rFonts w:hint="eastAsia" w:eastAsiaTheme="minorEastAsia"/>
              </w:rPr>
              <w:t>%</w:t>
            </w:r>
            <w:r>
              <w:rPr>
                <w:rFonts w:eastAsiaTheme="minorEastAsia"/>
              </w:rPr>
              <w:t>未被沉降的粉尘</w:t>
            </w:r>
            <w:r>
              <w:rPr>
                <w:rFonts w:hint="eastAsia"/>
              </w:rPr>
              <w:t>以无组织形式在全封闭车间内自由沉降和扩散，其中大部分（约占</w:t>
            </w:r>
            <w:r>
              <w:t>80</w:t>
            </w:r>
            <w:r>
              <w:rPr>
                <w:rFonts w:hint="eastAsia"/>
              </w:rPr>
              <w:t>%）沉降到地面，小部分（约占2</w:t>
            </w:r>
            <w:r>
              <w:t>0</w:t>
            </w:r>
            <w:r>
              <w:rPr>
                <w:rFonts w:hint="eastAsia"/>
              </w:rPr>
              <w:t>%）以无组织形式排放，则破碎筛分粉尘排放量为</w:t>
            </w:r>
            <w:r>
              <w:rPr>
                <w:rFonts w:hint="eastAsia"/>
                <w:bCs/>
                <w:color w:val="000000"/>
                <w:szCs w:val="22"/>
              </w:rPr>
              <w:t>0.1</w:t>
            </w:r>
            <w:r>
              <w:rPr>
                <w:bCs/>
                <w:color w:val="000000"/>
                <w:szCs w:val="22"/>
              </w:rPr>
              <w:t>2t/a</w:t>
            </w:r>
            <w:r>
              <w:rPr>
                <w:rFonts w:hint="eastAsia"/>
                <w:bCs/>
                <w:color w:val="000000"/>
                <w:szCs w:val="22"/>
              </w:rPr>
              <w:t>。</w:t>
            </w:r>
          </w:p>
          <w:p>
            <w:pPr>
              <w:widowControl w:val="0"/>
              <w:tabs>
                <w:tab w:val="left" w:pos="1080"/>
              </w:tabs>
              <w:ind w:firstLine="480" w:firstLineChars="200"/>
              <w:contextualSpacing/>
              <w:rPr>
                <w:color w:val="000000"/>
                <w:highlight w:val="green"/>
              </w:rPr>
            </w:pPr>
            <w:r>
              <w:rPr>
                <w:rFonts w:hint="eastAsia"/>
                <w:color w:val="000000"/>
                <w:highlight w:val="green"/>
              </w:rPr>
              <w:t>（3）产品</w:t>
            </w:r>
            <w:r>
              <w:rPr>
                <w:color w:val="000000"/>
                <w:highlight w:val="green"/>
              </w:rPr>
              <w:t>区</w:t>
            </w:r>
            <w:r>
              <w:rPr>
                <w:rFonts w:hint="eastAsia"/>
                <w:color w:val="000000"/>
                <w:highlight w:val="green"/>
              </w:rPr>
              <w:t>堆存</w:t>
            </w:r>
            <w:r>
              <w:rPr>
                <w:color w:val="000000"/>
                <w:highlight w:val="green"/>
              </w:rPr>
              <w:t>扬尘及铲装扬尘</w:t>
            </w:r>
          </w:p>
          <w:p>
            <w:pPr>
              <w:widowControl w:val="0"/>
              <w:ind w:firstLine="480" w:firstLineChars="200"/>
              <w:contextualSpacing/>
              <w:rPr>
                <w:highlight w:val="green"/>
              </w:rPr>
            </w:pPr>
            <w:r>
              <w:rPr>
                <w:highlight w:val="green"/>
              </w:rPr>
              <w:t>本项目生产的成品堆放在密闭</w:t>
            </w:r>
            <w:r>
              <w:rPr>
                <w:rFonts w:hint="eastAsia"/>
                <w:highlight w:val="green"/>
              </w:rPr>
              <w:t>的</w:t>
            </w:r>
            <w:r>
              <w:rPr>
                <w:highlight w:val="green"/>
              </w:rPr>
              <w:t>厂房内，只预留车辆进出口</w:t>
            </w:r>
            <w:r>
              <w:rPr>
                <w:rFonts w:hint="eastAsia"/>
                <w:highlight w:val="green"/>
              </w:rPr>
              <w:t>，室内基本达不到堆场扬尘的风速条件，故产品区几乎不产生堆存扬尘。</w:t>
            </w:r>
          </w:p>
          <w:p>
            <w:pPr>
              <w:widowControl w:val="0"/>
              <w:ind w:firstLine="480" w:firstLineChars="200"/>
              <w:contextualSpacing/>
              <w:rPr>
                <w:highlight w:val="green"/>
              </w:rPr>
            </w:pPr>
            <w:r>
              <w:rPr>
                <w:rFonts w:hint="eastAsia"/>
                <w:highlight w:val="green"/>
              </w:rPr>
              <w:t>产品铲装</w:t>
            </w:r>
            <w:r>
              <w:rPr>
                <w:highlight w:val="green"/>
              </w:rPr>
              <w:t>扬尘主要来源于铲车将产品</w:t>
            </w:r>
            <w:r>
              <w:rPr>
                <w:rFonts w:hint="eastAsia"/>
                <w:highlight w:val="green"/>
              </w:rPr>
              <w:t>铲</w:t>
            </w:r>
            <w:r>
              <w:rPr>
                <w:highlight w:val="green"/>
              </w:rPr>
              <w:t>送至外运汽车内</w:t>
            </w:r>
            <w:r>
              <w:rPr>
                <w:rFonts w:hint="eastAsia"/>
                <w:highlight w:val="green"/>
              </w:rPr>
              <w:t>，</w:t>
            </w:r>
            <w:r>
              <w:rPr>
                <w:highlight w:val="green"/>
              </w:rPr>
              <w:t>在铲装过程中就会产生扬尘</w:t>
            </w:r>
            <w:r>
              <w:rPr>
                <w:rFonts w:hint="eastAsia"/>
                <w:highlight w:val="green"/>
              </w:rPr>
              <w:t>，铲装工序</w:t>
            </w:r>
            <w:r>
              <w:rPr>
                <w:highlight w:val="green"/>
              </w:rPr>
              <w:t>在密闭厂房内进行。根据《逸散性工业粉尘控制技术》中粒料的“逸散尘排放因子”，</w:t>
            </w:r>
            <w:r>
              <w:rPr>
                <w:rFonts w:hint="eastAsia"/>
                <w:highlight w:val="green"/>
              </w:rPr>
              <w:t>铲装</w:t>
            </w:r>
            <w:r>
              <w:rPr>
                <w:highlight w:val="green"/>
              </w:rPr>
              <w:t>扬尘量为0.01kg/t，项目年生产成品机制砂量为</w:t>
            </w:r>
            <w:r>
              <w:rPr>
                <w:rFonts w:hint="eastAsia"/>
                <w:highlight w:val="green"/>
              </w:rPr>
              <w:t>30</w:t>
            </w:r>
            <w:r>
              <w:rPr>
                <w:highlight w:val="green"/>
              </w:rPr>
              <w:t>000t，则项目成品区</w:t>
            </w:r>
            <w:r>
              <w:rPr>
                <w:rFonts w:hint="eastAsia"/>
                <w:highlight w:val="green"/>
              </w:rPr>
              <w:t>铲装</w:t>
            </w:r>
            <w:r>
              <w:rPr>
                <w:highlight w:val="green"/>
              </w:rPr>
              <w:t>扬尘量为</w:t>
            </w:r>
            <w:r>
              <w:rPr>
                <w:rFonts w:hint="eastAsia"/>
                <w:highlight w:val="green"/>
              </w:rPr>
              <w:t>0.3</w:t>
            </w:r>
            <w:r>
              <w:rPr>
                <w:highlight w:val="green"/>
              </w:rPr>
              <w:t>t/a。</w:t>
            </w:r>
          </w:p>
          <w:p>
            <w:pPr>
              <w:widowControl w:val="0"/>
              <w:tabs>
                <w:tab w:val="left" w:pos="1080"/>
              </w:tabs>
              <w:ind w:firstLine="480" w:firstLineChars="200"/>
              <w:contextualSpacing/>
              <w:rPr>
                <w:bCs/>
                <w:color w:val="000000"/>
                <w:szCs w:val="22"/>
              </w:rPr>
            </w:pPr>
            <w:r>
              <w:rPr>
                <w:highlight w:val="green"/>
              </w:rPr>
              <w:t>本项目</w:t>
            </w:r>
            <w:r>
              <w:rPr>
                <w:rFonts w:hint="eastAsia"/>
                <w:highlight w:val="green"/>
              </w:rPr>
              <w:t>产品区厂房顶部安装</w:t>
            </w:r>
            <w:r>
              <w:rPr>
                <w:highlight w:val="green"/>
              </w:rPr>
              <w:t>8</w:t>
            </w:r>
            <w:r>
              <w:rPr>
                <w:rFonts w:hint="eastAsia"/>
                <w:highlight w:val="green"/>
              </w:rPr>
              <w:t>个0.72L/min的雾化喷头</w:t>
            </w:r>
            <w:r>
              <w:rPr>
                <w:highlight w:val="green"/>
              </w:rPr>
              <w:t>，对装卸过程中</w:t>
            </w:r>
            <w:r>
              <w:rPr>
                <w:rFonts w:hint="eastAsia"/>
                <w:highlight w:val="green"/>
              </w:rPr>
              <w:t>的</w:t>
            </w:r>
            <w:r>
              <w:rPr>
                <w:highlight w:val="green"/>
              </w:rPr>
              <w:t>粉尘进行</w:t>
            </w:r>
            <w:r>
              <w:rPr>
                <w:rFonts w:hint="eastAsia"/>
                <w:highlight w:val="green"/>
              </w:rPr>
              <w:t>喷雾</w:t>
            </w:r>
            <w:r>
              <w:rPr>
                <w:highlight w:val="green"/>
              </w:rPr>
              <w:t>洒水</w:t>
            </w:r>
            <w:r>
              <w:rPr>
                <w:rFonts w:hint="eastAsia"/>
                <w:highlight w:val="green"/>
              </w:rPr>
              <w:t>降尘。</w:t>
            </w:r>
            <w:r>
              <w:rPr>
                <w:rFonts w:eastAsiaTheme="minorEastAsia"/>
                <w:highlight w:val="green"/>
              </w:rPr>
              <w:t>喷雾洒水降尘效率为80%</w:t>
            </w:r>
            <w:r>
              <w:rPr>
                <w:rFonts w:hint="eastAsia" w:eastAsiaTheme="minorEastAsia"/>
                <w:highlight w:val="green"/>
              </w:rPr>
              <w:t>；</w:t>
            </w:r>
            <w:r>
              <w:rPr>
                <w:rFonts w:eastAsiaTheme="minorEastAsia"/>
                <w:highlight w:val="green"/>
              </w:rPr>
              <w:t>其余20</w:t>
            </w:r>
            <w:r>
              <w:rPr>
                <w:rFonts w:hint="eastAsia" w:eastAsiaTheme="minorEastAsia"/>
                <w:highlight w:val="green"/>
              </w:rPr>
              <w:t>%</w:t>
            </w:r>
            <w:r>
              <w:rPr>
                <w:rFonts w:eastAsiaTheme="minorEastAsia"/>
                <w:highlight w:val="green"/>
              </w:rPr>
              <w:t>未被沉降的粉尘</w:t>
            </w:r>
            <w:r>
              <w:rPr>
                <w:rFonts w:hint="eastAsia"/>
                <w:highlight w:val="green"/>
              </w:rPr>
              <w:t>以无组织形式在全封闭车间内自由沉降和扩散，其中大部分（约占</w:t>
            </w:r>
            <w:r>
              <w:rPr>
                <w:highlight w:val="green"/>
              </w:rPr>
              <w:t>80</w:t>
            </w:r>
            <w:r>
              <w:rPr>
                <w:rFonts w:hint="eastAsia"/>
                <w:highlight w:val="green"/>
              </w:rPr>
              <w:t>%）沉降到地面，小部分（约占2</w:t>
            </w:r>
            <w:r>
              <w:rPr>
                <w:highlight w:val="green"/>
              </w:rPr>
              <w:t>0</w:t>
            </w:r>
            <w:r>
              <w:rPr>
                <w:rFonts w:hint="eastAsia"/>
                <w:highlight w:val="green"/>
              </w:rPr>
              <w:t>%）以无组织形式排放，则产品区装卸粉尘排放量为</w:t>
            </w:r>
            <w:r>
              <w:rPr>
                <w:rFonts w:hint="eastAsia"/>
                <w:bCs/>
                <w:color w:val="000000"/>
                <w:szCs w:val="22"/>
                <w:highlight w:val="green"/>
              </w:rPr>
              <w:t>0.0</w:t>
            </w:r>
            <w:r>
              <w:rPr>
                <w:bCs/>
                <w:color w:val="000000"/>
                <w:szCs w:val="22"/>
                <w:highlight w:val="green"/>
              </w:rPr>
              <w:t>12t/a</w:t>
            </w:r>
            <w:r>
              <w:rPr>
                <w:rFonts w:hint="eastAsia"/>
                <w:bCs/>
                <w:color w:val="000000"/>
                <w:szCs w:val="22"/>
                <w:highlight w:val="green"/>
              </w:rPr>
              <w:t>。</w:t>
            </w:r>
          </w:p>
          <w:p>
            <w:pPr>
              <w:widowControl w:val="0"/>
              <w:tabs>
                <w:tab w:val="left" w:pos="1080"/>
              </w:tabs>
              <w:ind w:firstLine="480" w:firstLineChars="200"/>
              <w:contextualSpacing/>
              <w:rPr>
                <w:color w:val="000000"/>
                <w:highlight w:val="green"/>
              </w:rPr>
            </w:pPr>
            <w:r>
              <w:rPr>
                <w:rFonts w:hint="eastAsia"/>
                <w:color w:val="000000"/>
                <w:highlight w:val="green"/>
              </w:rPr>
              <w:t>（4）原料</w:t>
            </w:r>
            <w:r>
              <w:rPr>
                <w:color w:val="000000"/>
                <w:highlight w:val="green"/>
              </w:rPr>
              <w:t>区堆存扬尘</w:t>
            </w:r>
            <w:r>
              <w:rPr>
                <w:rFonts w:hint="eastAsia"/>
                <w:color w:val="000000"/>
                <w:highlight w:val="green"/>
              </w:rPr>
              <w:t>、卸料和铲装</w:t>
            </w:r>
            <w:r>
              <w:rPr>
                <w:color w:val="000000"/>
                <w:highlight w:val="green"/>
              </w:rPr>
              <w:t>粉尘</w:t>
            </w:r>
          </w:p>
          <w:p>
            <w:pPr>
              <w:widowControl w:val="0"/>
              <w:ind w:firstLine="480" w:firstLineChars="200"/>
              <w:contextualSpacing/>
              <w:rPr>
                <w:bCs/>
                <w:color w:val="000000"/>
                <w:szCs w:val="22"/>
                <w:highlight w:val="green"/>
              </w:rPr>
            </w:pPr>
            <w:r>
              <w:rPr>
                <w:bCs/>
                <w:color w:val="000000"/>
                <w:szCs w:val="22"/>
                <w:highlight w:val="green"/>
              </w:rPr>
              <w:t>本项目原料为隧道洞渣</w:t>
            </w:r>
            <w:r>
              <w:rPr>
                <w:rFonts w:hint="eastAsia"/>
                <w:bCs/>
                <w:color w:val="000000"/>
                <w:szCs w:val="22"/>
                <w:highlight w:val="green"/>
              </w:rPr>
              <w:t>，</w:t>
            </w:r>
            <w:r>
              <w:rPr>
                <w:bCs/>
                <w:color w:val="000000"/>
                <w:szCs w:val="22"/>
                <w:highlight w:val="green"/>
              </w:rPr>
              <w:t>形态均为体积较大含水量较高的</w:t>
            </w:r>
            <w:r>
              <w:rPr>
                <w:rFonts w:hint="eastAsia"/>
                <w:bCs/>
                <w:color w:val="000000"/>
                <w:szCs w:val="22"/>
                <w:highlight w:val="green"/>
              </w:rPr>
              <w:t>块石，且采用沾湿的土工布遮盖，几乎不产生堆放扬尘。</w:t>
            </w:r>
          </w:p>
          <w:p>
            <w:pPr>
              <w:widowControl w:val="0"/>
              <w:spacing w:before="240"/>
              <w:ind w:firstLine="480" w:firstLineChars="200"/>
              <w:contextualSpacing/>
              <w:rPr>
                <w:bCs/>
                <w:color w:val="000000"/>
                <w:szCs w:val="22"/>
              </w:rPr>
            </w:pPr>
            <w:r>
              <w:rPr>
                <w:rFonts w:hint="eastAsia"/>
                <w:bCs/>
                <w:color w:val="000000"/>
                <w:szCs w:val="22"/>
                <w:highlight w:val="green"/>
              </w:rPr>
              <w:t>原料区卸料粉尘来源于外运汽车将废石渣卸于堆场，铲装粉尘来源于铲车将废石渣产送至生产车间。</w:t>
            </w:r>
            <w:r>
              <w:rPr>
                <w:highlight w:val="green"/>
              </w:rPr>
              <w:t>根据《逸散性工业粉尘控制技术》中粒料的“逸散尘排放因子”，</w:t>
            </w:r>
            <w:r>
              <w:rPr>
                <w:rFonts w:hint="eastAsia"/>
                <w:bCs/>
                <w:color w:val="000000"/>
                <w:szCs w:val="22"/>
                <w:highlight w:val="green"/>
              </w:rPr>
              <w:t>并结合本项目原料废石体重</w:t>
            </w:r>
            <w:r>
              <w:rPr>
                <w:bCs/>
                <w:color w:val="000000"/>
                <w:szCs w:val="22"/>
                <w:highlight w:val="green"/>
              </w:rPr>
              <w:t>较大含水量</w:t>
            </w:r>
            <w:r>
              <w:rPr>
                <w:rFonts w:hint="eastAsia"/>
                <w:bCs/>
                <w:color w:val="000000"/>
                <w:szCs w:val="22"/>
                <w:highlight w:val="green"/>
              </w:rPr>
              <w:t>较高，装卸时间较短等因素，</w:t>
            </w:r>
            <w:r>
              <w:rPr>
                <w:rFonts w:hint="eastAsia"/>
                <w:highlight w:val="green"/>
              </w:rPr>
              <w:t>原料卸料及铲装</w:t>
            </w:r>
            <w:r>
              <w:rPr>
                <w:highlight w:val="green"/>
              </w:rPr>
              <w:t>的起尘量为0.0</w:t>
            </w:r>
            <w:r>
              <w:rPr>
                <w:rFonts w:hint="eastAsia"/>
                <w:highlight w:val="green"/>
              </w:rPr>
              <w:t>05</w:t>
            </w:r>
            <w:r>
              <w:rPr>
                <w:highlight w:val="green"/>
              </w:rPr>
              <w:t>kg/t，项目年</w:t>
            </w:r>
            <w:r>
              <w:rPr>
                <w:rFonts w:hint="eastAsia"/>
                <w:highlight w:val="green"/>
              </w:rPr>
              <w:t>处理</w:t>
            </w:r>
            <w:r>
              <w:rPr>
                <w:highlight w:val="green"/>
              </w:rPr>
              <w:t>洞渣量为</w:t>
            </w:r>
            <w:r>
              <w:rPr>
                <w:rFonts w:hint="eastAsia"/>
                <w:highlight w:val="green"/>
              </w:rPr>
              <w:t>3</w:t>
            </w:r>
            <w:r>
              <w:rPr>
                <w:highlight w:val="green"/>
              </w:rPr>
              <w:t>万t，则项目</w:t>
            </w:r>
            <w:r>
              <w:rPr>
                <w:rFonts w:hint="eastAsia"/>
                <w:highlight w:val="green"/>
              </w:rPr>
              <w:t>原料</w:t>
            </w:r>
            <w:r>
              <w:rPr>
                <w:highlight w:val="green"/>
              </w:rPr>
              <w:t>区</w:t>
            </w:r>
            <w:r>
              <w:rPr>
                <w:rFonts w:hint="eastAsia"/>
                <w:highlight w:val="green"/>
              </w:rPr>
              <w:t>卸料</w:t>
            </w:r>
            <w:r>
              <w:rPr>
                <w:highlight w:val="green"/>
              </w:rPr>
              <w:t>起尘量为</w:t>
            </w:r>
            <w:r>
              <w:rPr>
                <w:rFonts w:hint="eastAsia"/>
                <w:highlight w:val="green"/>
              </w:rPr>
              <w:t>0.15</w:t>
            </w:r>
            <w:r>
              <w:rPr>
                <w:highlight w:val="green"/>
              </w:rPr>
              <w:t>t/a。</w:t>
            </w:r>
            <w:r>
              <w:rPr>
                <w:rFonts w:hint="eastAsia"/>
                <w:bCs/>
                <w:color w:val="000000"/>
                <w:szCs w:val="22"/>
                <w:highlight w:val="green"/>
              </w:rPr>
              <w:t>项目在原料堆场装卸区域及铲车运送通道上分别安装4个（共</w:t>
            </w:r>
            <w:r>
              <w:rPr>
                <w:bCs/>
                <w:color w:val="000000"/>
                <w:szCs w:val="22"/>
                <w:highlight w:val="green"/>
              </w:rPr>
              <w:t>8个</w:t>
            </w:r>
            <w:r>
              <w:rPr>
                <w:rFonts w:hint="eastAsia"/>
                <w:bCs/>
                <w:color w:val="000000"/>
                <w:szCs w:val="22"/>
                <w:highlight w:val="green"/>
              </w:rPr>
              <w:t>）</w:t>
            </w:r>
            <w:r>
              <w:rPr>
                <w:rFonts w:hint="eastAsia"/>
                <w:highlight w:val="green"/>
              </w:rPr>
              <w:t>0.72L/min</w:t>
            </w:r>
            <w:r>
              <w:rPr>
                <w:rFonts w:hint="eastAsia"/>
                <w:bCs/>
                <w:color w:val="000000"/>
                <w:szCs w:val="22"/>
                <w:highlight w:val="green"/>
              </w:rPr>
              <w:t>雾化喷头，在装卸期间对粉尘进行洒水降尘，</w:t>
            </w:r>
            <w:r>
              <w:rPr>
                <w:rFonts w:hint="eastAsia" w:ascii="宋体" w:hAnsi="宋体" w:cs="宋体"/>
                <w:color w:val="000000"/>
                <w:kern w:val="0"/>
                <w:highlight w:val="green"/>
                <w:lang w:bidi="ar"/>
              </w:rPr>
              <w:t>抑尘效率可达</w:t>
            </w:r>
            <w:r>
              <w:rPr>
                <w:color w:val="000000"/>
                <w:kern w:val="0"/>
                <w:highlight w:val="green"/>
                <w:lang w:bidi="ar"/>
              </w:rPr>
              <w:t>80%</w:t>
            </w:r>
            <w:r>
              <w:rPr>
                <w:rFonts w:hint="eastAsia" w:ascii="宋体" w:hAnsi="宋体" w:cs="宋体"/>
                <w:color w:val="000000"/>
                <w:kern w:val="0"/>
                <w:highlight w:val="green"/>
                <w:lang w:bidi="ar"/>
              </w:rPr>
              <w:t>以上，则运原料卸料粉尘排放量约为</w:t>
            </w:r>
            <w:r>
              <w:rPr>
                <w:color w:val="000000"/>
                <w:kern w:val="0"/>
                <w:highlight w:val="green"/>
                <w:lang w:bidi="ar"/>
              </w:rPr>
              <w:t>0.</w:t>
            </w:r>
            <w:r>
              <w:rPr>
                <w:rFonts w:hint="eastAsia"/>
                <w:color w:val="000000"/>
                <w:kern w:val="0"/>
                <w:highlight w:val="green"/>
                <w:lang w:bidi="ar"/>
              </w:rPr>
              <w:t>0</w:t>
            </w:r>
            <w:r>
              <w:rPr>
                <w:color w:val="000000"/>
                <w:kern w:val="0"/>
                <w:highlight w:val="green"/>
                <w:lang w:bidi="ar"/>
              </w:rPr>
              <w:t>3t/a</w:t>
            </w:r>
            <w:r>
              <w:rPr>
                <w:rFonts w:hint="eastAsia"/>
                <w:bCs/>
                <w:color w:val="000000"/>
                <w:szCs w:val="22"/>
                <w:highlight w:val="green"/>
              </w:rPr>
              <w:t>。</w:t>
            </w:r>
          </w:p>
          <w:p>
            <w:pPr>
              <w:widowControl w:val="0"/>
              <w:tabs>
                <w:tab w:val="left" w:pos="1080"/>
              </w:tabs>
              <w:ind w:firstLine="480" w:firstLineChars="200"/>
              <w:contextualSpacing/>
              <w:rPr>
                <w:color w:val="000000"/>
              </w:rPr>
            </w:pPr>
            <w:r>
              <w:rPr>
                <w:rFonts w:hint="eastAsia"/>
                <w:color w:val="000000"/>
              </w:rPr>
              <w:t>（5）汽车</w:t>
            </w:r>
            <w:r>
              <w:rPr>
                <w:bCs/>
              </w:rPr>
              <w:t>运输扬尘</w:t>
            </w:r>
          </w:p>
          <w:p>
            <w:pPr>
              <w:widowControl w:val="0"/>
              <w:ind w:firstLine="480" w:firstLineChars="200"/>
              <w:contextualSpacing/>
              <w:jc w:val="left"/>
              <w:rPr>
                <w:color w:val="000000"/>
                <w:kern w:val="0"/>
                <w:lang w:bidi="ar"/>
              </w:rPr>
            </w:pPr>
            <w:r>
              <w:rPr>
                <w:color w:val="000000"/>
                <w:kern w:val="0"/>
                <w:lang w:bidi="ar"/>
              </w:rPr>
              <w:t>本项目年处理</w:t>
            </w:r>
            <w:r>
              <w:rPr>
                <w:rFonts w:hint="eastAsia"/>
                <w:color w:val="000000"/>
                <w:kern w:val="0"/>
                <w:lang w:bidi="ar"/>
              </w:rPr>
              <w:t>洞</w:t>
            </w:r>
            <w:r>
              <w:rPr>
                <w:color w:val="000000"/>
                <w:kern w:val="0"/>
                <w:lang w:bidi="ar"/>
              </w:rPr>
              <w:t>渣</w:t>
            </w:r>
            <w:r>
              <w:rPr>
                <w:rFonts w:hint="eastAsia"/>
                <w:color w:val="000000"/>
                <w:kern w:val="0"/>
                <w:lang w:bidi="ar"/>
              </w:rPr>
              <w:t>30</w:t>
            </w:r>
            <w:r>
              <w:rPr>
                <w:color w:val="000000"/>
                <w:kern w:val="0"/>
                <w:lang w:bidi="ar"/>
              </w:rPr>
              <w:t>000t，年生产</w:t>
            </w:r>
            <w:r>
              <w:rPr>
                <w:rFonts w:hint="eastAsia"/>
                <w:color w:val="000000"/>
                <w:kern w:val="0"/>
                <w:lang w:bidi="ar"/>
              </w:rPr>
              <w:t>机制砂</w:t>
            </w:r>
            <w:r>
              <w:rPr>
                <w:color w:val="000000"/>
                <w:kern w:val="0"/>
                <w:lang w:bidi="ar"/>
              </w:rPr>
              <w:t>产品</w:t>
            </w:r>
            <w:r>
              <w:rPr>
                <w:rFonts w:hint="eastAsia"/>
                <w:color w:val="000000"/>
                <w:kern w:val="0"/>
                <w:lang w:bidi="ar"/>
              </w:rPr>
              <w:t>30</w:t>
            </w:r>
            <w:r>
              <w:rPr>
                <w:color w:val="000000"/>
                <w:kern w:val="0"/>
                <w:lang w:bidi="ar"/>
              </w:rPr>
              <w:t>000t，运输车辆进出行驶时由于碾压卷带会产生扬尘，属无组织排放。</w:t>
            </w:r>
          </w:p>
          <w:p>
            <w:pPr>
              <w:widowControl w:val="0"/>
              <w:ind w:firstLine="480" w:firstLineChars="200"/>
              <w:contextualSpacing/>
              <w:jc w:val="left"/>
              <w:rPr>
                <w:color w:val="000000"/>
                <w:kern w:val="0"/>
                <w:lang w:bidi="ar"/>
              </w:rPr>
            </w:pPr>
            <w:r>
              <w:rPr>
                <w:color w:val="000000"/>
                <w:kern w:val="0"/>
                <w:lang w:bidi="ar"/>
              </w:rPr>
              <w:t xml:space="preserve">车辆行驶产生的扬尘，在道路完全干燥的情况下，可按下列经验公式计算： </w:t>
            </w:r>
          </w:p>
          <w:p>
            <w:pPr>
              <w:pStyle w:val="58"/>
              <w:adjustRightInd/>
              <w:spacing w:line="360" w:lineRule="auto"/>
              <w:ind w:firstLine="1920" w:firstLineChars="800"/>
              <w:contextualSpacing/>
              <w:rPr>
                <w:rFonts w:ascii="Times New Roman" w:cs="Times New Roman"/>
              </w:rPr>
            </w:pPr>
            <w:r>
              <w:rPr>
                <w:rFonts w:ascii="Times New Roman" w:cs="Times New Roman"/>
                <w:position w:val="-28"/>
              </w:rPr>
              <w:object>
                <v:shape id="_x0000_i1028" o:spt="75" type="#_x0000_t75" style="height:36.55pt;width:218.7pt;" o:ole="t" filled="f" o:preferrelative="t" stroked="f" coordsize="21600,21600">
                  <v:path/>
                  <v:fill on="f" focussize="0,0"/>
                  <v:stroke on="f" joinstyle="miter"/>
                  <v:imagedata r:id="rId15" o:title=""/>
                  <o:lock v:ext="edit" aspectratio="t"/>
                  <w10:wrap type="none"/>
                  <w10:anchorlock/>
                </v:shape>
                <o:OLEObject Type="Embed" ProgID="Equation.3" ShapeID="_x0000_i1028" DrawAspect="Content" ObjectID="_1468075728" r:id="rId14">
                  <o:LockedField>false</o:LockedField>
                </o:OLEObject>
              </w:object>
            </w:r>
          </w:p>
          <w:p>
            <w:pPr>
              <w:pStyle w:val="58"/>
              <w:autoSpaceDE/>
              <w:autoSpaceDN/>
              <w:adjustRightInd/>
              <w:spacing w:line="360" w:lineRule="auto"/>
              <w:ind w:firstLine="480" w:firstLineChars="200"/>
              <w:contextualSpacing/>
              <w:rPr>
                <w:rFonts w:ascii="Times New Roman" w:cs="Times New Roman"/>
              </w:rPr>
            </w:pPr>
            <w:r>
              <w:rPr>
                <w:rFonts w:ascii="Times New Roman" w:cs="Times New Roman"/>
              </w:rPr>
              <w:t>式中：Q—汽车行驶的起尘量，kg/辆次；</w:t>
            </w:r>
          </w:p>
          <w:p>
            <w:pPr>
              <w:pStyle w:val="58"/>
              <w:autoSpaceDE/>
              <w:autoSpaceDN/>
              <w:adjustRightInd/>
              <w:spacing w:line="360" w:lineRule="auto"/>
              <w:ind w:firstLine="1200" w:firstLineChars="500"/>
              <w:contextualSpacing/>
              <w:rPr>
                <w:rFonts w:ascii="Times New Roman" w:cs="Times New Roman"/>
              </w:rPr>
            </w:pPr>
            <w:r>
              <w:rPr>
                <w:rFonts w:ascii="Times New Roman" w:cs="Times New Roman"/>
              </w:rPr>
              <w:t>V—汽车行驶速度，km/h；</w:t>
            </w:r>
          </w:p>
          <w:p>
            <w:pPr>
              <w:pStyle w:val="58"/>
              <w:autoSpaceDE/>
              <w:autoSpaceDN/>
              <w:adjustRightInd/>
              <w:spacing w:line="360" w:lineRule="auto"/>
              <w:ind w:firstLine="1200" w:firstLineChars="500"/>
              <w:contextualSpacing/>
              <w:rPr>
                <w:rFonts w:ascii="Times New Roman" w:cs="Times New Roman"/>
              </w:rPr>
            </w:pPr>
            <w:r>
              <w:rPr>
                <w:rFonts w:ascii="Times New Roman" w:cs="Times New Roman"/>
              </w:rPr>
              <w:t>M—汽车载重量，t；</w:t>
            </w:r>
          </w:p>
          <w:p>
            <w:pPr>
              <w:pStyle w:val="58"/>
              <w:autoSpaceDE/>
              <w:autoSpaceDN/>
              <w:adjustRightInd/>
              <w:spacing w:line="360" w:lineRule="auto"/>
              <w:ind w:firstLine="1200" w:firstLineChars="500"/>
              <w:contextualSpacing/>
              <w:rPr>
                <w:rFonts w:ascii="Times New Roman" w:cs="Times New Roman"/>
              </w:rPr>
            </w:pPr>
            <w:r>
              <w:rPr>
                <w:rFonts w:ascii="Times New Roman" w:cs="Times New Roman"/>
              </w:rPr>
              <w:t>P—道路表面</w:t>
            </w:r>
            <w:r>
              <w:rPr>
                <w:rFonts w:hint="eastAsia" w:ascii="Times New Roman" w:cs="Times New Roman"/>
              </w:rPr>
              <w:t>粉尘</w:t>
            </w:r>
            <w:r>
              <w:rPr>
                <w:rFonts w:ascii="Times New Roman" w:cs="Times New Roman"/>
              </w:rPr>
              <w:t>量，kg/m</w:t>
            </w:r>
            <w:r>
              <w:rPr>
                <w:rFonts w:ascii="Times New Roman" w:cs="Times New Roman"/>
                <w:vertAlign w:val="superscript"/>
              </w:rPr>
              <w:t>2</w:t>
            </w:r>
            <w:r>
              <w:rPr>
                <w:rFonts w:ascii="Times New Roman" w:cs="Times New Roman"/>
              </w:rPr>
              <w:t>；</w:t>
            </w:r>
          </w:p>
          <w:p>
            <w:pPr>
              <w:pStyle w:val="58"/>
              <w:autoSpaceDE/>
              <w:autoSpaceDN/>
              <w:adjustRightInd/>
              <w:spacing w:line="360" w:lineRule="auto"/>
              <w:ind w:firstLine="1200" w:firstLineChars="500"/>
              <w:contextualSpacing/>
              <w:rPr>
                <w:rFonts w:ascii="Times New Roman" w:cs="Times New Roman"/>
              </w:rPr>
            </w:pPr>
            <w:r>
              <w:rPr>
                <w:rFonts w:ascii="Times New Roman" w:cs="Times New Roman"/>
              </w:rPr>
              <w:t>L—道路长度，km。</w:t>
            </w:r>
          </w:p>
          <w:p>
            <w:pPr>
              <w:widowControl w:val="0"/>
              <w:tabs>
                <w:tab w:val="left" w:pos="4536"/>
              </w:tabs>
              <w:ind w:firstLine="480" w:firstLineChars="200"/>
              <w:contextualSpacing/>
              <w:rPr>
                <w:rFonts w:hAnsi="宋体" w:cs="宋体"/>
                <w:color w:val="000000"/>
                <w:kern w:val="0"/>
                <w:lang w:bidi="ar"/>
              </w:rPr>
            </w:pPr>
            <w:r>
              <w:rPr>
                <w:rFonts w:hint="eastAsia" w:hAnsi="宋体" w:cs="宋体"/>
                <w:color w:val="000000"/>
                <w:kern w:val="0"/>
                <w:lang w:bidi="ar"/>
              </w:rPr>
              <w:t>本项目厂区内道路长为100m，采用10t的载重车辆运输，平均每天重载24次（运送原料进、运输产品出），车辆行驶速度约20km/h，道路表面粉尘量P取0.2kg/m</w:t>
            </w:r>
            <w:r>
              <w:rPr>
                <w:rFonts w:hint="eastAsia" w:hAnsi="宋体" w:cs="宋体"/>
                <w:color w:val="000000"/>
                <w:kern w:val="0"/>
                <w:vertAlign w:val="superscript"/>
                <w:lang w:bidi="ar"/>
              </w:rPr>
              <w:t>2</w:t>
            </w:r>
            <w:r>
              <w:rPr>
                <w:rFonts w:hint="eastAsia" w:hAnsi="宋体" w:cs="宋体"/>
                <w:color w:val="000000"/>
                <w:kern w:val="0"/>
                <w:lang w:bidi="ar"/>
              </w:rPr>
              <w:t>，经计算路面扬尘量为0.02kg/辆次，道路总起尘量为0.125t/a。</w:t>
            </w:r>
          </w:p>
          <w:p>
            <w:pPr>
              <w:widowControl w:val="0"/>
              <w:tabs>
                <w:tab w:val="left" w:pos="4536"/>
              </w:tabs>
              <w:ind w:firstLine="480" w:firstLineChars="200"/>
              <w:contextualSpacing/>
              <w:rPr>
                <w:rFonts w:hAnsi="宋体" w:cs="宋体"/>
                <w:color w:val="000000"/>
                <w:kern w:val="0"/>
                <w:lang w:bidi="ar"/>
              </w:rPr>
            </w:pPr>
            <w:r>
              <w:rPr>
                <w:rFonts w:hAnsi="宋体" w:cs="宋体"/>
                <w:color w:val="000000"/>
                <w:kern w:val="0"/>
                <w:highlight w:val="green"/>
                <w:lang w:bidi="ar"/>
              </w:rPr>
              <w:t>为减轻汽车运输扬尘的影响</w:t>
            </w:r>
            <w:r>
              <w:rPr>
                <w:rFonts w:hint="eastAsia" w:hAnsi="宋体" w:cs="宋体"/>
                <w:color w:val="000000"/>
                <w:kern w:val="0"/>
                <w:highlight w:val="green"/>
                <w:lang w:bidi="ar"/>
              </w:rPr>
              <w:t>，评价要求建设单位对厂区进出道路全部采取硬化处理，沿路安装</w:t>
            </w:r>
            <w:r>
              <w:rPr>
                <w:rFonts w:hint="eastAsia"/>
                <w:highlight w:val="green"/>
              </w:rPr>
              <w:t>1</w:t>
            </w:r>
            <w:r>
              <w:rPr>
                <w:highlight w:val="green"/>
              </w:rPr>
              <w:t>0个</w:t>
            </w:r>
            <w:r>
              <w:rPr>
                <w:rFonts w:hint="eastAsia"/>
                <w:highlight w:val="green"/>
              </w:rPr>
              <w:t>0.72L/min的雾化喷头</w:t>
            </w:r>
            <w:r>
              <w:rPr>
                <w:rFonts w:hint="eastAsia" w:hAnsi="宋体" w:cs="宋体"/>
                <w:color w:val="000000"/>
                <w:kern w:val="0"/>
                <w:highlight w:val="green"/>
                <w:lang w:bidi="ar"/>
              </w:rPr>
              <w:t>，定期洒水，保持清洁；对进出车辆加强管理，车厢用篷布遮盖，车辆出厂前冲洗干净，限制车速，严禁运输遗撒。</w:t>
            </w:r>
          </w:p>
          <w:p>
            <w:pPr>
              <w:widowControl w:val="0"/>
              <w:tabs>
                <w:tab w:val="left" w:pos="4536"/>
              </w:tabs>
              <w:ind w:firstLine="480" w:firstLineChars="200"/>
              <w:contextualSpacing/>
              <w:rPr>
                <w:rFonts w:hAnsi="宋体" w:cs="宋体"/>
                <w:color w:val="000000"/>
                <w:kern w:val="0"/>
                <w:lang w:bidi="ar"/>
              </w:rPr>
            </w:pPr>
            <w:r>
              <w:rPr>
                <w:rFonts w:hint="eastAsia" w:ascii="宋体" w:hAnsi="宋体" w:cs="宋体"/>
                <w:color w:val="000000"/>
                <w:kern w:val="0"/>
                <w:lang w:bidi="ar"/>
              </w:rPr>
              <w:t>采取以上措施后，抑尘效率可达</w:t>
            </w:r>
            <w:r>
              <w:rPr>
                <w:rFonts w:hint="eastAsia"/>
                <w:color w:val="000000"/>
                <w:kern w:val="0"/>
                <w:lang w:bidi="ar"/>
              </w:rPr>
              <w:t>8</w:t>
            </w:r>
            <w:r>
              <w:rPr>
                <w:color w:val="000000"/>
                <w:kern w:val="0"/>
                <w:lang w:bidi="ar"/>
              </w:rPr>
              <w:t>5%</w:t>
            </w:r>
            <w:r>
              <w:rPr>
                <w:rFonts w:hint="eastAsia" w:ascii="宋体" w:hAnsi="宋体" w:cs="宋体"/>
                <w:color w:val="000000"/>
                <w:kern w:val="0"/>
                <w:lang w:bidi="ar"/>
              </w:rPr>
              <w:t>以上，则运输扬尘无组织排放量约为</w:t>
            </w:r>
            <w:r>
              <w:rPr>
                <w:color w:val="000000"/>
                <w:kern w:val="0"/>
                <w:lang w:bidi="ar"/>
              </w:rPr>
              <w:t>0.</w:t>
            </w:r>
            <w:r>
              <w:rPr>
                <w:rFonts w:hint="eastAsia"/>
                <w:color w:val="000000"/>
                <w:kern w:val="0"/>
                <w:lang w:bidi="ar"/>
              </w:rPr>
              <w:t>0</w:t>
            </w:r>
            <w:r>
              <w:rPr>
                <w:color w:val="000000"/>
                <w:kern w:val="0"/>
                <w:lang w:bidi="ar"/>
              </w:rPr>
              <w:t>19t/a</w:t>
            </w:r>
            <w:r>
              <w:rPr>
                <w:rFonts w:hint="eastAsia"/>
                <w:color w:val="000000"/>
                <w:kern w:val="0"/>
                <w:lang w:bidi="ar"/>
              </w:rPr>
              <w:t>。</w:t>
            </w:r>
          </w:p>
          <w:p>
            <w:pPr>
              <w:widowControl w:val="0"/>
              <w:ind w:firstLine="480" w:firstLineChars="200"/>
              <w:rPr>
                <w:bCs/>
              </w:rPr>
            </w:pPr>
            <w:r>
              <w:rPr>
                <w:bCs/>
              </w:rPr>
              <w:t>（</w:t>
            </w:r>
            <w:r>
              <w:rPr>
                <w:rFonts w:hint="eastAsia"/>
                <w:bCs/>
              </w:rPr>
              <w:t>6</w:t>
            </w:r>
            <w:r>
              <w:rPr>
                <w:bCs/>
              </w:rPr>
              <w:t>）</w:t>
            </w:r>
            <w:r>
              <w:rPr>
                <w:rFonts w:hint="eastAsia" w:hAnsi="宋体"/>
              </w:rPr>
              <w:t>食堂燃料废气和油烟废气</w:t>
            </w:r>
          </w:p>
          <w:p>
            <w:pPr>
              <w:widowControl w:val="0"/>
              <w:ind w:firstLine="480" w:firstLineChars="200"/>
            </w:pPr>
            <w:r>
              <w:t>本项目设食堂为员工提供一日三餐，食堂用餐人数为</w:t>
            </w:r>
            <w:r>
              <w:rPr>
                <w:rFonts w:hint="eastAsia"/>
              </w:rPr>
              <w:t>6</w:t>
            </w:r>
            <w:r>
              <w:t>人，采用清洁能源液化石油气作为燃料，其燃烧产生的大气污染物（SO</w:t>
            </w:r>
            <w:r>
              <w:rPr>
                <w:vertAlign w:val="subscript"/>
              </w:rPr>
              <w:t>2</w:t>
            </w:r>
            <w:r>
              <w:t>、NO</w:t>
            </w:r>
            <w:r>
              <w:rPr>
                <w:vertAlign w:val="subscript"/>
              </w:rPr>
              <w:t>2</w:t>
            </w:r>
            <w:r>
              <w:t>及烟尘）排放量很小，可忽略不计。</w:t>
            </w:r>
          </w:p>
          <w:p>
            <w:pPr>
              <w:widowControl w:val="0"/>
              <w:ind w:firstLine="480" w:firstLineChars="200"/>
              <w:textAlignment w:val="baseline"/>
              <w:rPr>
                <w:bCs/>
              </w:rPr>
            </w:pPr>
            <w:r>
              <w:t>食堂运行期间会产生少量油烟废气，食堂用餐人数按</w:t>
            </w:r>
            <w:r>
              <w:rPr>
                <w:rFonts w:hint="eastAsia"/>
              </w:rPr>
              <w:t>6</w:t>
            </w:r>
            <w:r>
              <w:t>人计，设</w:t>
            </w:r>
            <w:r>
              <w:rPr>
                <w:rFonts w:hint="eastAsia"/>
              </w:rPr>
              <w:t>1</w:t>
            </w:r>
            <w:r>
              <w:t>个基准灶头，规模属于小型，每天运行时间在4h左右，年运行</w:t>
            </w:r>
            <w:r>
              <w:rPr>
                <w:rFonts w:hint="eastAsia"/>
              </w:rPr>
              <w:t>260</w:t>
            </w:r>
            <w:r>
              <w:t>d。经类比调查，人均食用油消耗量为30g/（人·d），一般油烟挥发量占总耗油量的2.83%，则本项目油烟产生量为</w:t>
            </w:r>
            <w:r>
              <w:rPr>
                <w:rFonts w:hint="eastAsia"/>
              </w:rPr>
              <w:t>1.3kg</w:t>
            </w:r>
            <w:r>
              <w:t>/a，每个基准灶头排风量以2000m</w:t>
            </w:r>
            <w:r>
              <w:rPr>
                <w:vertAlign w:val="superscript"/>
              </w:rPr>
              <w:t>3</w:t>
            </w:r>
            <w:r>
              <w:t>/h计，则食堂油烟产生浓度为</w:t>
            </w:r>
            <w:r>
              <w:rPr>
                <w:rFonts w:hint="eastAsia"/>
              </w:rPr>
              <w:t>0.625</w:t>
            </w:r>
            <w:r>
              <w:t>mg/m</w:t>
            </w:r>
            <w:r>
              <w:rPr>
                <w:vertAlign w:val="superscript"/>
              </w:rPr>
              <w:t>3</w:t>
            </w:r>
            <w:r>
              <w:t>。</w:t>
            </w:r>
            <w:r>
              <w:rPr>
                <w:bCs/>
              </w:rPr>
              <w:t>评价要求企业安装油烟净化器（处理效率达到60%以上）</w:t>
            </w:r>
            <w:bookmarkStart w:id="61" w:name="_Hlk524277988"/>
            <w:r>
              <w:rPr>
                <w:bCs/>
              </w:rPr>
              <w:t>，经净化处理后油烟废气排放量为</w:t>
            </w:r>
            <w:r>
              <w:rPr>
                <w:rFonts w:hint="eastAsia"/>
              </w:rPr>
              <w:t>0.52kg</w:t>
            </w:r>
            <w:r>
              <w:t>/a</w:t>
            </w:r>
            <w:r>
              <w:rPr>
                <w:rFonts w:hint="eastAsia"/>
              </w:rPr>
              <w:t>，</w:t>
            </w:r>
            <w:r>
              <w:rPr>
                <w:bCs/>
              </w:rPr>
              <w:t>排放浓度为</w:t>
            </w:r>
            <w:r>
              <w:rPr>
                <w:rFonts w:hint="eastAsia"/>
                <w:bCs/>
              </w:rPr>
              <w:t>0.25</w:t>
            </w:r>
            <w:r>
              <w:rPr>
                <w:bCs/>
              </w:rPr>
              <w:t>mg/m</w:t>
            </w:r>
            <w:r>
              <w:rPr>
                <w:bCs/>
                <w:vertAlign w:val="superscript"/>
              </w:rPr>
              <w:t>3</w:t>
            </w:r>
            <w:r>
              <w:rPr>
                <w:bCs/>
              </w:rPr>
              <w:t>，可满足《饮食业油烟排放标准（试行）》（GB18483-2001）表2“小型-最高允许排放速度2.0mg/m</w:t>
            </w:r>
            <w:r>
              <w:rPr>
                <w:bCs/>
                <w:vertAlign w:val="superscript"/>
              </w:rPr>
              <w:t>3</w:t>
            </w:r>
            <w:r>
              <w:rPr>
                <w:bCs/>
              </w:rPr>
              <w:t>，净化设施最低去除效率为60%”的标准要求，</w:t>
            </w:r>
            <w:r>
              <w:t>经</w:t>
            </w:r>
            <w:r>
              <w:rPr>
                <w:bCs/>
              </w:rPr>
              <w:t>专用排烟管引至</w:t>
            </w:r>
            <w:r>
              <w:rPr>
                <w:rFonts w:hint="eastAsia"/>
                <w:bCs/>
              </w:rPr>
              <w:t>食堂楼顶</w:t>
            </w:r>
            <w:r>
              <w:rPr>
                <w:bCs/>
              </w:rPr>
              <w:t>排放。</w:t>
            </w:r>
            <w:bookmarkEnd w:id="61"/>
          </w:p>
          <w:p>
            <w:pPr>
              <w:widowControl w:val="0"/>
              <w:ind w:firstLine="480" w:firstLineChars="200"/>
              <w:textAlignment w:val="baseline"/>
            </w:pPr>
            <w:r>
              <w:t>项目运营期废气产生</w:t>
            </w:r>
            <w:r>
              <w:rPr>
                <w:rFonts w:hint="eastAsia"/>
              </w:rPr>
              <w:t>、</w:t>
            </w:r>
            <w:r>
              <w:t>排放情况见表</w:t>
            </w:r>
            <w:r>
              <w:rPr>
                <w:rFonts w:hint="eastAsia"/>
              </w:rPr>
              <w:t>5-</w:t>
            </w:r>
            <w:r>
              <w:t>2</w:t>
            </w:r>
            <w:r>
              <w:rPr>
                <w:rFonts w:hint="eastAsia"/>
              </w:rPr>
              <w:t>。</w:t>
            </w:r>
          </w:p>
          <w:p>
            <w:pPr>
              <w:pStyle w:val="19"/>
              <w:widowControl w:val="0"/>
              <w:numPr>
                <w:ilvl w:val="0"/>
                <w:numId w:val="6"/>
              </w:numPr>
              <w:tabs>
                <w:tab w:val="left" w:pos="4480"/>
              </w:tabs>
              <w:spacing w:line="240" w:lineRule="auto"/>
              <w:ind w:left="0" w:right="0" w:rightChars="0" w:firstLine="0" w:firstLineChars="0"/>
              <w:jc w:val="center"/>
              <w:rPr>
                <w:b/>
                <w:sz w:val="21"/>
              </w:rPr>
            </w:pPr>
            <w:r>
              <w:rPr>
                <w:rFonts w:hint="eastAsia"/>
                <w:b/>
                <w:sz w:val="21"/>
              </w:rPr>
              <w:t xml:space="preserve"> </w:t>
            </w:r>
            <w:r>
              <w:rPr>
                <w:b/>
                <w:sz w:val="21"/>
              </w:rPr>
              <w:t xml:space="preserve"> 本项目</w:t>
            </w:r>
            <w:r>
              <w:rPr>
                <w:rFonts w:hint="eastAsia"/>
                <w:b/>
                <w:sz w:val="21"/>
              </w:rPr>
              <w:t>运营期</w:t>
            </w:r>
            <w:r>
              <w:rPr>
                <w:b/>
                <w:sz w:val="21"/>
              </w:rPr>
              <w:t>废气产排情况</w:t>
            </w:r>
          </w:p>
          <w:tbl>
            <w:tblPr>
              <w:tblStyle w:val="24"/>
              <w:tblW w:w="9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34"/>
              <w:gridCol w:w="882"/>
              <w:gridCol w:w="1269"/>
              <w:gridCol w:w="1417"/>
              <w:gridCol w:w="2819"/>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jc w:val="center"/>
              </w:trPr>
              <w:tc>
                <w:tcPr>
                  <w:tcW w:w="1233" w:type="dxa"/>
                  <w:tcMar>
                    <w:top w:w="28" w:type="dxa"/>
                    <w:left w:w="57" w:type="dxa"/>
                    <w:bottom w:w="28" w:type="dxa"/>
                    <w:right w:w="57" w:type="dxa"/>
                  </w:tcMar>
                  <w:vAlign w:val="center"/>
                </w:tcPr>
                <w:p>
                  <w:pPr>
                    <w:spacing w:line="240" w:lineRule="auto"/>
                    <w:jc w:val="center"/>
                    <w:rPr>
                      <w:bCs/>
                      <w:snapToGrid w:val="0"/>
                      <w:spacing w:val="-2"/>
                      <w:sz w:val="21"/>
                      <w:szCs w:val="21"/>
                    </w:rPr>
                  </w:pPr>
                  <w:r>
                    <w:rPr>
                      <w:bCs/>
                      <w:snapToGrid w:val="0"/>
                      <w:spacing w:val="-2"/>
                      <w:sz w:val="21"/>
                      <w:szCs w:val="21"/>
                    </w:rPr>
                    <w:t>污染源</w:t>
                  </w:r>
                </w:p>
              </w:tc>
              <w:tc>
                <w:tcPr>
                  <w:tcW w:w="882" w:type="dxa"/>
                  <w:tcMar>
                    <w:top w:w="28" w:type="dxa"/>
                    <w:left w:w="57" w:type="dxa"/>
                    <w:bottom w:w="28" w:type="dxa"/>
                    <w:right w:w="57" w:type="dxa"/>
                  </w:tcMar>
                  <w:vAlign w:val="center"/>
                </w:tcPr>
                <w:p>
                  <w:pPr>
                    <w:spacing w:line="240" w:lineRule="auto"/>
                    <w:jc w:val="center"/>
                    <w:rPr>
                      <w:bCs/>
                      <w:snapToGrid w:val="0"/>
                      <w:spacing w:val="-2"/>
                      <w:sz w:val="21"/>
                      <w:szCs w:val="21"/>
                    </w:rPr>
                  </w:pPr>
                  <w:r>
                    <w:rPr>
                      <w:bCs/>
                      <w:snapToGrid w:val="0"/>
                      <w:spacing w:val="-2"/>
                      <w:sz w:val="21"/>
                      <w:szCs w:val="21"/>
                    </w:rPr>
                    <w:t>污染物</w:t>
                  </w:r>
                </w:p>
              </w:tc>
              <w:tc>
                <w:tcPr>
                  <w:tcW w:w="1271" w:type="dxa"/>
                  <w:tcMar>
                    <w:top w:w="28" w:type="dxa"/>
                    <w:left w:w="57" w:type="dxa"/>
                    <w:bottom w:w="28" w:type="dxa"/>
                    <w:right w:w="57" w:type="dxa"/>
                  </w:tcMar>
                  <w:vAlign w:val="center"/>
                </w:tcPr>
                <w:p>
                  <w:pPr>
                    <w:spacing w:line="240" w:lineRule="auto"/>
                    <w:jc w:val="center"/>
                    <w:rPr>
                      <w:bCs/>
                      <w:snapToGrid w:val="0"/>
                      <w:spacing w:val="-2"/>
                      <w:sz w:val="21"/>
                      <w:szCs w:val="21"/>
                    </w:rPr>
                  </w:pPr>
                  <w:r>
                    <w:rPr>
                      <w:bCs/>
                      <w:snapToGrid w:val="0"/>
                      <w:spacing w:val="-2"/>
                      <w:sz w:val="21"/>
                      <w:szCs w:val="21"/>
                    </w:rPr>
                    <w:t>排放形式</w:t>
                  </w:r>
                </w:p>
              </w:tc>
              <w:tc>
                <w:tcPr>
                  <w:tcW w:w="1414" w:type="dxa"/>
                  <w:tcMar>
                    <w:top w:w="28" w:type="dxa"/>
                    <w:left w:w="57" w:type="dxa"/>
                    <w:bottom w:w="28" w:type="dxa"/>
                    <w:right w:w="57" w:type="dxa"/>
                  </w:tcMar>
                  <w:vAlign w:val="center"/>
                </w:tcPr>
                <w:p>
                  <w:pPr>
                    <w:spacing w:line="240" w:lineRule="auto"/>
                    <w:jc w:val="center"/>
                    <w:rPr>
                      <w:bCs/>
                      <w:snapToGrid w:val="0"/>
                      <w:spacing w:val="-2"/>
                      <w:sz w:val="21"/>
                      <w:szCs w:val="21"/>
                    </w:rPr>
                  </w:pPr>
                  <w:r>
                    <w:rPr>
                      <w:bCs/>
                      <w:snapToGrid w:val="0"/>
                      <w:spacing w:val="-2"/>
                      <w:sz w:val="21"/>
                      <w:szCs w:val="21"/>
                    </w:rPr>
                    <w:t>产生量（t/a）</w:t>
                  </w:r>
                </w:p>
              </w:tc>
              <w:tc>
                <w:tcPr>
                  <w:tcW w:w="2822" w:type="dxa"/>
                  <w:tcMar>
                    <w:top w:w="28" w:type="dxa"/>
                    <w:left w:w="57" w:type="dxa"/>
                    <w:bottom w:w="28" w:type="dxa"/>
                    <w:right w:w="57" w:type="dxa"/>
                  </w:tcMar>
                  <w:vAlign w:val="center"/>
                </w:tcPr>
                <w:p>
                  <w:pPr>
                    <w:spacing w:line="240" w:lineRule="auto"/>
                    <w:jc w:val="center"/>
                    <w:rPr>
                      <w:bCs/>
                      <w:snapToGrid w:val="0"/>
                      <w:spacing w:val="-2"/>
                      <w:sz w:val="21"/>
                      <w:szCs w:val="21"/>
                    </w:rPr>
                  </w:pPr>
                  <w:r>
                    <w:rPr>
                      <w:bCs/>
                      <w:snapToGrid w:val="0"/>
                      <w:spacing w:val="-2"/>
                      <w:sz w:val="21"/>
                      <w:szCs w:val="21"/>
                    </w:rPr>
                    <w:t>治理措施</w:t>
                  </w:r>
                </w:p>
              </w:tc>
              <w:tc>
                <w:tcPr>
                  <w:tcW w:w="1465" w:type="dxa"/>
                  <w:tcMar>
                    <w:top w:w="28" w:type="dxa"/>
                    <w:left w:w="57" w:type="dxa"/>
                    <w:bottom w:w="28" w:type="dxa"/>
                    <w:right w:w="57" w:type="dxa"/>
                  </w:tcMar>
                  <w:vAlign w:val="center"/>
                </w:tcPr>
                <w:p>
                  <w:pPr>
                    <w:spacing w:line="240" w:lineRule="auto"/>
                    <w:jc w:val="center"/>
                    <w:rPr>
                      <w:bCs/>
                      <w:snapToGrid w:val="0"/>
                      <w:spacing w:val="-2"/>
                      <w:sz w:val="21"/>
                      <w:szCs w:val="21"/>
                    </w:rPr>
                  </w:pPr>
                  <w:r>
                    <w:rPr>
                      <w:bCs/>
                      <w:snapToGrid w:val="0"/>
                      <w:spacing w:val="-2"/>
                      <w:sz w:val="21"/>
                      <w:szCs w:val="21"/>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jc w:val="center"/>
              </w:trPr>
              <w:tc>
                <w:tcPr>
                  <w:tcW w:w="1233" w:type="dxa"/>
                  <w:vMerge w:val="restart"/>
                  <w:tcMar>
                    <w:top w:w="28" w:type="dxa"/>
                    <w:left w:w="57" w:type="dxa"/>
                    <w:bottom w:w="28" w:type="dxa"/>
                    <w:right w:w="57" w:type="dxa"/>
                  </w:tcMar>
                  <w:vAlign w:val="center"/>
                </w:tcPr>
                <w:p>
                  <w:pPr>
                    <w:spacing w:line="240" w:lineRule="auto"/>
                    <w:jc w:val="center"/>
                    <w:rPr>
                      <w:sz w:val="21"/>
                      <w:szCs w:val="21"/>
                    </w:rPr>
                  </w:pPr>
                  <w:r>
                    <w:rPr>
                      <w:sz w:val="21"/>
                      <w:szCs w:val="21"/>
                    </w:rPr>
                    <w:t>破碎筛分</w:t>
                  </w:r>
                </w:p>
                <w:p>
                  <w:pPr>
                    <w:spacing w:line="240" w:lineRule="auto"/>
                    <w:jc w:val="center"/>
                    <w:rPr>
                      <w:bCs/>
                      <w:snapToGrid w:val="0"/>
                      <w:spacing w:val="-2"/>
                      <w:sz w:val="21"/>
                      <w:szCs w:val="21"/>
                    </w:rPr>
                  </w:pPr>
                  <w:r>
                    <w:rPr>
                      <w:sz w:val="21"/>
                      <w:szCs w:val="21"/>
                    </w:rPr>
                    <w:t>工序</w:t>
                  </w:r>
                </w:p>
              </w:tc>
              <w:tc>
                <w:tcPr>
                  <w:tcW w:w="882" w:type="dxa"/>
                  <w:vMerge w:val="restart"/>
                  <w:tcMar>
                    <w:top w:w="28" w:type="dxa"/>
                    <w:left w:w="57" w:type="dxa"/>
                    <w:bottom w:w="28" w:type="dxa"/>
                    <w:right w:w="57" w:type="dxa"/>
                  </w:tcMar>
                  <w:vAlign w:val="center"/>
                </w:tcPr>
                <w:p>
                  <w:pPr>
                    <w:spacing w:line="240" w:lineRule="auto"/>
                    <w:jc w:val="center"/>
                    <w:rPr>
                      <w:bCs/>
                      <w:snapToGrid w:val="0"/>
                      <w:spacing w:val="-2"/>
                      <w:sz w:val="21"/>
                      <w:szCs w:val="21"/>
                    </w:rPr>
                  </w:pPr>
                  <w:r>
                    <w:rPr>
                      <w:bCs/>
                      <w:snapToGrid w:val="0"/>
                      <w:spacing w:val="-2"/>
                      <w:sz w:val="21"/>
                      <w:szCs w:val="21"/>
                    </w:rPr>
                    <w:t>粉尘（TSP）</w:t>
                  </w:r>
                </w:p>
              </w:tc>
              <w:tc>
                <w:tcPr>
                  <w:tcW w:w="1271" w:type="dxa"/>
                  <w:vMerge w:val="restart"/>
                  <w:tcMar>
                    <w:top w:w="28" w:type="dxa"/>
                    <w:left w:w="57" w:type="dxa"/>
                    <w:bottom w:w="28" w:type="dxa"/>
                    <w:right w:w="57" w:type="dxa"/>
                  </w:tcMar>
                  <w:vAlign w:val="center"/>
                </w:tcPr>
                <w:p>
                  <w:pPr>
                    <w:spacing w:line="240" w:lineRule="auto"/>
                    <w:jc w:val="center"/>
                    <w:rPr>
                      <w:bCs/>
                      <w:snapToGrid w:val="0"/>
                      <w:spacing w:val="-2"/>
                      <w:sz w:val="21"/>
                      <w:szCs w:val="21"/>
                    </w:rPr>
                  </w:pPr>
                  <w:r>
                    <w:rPr>
                      <w:bCs/>
                      <w:snapToGrid w:val="0"/>
                      <w:spacing w:val="-2"/>
                      <w:sz w:val="21"/>
                      <w:szCs w:val="21"/>
                    </w:rPr>
                    <w:t>无组织</w:t>
                  </w:r>
                </w:p>
              </w:tc>
              <w:tc>
                <w:tcPr>
                  <w:tcW w:w="1414" w:type="dxa"/>
                  <w:vMerge w:val="restart"/>
                  <w:tcMar>
                    <w:top w:w="28" w:type="dxa"/>
                    <w:left w:w="57" w:type="dxa"/>
                    <w:bottom w:w="28" w:type="dxa"/>
                    <w:right w:w="57" w:type="dxa"/>
                  </w:tcMar>
                  <w:vAlign w:val="center"/>
                </w:tcPr>
                <w:p>
                  <w:pPr>
                    <w:spacing w:line="240" w:lineRule="auto"/>
                    <w:jc w:val="center"/>
                    <w:rPr>
                      <w:bCs/>
                      <w:snapToGrid w:val="0"/>
                      <w:spacing w:val="-2"/>
                      <w:sz w:val="21"/>
                      <w:szCs w:val="21"/>
                    </w:rPr>
                  </w:pPr>
                  <w:r>
                    <w:rPr>
                      <w:bCs/>
                      <w:snapToGrid w:val="0"/>
                      <w:spacing w:val="-2"/>
                      <w:sz w:val="21"/>
                      <w:szCs w:val="21"/>
                    </w:rPr>
                    <w:t>1.5</w:t>
                  </w:r>
                </w:p>
              </w:tc>
              <w:tc>
                <w:tcPr>
                  <w:tcW w:w="2822" w:type="dxa"/>
                  <w:tcMar>
                    <w:top w:w="28" w:type="dxa"/>
                    <w:left w:w="57" w:type="dxa"/>
                    <w:bottom w:w="28" w:type="dxa"/>
                    <w:right w:w="57" w:type="dxa"/>
                  </w:tcMar>
                  <w:vAlign w:val="center"/>
                </w:tcPr>
                <w:p>
                  <w:pPr>
                    <w:spacing w:line="240" w:lineRule="auto"/>
                    <w:jc w:val="center"/>
                    <w:rPr>
                      <w:bCs/>
                      <w:snapToGrid w:val="0"/>
                      <w:spacing w:val="-2"/>
                      <w:sz w:val="21"/>
                      <w:szCs w:val="21"/>
                    </w:rPr>
                  </w:pPr>
                  <w:r>
                    <w:rPr>
                      <w:rFonts w:hint="eastAsia"/>
                      <w:bCs/>
                      <w:snapToGrid w:val="0"/>
                      <w:spacing w:val="-6"/>
                      <w:sz w:val="21"/>
                      <w:szCs w:val="21"/>
                    </w:rPr>
                    <w:t>封闭设备，沉降效率</w:t>
                  </w:r>
                  <w:r>
                    <w:rPr>
                      <w:bCs/>
                      <w:snapToGrid w:val="0"/>
                      <w:spacing w:val="-6"/>
                      <w:sz w:val="21"/>
                      <w:szCs w:val="21"/>
                    </w:rPr>
                    <w:t>85</w:t>
                  </w:r>
                  <w:r>
                    <w:rPr>
                      <w:rFonts w:hint="eastAsia"/>
                      <w:bCs/>
                      <w:snapToGrid w:val="0"/>
                      <w:spacing w:val="-6"/>
                      <w:sz w:val="21"/>
                      <w:szCs w:val="21"/>
                    </w:rPr>
                    <w:t>%</w:t>
                  </w:r>
                </w:p>
              </w:tc>
              <w:tc>
                <w:tcPr>
                  <w:tcW w:w="1465" w:type="dxa"/>
                  <w:vMerge w:val="restart"/>
                  <w:tcMar>
                    <w:top w:w="28" w:type="dxa"/>
                    <w:left w:w="57" w:type="dxa"/>
                    <w:bottom w:w="28" w:type="dxa"/>
                    <w:right w:w="57" w:type="dxa"/>
                  </w:tcMar>
                  <w:vAlign w:val="center"/>
                </w:tcPr>
                <w:p>
                  <w:pPr>
                    <w:spacing w:line="240" w:lineRule="auto"/>
                    <w:jc w:val="center"/>
                    <w:rPr>
                      <w:bCs/>
                      <w:snapToGrid w:val="0"/>
                      <w:spacing w:val="-2"/>
                      <w:sz w:val="21"/>
                      <w:szCs w:val="21"/>
                    </w:rPr>
                  </w:pPr>
                  <w:r>
                    <w:rPr>
                      <w:bCs/>
                      <w:snapToGrid w:val="0"/>
                      <w:spacing w:val="-2"/>
                      <w:sz w:val="21"/>
                      <w:szCs w:val="21"/>
                    </w:rPr>
                    <w:t>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33" w:type="dxa"/>
                  <w:vMerge w:val="continue"/>
                  <w:tcMar>
                    <w:top w:w="28" w:type="dxa"/>
                    <w:left w:w="57" w:type="dxa"/>
                    <w:bottom w:w="28" w:type="dxa"/>
                    <w:right w:w="57" w:type="dxa"/>
                  </w:tcMar>
                  <w:vAlign w:val="center"/>
                </w:tcPr>
                <w:p>
                  <w:pPr>
                    <w:spacing w:line="240" w:lineRule="auto"/>
                    <w:jc w:val="center"/>
                    <w:rPr>
                      <w:sz w:val="21"/>
                      <w:szCs w:val="21"/>
                    </w:rPr>
                  </w:pPr>
                </w:p>
              </w:tc>
              <w:tc>
                <w:tcPr>
                  <w:tcW w:w="882" w:type="dxa"/>
                  <w:vMerge w:val="continue"/>
                  <w:tcMar>
                    <w:top w:w="28" w:type="dxa"/>
                    <w:left w:w="57" w:type="dxa"/>
                    <w:bottom w:w="28" w:type="dxa"/>
                    <w:right w:w="57" w:type="dxa"/>
                  </w:tcMar>
                  <w:vAlign w:val="center"/>
                </w:tcPr>
                <w:p>
                  <w:pPr>
                    <w:spacing w:line="240" w:lineRule="auto"/>
                    <w:jc w:val="center"/>
                    <w:rPr>
                      <w:bCs/>
                      <w:snapToGrid w:val="0"/>
                      <w:spacing w:val="-2"/>
                      <w:sz w:val="21"/>
                      <w:szCs w:val="21"/>
                    </w:rPr>
                  </w:pPr>
                </w:p>
              </w:tc>
              <w:tc>
                <w:tcPr>
                  <w:tcW w:w="1271" w:type="dxa"/>
                  <w:vMerge w:val="continue"/>
                  <w:tcMar>
                    <w:top w:w="28" w:type="dxa"/>
                    <w:left w:w="57" w:type="dxa"/>
                    <w:bottom w:w="28" w:type="dxa"/>
                    <w:right w:w="57" w:type="dxa"/>
                  </w:tcMar>
                  <w:vAlign w:val="center"/>
                </w:tcPr>
                <w:p>
                  <w:pPr>
                    <w:spacing w:line="240" w:lineRule="auto"/>
                    <w:jc w:val="center"/>
                    <w:rPr>
                      <w:bCs/>
                      <w:snapToGrid w:val="0"/>
                      <w:spacing w:val="-2"/>
                      <w:sz w:val="21"/>
                      <w:szCs w:val="21"/>
                    </w:rPr>
                  </w:pPr>
                </w:p>
              </w:tc>
              <w:tc>
                <w:tcPr>
                  <w:tcW w:w="1414" w:type="dxa"/>
                  <w:vMerge w:val="continue"/>
                  <w:tcMar>
                    <w:top w:w="28" w:type="dxa"/>
                    <w:left w:w="57" w:type="dxa"/>
                    <w:bottom w:w="28" w:type="dxa"/>
                    <w:right w:w="57" w:type="dxa"/>
                  </w:tcMar>
                  <w:vAlign w:val="center"/>
                </w:tcPr>
                <w:p>
                  <w:pPr>
                    <w:spacing w:line="240" w:lineRule="auto"/>
                    <w:jc w:val="center"/>
                    <w:rPr>
                      <w:bCs/>
                      <w:snapToGrid w:val="0"/>
                      <w:spacing w:val="-2"/>
                      <w:sz w:val="21"/>
                      <w:szCs w:val="21"/>
                    </w:rPr>
                  </w:pPr>
                </w:p>
              </w:tc>
              <w:tc>
                <w:tcPr>
                  <w:tcW w:w="2822" w:type="dxa"/>
                  <w:tcMar>
                    <w:top w:w="28" w:type="dxa"/>
                    <w:left w:w="57" w:type="dxa"/>
                    <w:bottom w:w="28" w:type="dxa"/>
                    <w:right w:w="57" w:type="dxa"/>
                  </w:tcMar>
                  <w:vAlign w:val="center"/>
                </w:tcPr>
                <w:p>
                  <w:pPr>
                    <w:spacing w:line="240" w:lineRule="auto"/>
                    <w:jc w:val="center"/>
                    <w:rPr>
                      <w:bCs/>
                      <w:snapToGrid w:val="0"/>
                      <w:spacing w:val="-2"/>
                      <w:sz w:val="21"/>
                      <w:szCs w:val="21"/>
                    </w:rPr>
                  </w:pPr>
                  <w:r>
                    <w:rPr>
                      <w:rFonts w:hint="eastAsia"/>
                      <w:bCs/>
                      <w:snapToGrid w:val="0"/>
                      <w:spacing w:val="-6"/>
                      <w:sz w:val="21"/>
                      <w:szCs w:val="21"/>
                    </w:rPr>
                    <w:t>封闭厂房，沉降效率8</w:t>
                  </w:r>
                  <w:r>
                    <w:rPr>
                      <w:bCs/>
                      <w:snapToGrid w:val="0"/>
                      <w:spacing w:val="-6"/>
                      <w:sz w:val="21"/>
                      <w:szCs w:val="21"/>
                    </w:rPr>
                    <w:t>0</w:t>
                  </w:r>
                  <w:r>
                    <w:rPr>
                      <w:rFonts w:hint="eastAsia"/>
                      <w:bCs/>
                      <w:snapToGrid w:val="0"/>
                      <w:spacing w:val="-6"/>
                      <w:sz w:val="21"/>
                      <w:szCs w:val="21"/>
                    </w:rPr>
                    <w:t>%</w:t>
                  </w:r>
                </w:p>
              </w:tc>
              <w:tc>
                <w:tcPr>
                  <w:tcW w:w="1465" w:type="dxa"/>
                  <w:vMerge w:val="continue"/>
                  <w:tcMar>
                    <w:top w:w="28" w:type="dxa"/>
                    <w:left w:w="57" w:type="dxa"/>
                    <w:bottom w:w="28" w:type="dxa"/>
                    <w:right w:w="57" w:type="dxa"/>
                  </w:tcMar>
                  <w:vAlign w:val="center"/>
                </w:tcPr>
                <w:p>
                  <w:pPr>
                    <w:spacing w:line="240" w:lineRule="auto"/>
                    <w:jc w:val="center"/>
                    <w:rPr>
                      <w:bCs/>
                      <w:snapToGrid w:val="0"/>
                      <w:spacing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33" w:type="dxa"/>
                  <w:vMerge w:val="restart"/>
                  <w:tcMar>
                    <w:top w:w="28" w:type="dxa"/>
                    <w:left w:w="57" w:type="dxa"/>
                    <w:bottom w:w="28" w:type="dxa"/>
                    <w:right w:w="57" w:type="dxa"/>
                  </w:tcMar>
                  <w:vAlign w:val="center"/>
                </w:tcPr>
                <w:p>
                  <w:pPr>
                    <w:spacing w:line="240" w:lineRule="auto"/>
                    <w:jc w:val="center"/>
                    <w:rPr>
                      <w:sz w:val="21"/>
                      <w:szCs w:val="21"/>
                    </w:rPr>
                  </w:pPr>
                  <w:r>
                    <w:rPr>
                      <w:sz w:val="21"/>
                      <w:szCs w:val="21"/>
                    </w:rPr>
                    <w:t>制砂</w:t>
                  </w:r>
                  <w:r>
                    <w:rPr>
                      <w:rFonts w:hint="eastAsia"/>
                      <w:sz w:val="21"/>
                      <w:szCs w:val="21"/>
                    </w:rPr>
                    <w:t>工序</w:t>
                  </w:r>
                </w:p>
              </w:tc>
              <w:tc>
                <w:tcPr>
                  <w:tcW w:w="882" w:type="dxa"/>
                  <w:vMerge w:val="restart"/>
                  <w:tcMar>
                    <w:top w:w="28" w:type="dxa"/>
                    <w:left w:w="57" w:type="dxa"/>
                    <w:bottom w:w="28" w:type="dxa"/>
                    <w:right w:w="57" w:type="dxa"/>
                  </w:tcMar>
                  <w:vAlign w:val="center"/>
                </w:tcPr>
                <w:p>
                  <w:pPr>
                    <w:spacing w:line="240" w:lineRule="auto"/>
                    <w:jc w:val="center"/>
                    <w:rPr>
                      <w:bCs/>
                      <w:snapToGrid w:val="0"/>
                      <w:spacing w:val="-2"/>
                      <w:sz w:val="21"/>
                      <w:szCs w:val="21"/>
                    </w:rPr>
                  </w:pPr>
                  <w:r>
                    <w:rPr>
                      <w:bCs/>
                      <w:snapToGrid w:val="0"/>
                      <w:spacing w:val="-2"/>
                      <w:sz w:val="21"/>
                      <w:szCs w:val="21"/>
                    </w:rPr>
                    <w:t>粉尘（TSP）</w:t>
                  </w:r>
                </w:p>
              </w:tc>
              <w:tc>
                <w:tcPr>
                  <w:tcW w:w="1271" w:type="dxa"/>
                  <w:vMerge w:val="restart"/>
                  <w:tcMar>
                    <w:top w:w="28" w:type="dxa"/>
                    <w:left w:w="57" w:type="dxa"/>
                    <w:bottom w:w="28" w:type="dxa"/>
                    <w:right w:w="57" w:type="dxa"/>
                  </w:tcMar>
                  <w:vAlign w:val="center"/>
                </w:tcPr>
                <w:p>
                  <w:pPr>
                    <w:spacing w:line="240" w:lineRule="auto"/>
                    <w:jc w:val="center"/>
                    <w:rPr>
                      <w:bCs/>
                      <w:snapToGrid w:val="0"/>
                      <w:spacing w:val="-2"/>
                      <w:sz w:val="21"/>
                      <w:szCs w:val="21"/>
                    </w:rPr>
                  </w:pPr>
                  <w:r>
                    <w:rPr>
                      <w:bCs/>
                      <w:snapToGrid w:val="0"/>
                      <w:spacing w:val="-2"/>
                      <w:sz w:val="21"/>
                      <w:szCs w:val="21"/>
                    </w:rPr>
                    <w:t>无组织</w:t>
                  </w:r>
                </w:p>
              </w:tc>
              <w:tc>
                <w:tcPr>
                  <w:tcW w:w="1414" w:type="dxa"/>
                  <w:vMerge w:val="restart"/>
                  <w:tcMar>
                    <w:top w:w="28" w:type="dxa"/>
                    <w:left w:w="57" w:type="dxa"/>
                    <w:bottom w:w="28" w:type="dxa"/>
                    <w:right w:w="57" w:type="dxa"/>
                  </w:tcMar>
                  <w:vAlign w:val="center"/>
                </w:tcPr>
                <w:p>
                  <w:pPr>
                    <w:spacing w:line="240" w:lineRule="auto"/>
                    <w:jc w:val="center"/>
                    <w:rPr>
                      <w:bCs/>
                      <w:snapToGrid w:val="0"/>
                      <w:spacing w:val="-2"/>
                      <w:sz w:val="21"/>
                      <w:szCs w:val="21"/>
                    </w:rPr>
                  </w:pPr>
                  <w:r>
                    <w:rPr>
                      <w:bCs/>
                      <w:snapToGrid w:val="0"/>
                      <w:spacing w:val="-2"/>
                      <w:sz w:val="21"/>
                      <w:szCs w:val="21"/>
                    </w:rPr>
                    <w:t>3.0</w:t>
                  </w:r>
                </w:p>
              </w:tc>
              <w:tc>
                <w:tcPr>
                  <w:tcW w:w="2822" w:type="dxa"/>
                  <w:tcMar>
                    <w:top w:w="28" w:type="dxa"/>
                    <w:left w:w="57" w:type="dxa"/>
                    <w:bottom w:w="28" w:type="dxa"/>
                    <w:right w:w="57" w:type="dxa"/>
                  </w:tcMar>
                  <w:vAlign w:val="center"/>
                </w:tcPr>
                <w:p>
                  <w:pPr>
                    <w:spacing w:line="240" w:lineRule="auto"/>
                    <w:jc w:val="center"/>
                    <w:rPr>
                      <w:bCs/>
                      <w:snapToGrid w:val="0"/>
                      <w:spacing w:val="-2"/>
                      <w:sz w:val="21"/>
                      <w:szCs w:val="21"/>
                    </w:rPr>
                  </w:pPr>
                  <w:r>
                    <w:rPr>
                      <w:rFonts w:hint="eastAsia"/>
                      <w:bCs/>
                      <w:snapToGrid w:val="0"/>
                      <w:spacing w:val="-6"/>
                      <w:sz w:val="21"/>
                      <w:szCs w:val="21"/>
                    </w:rPr>
                    <w:t>喷雾洒水降尘，沉降效率</w:t>
                  </w:r>
                  <w:r>
                    <w:rPr>
                      <w:bCs/>
                      <w:snapToGrid w:val="0"/>
                      <w:spacing w:val="-6"/>
                      <w:sz w:val="21"/>
                      <w:szCs w:val="21"/>
                    </w:rPr>
                    <w:t>80</w:t>
                  </w:r>
                  <w:r>
                    <w:rPr>
                      <w:rFonts w:hint="eastAsia"/>
                      <w:bCs/>
                      <w:snapToGrid w:val="0"/>
                      <w:spacing w:val="-6"/>
                      <w:sz w:val="21"/>
                      <w:szCs w:val="21"/>
                    </w:rPr>
                    <w:t>%</w:t>
                  </w:r>
                </w:p>
              </w:tc>
              <w:tc>
                <w:tcPr>
                  <w:tcW w:w="1465" w:type="dxa"/>
                  <w:vMerge w:val="restart"/>
                  <w:tcMar>
                    <w:top w:w="28" w:type="dxa"/>
                    <w:left w:w="57" w:type="dxa"/>
                    <w:bottom w:w="28" w:type="dxa"/>
                    <w:right w:w="57" w:type="dxa"/>
                  </w:tcMar>
                  <w:vAlign w:val="center"/>
                </w:tcPr>
                <w:p>
                  <w:pPr>
                    <w:spacing w:line="240" w:lineRule="auto"/>
                    <w:jc w:val="center"/>
                    <w:rPr>
                      <w:bCs/>
                      <w:snapToGrid w:val="0"/>
                      <w:spacing w:val="-2"/>
                      <w:sz w:val="21"/>
                      <w:szCs w:val="21"/>
                    </w:rPr>
                  </w:pPr>
                  <w:r>
                    <w:rPr>
                      <w:rFonts w:hint="eastAsia"/>
                      <w:bCs/>
                      <w:snapToGrid w:val="0"/>
                      <w:spacing w:val="-2"/>
                      <w:sz w:val="21"/>
                      <w:szCs w:val="21"/>
                    </w:rPr>
                    <w:t>0</w:t>
                  </w:r>
                  <w:r>
                    <w:rPr>
                      <w:bCs/>
                      <w:snapToGrid w:val="0"/>
                      <w:spacing w:val="-2"/>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39" w:type="dxa"/>
                  <w:vMerge w:val="continue"/>
                  <w:tcMar>
                    <w:top w:w="28" w:type="dxa"/>
                    <w:left w:w="57" w:type="dxa"/>
                    <w:bottom w:w="28" w:type="dxa"/>
                    <w:right w:w="57" w:type="dxa"/>
                  </w:tcMar>
                  <w:vAlign w:val="center"/>
                </w:tcPr>
                <w:p>
                  <w:pPr>
                    <w:spacing w:line="240" w:lineRule="auto"/>
                    <w:jc w:val="center"/>
                    <w:rPr>
                      <w:sz w:val="21"/>
                      <w:szCs w:val="21"/>
                    </w:rPr>
                  </w:pPr>
                </w:p>
              </w:tc>
              <w:tc>
                <w:tcPr>
                  <w:tcW w:w="850" w:type="dxa"/>
                  <w:vMerge w:val="continue"/>
                  <w:tcMar>
                    <w:top w:w="28" w:type="dxa"/>
                    <w:left w:w="57" w:type="dxa"/>
                    <w:bottom w:w="28" w:type="dxa"/>
                    <w:right w:w="57" w:type="dxa"/>
                  </w:tcMar>
                  <w:vAlign w:val="center"/>
                </w:tcPr>
                <w:p>
                  <w:pPr>
                    <w:spacing w:line="240" w:lineRule="auto"/>
                    <w:jc w:val="center"/>
                    <w:rPr>
                      <w:bCs/>
                      <w:snapToGrid w:val="0"/>
                      <w:spacing w:val="-2"/>
                      <w:sz w:val="21"/>
                      <w:szCs w:val="21"/>
                    </w:rPr>
                  </w:pPr>
                </w:p>
              </w:tc>
              <w:tc>
                <w:tcPr>
                  <w:tcW w:w="1276" w:type="dxa"/>
                  <w:vMerge w:val="continue"/>
                  <w:tcMar>
                    <w:top w:w="28" w:type="dxa"/>
                    <w:left w:w="57" w:type="dxa"/>
                    <w:bottom w:w="28" w:type="dxa"/>
                    <w:right w:w="57" w:type="dxa"/>
                  </w:tcMar>
                  <w:vAlign w:val="center"/>
                </w:tcPr>
                <w:p>
                  <w:pPr>
                    <w:spacing w:line="240" w:lineRule="auto"/>
                    <w:jc w:val="center"/>
                    <w:rPr>
                      <w:bCs/>
                      <w:snapToGrid w:val="0"/>
                      <w:spacing w:val="-2"/>
                      <w:sz w:val="21"/>
                      <w:szCs w:val="21"/>
                    </w:rPr>
                  </w:pPr>
                </w:p>
              </w:tc>
              <w:tc>
                <w:tcPr>
                  <w:tcW w:w="1418" w:type="dxa"/>
                  <w:vMerge w:val="continue"/>
                  <w:tcMar>
                    <w:top w:w="28" w:type="dxa"/>
                    <w:left w:w="57" w:type="dxa"/>
                    <w:bottom w:w="28" w:type="dxa"/>
                    <w:right w:w="57" w:type="dxa"/>
                  </w:tcMar>
                  <w:vAlign w:val="center"/>
                </w:tcPr>
                <w:p>
                  <w:pPr>
                    <w:spacing w:line="240" w:lineRule="auto"/>
                    <w:jc w:val="center"/>
                    <w:rPr>
                      <w:bCs/>
                      <w:snapToGrid w:val="0"/>
                      <w:spacing w:val="-2"/>
                      <w:sz w:val="21"/>
                      <w:szCs w:val="21"/>
                    </w:rPr>
                  </w:pPr>
                </w:p>
              </w:tc>
              <w:tc>
                <w:tcPr>
                  <w:tcW w:w="2835" w:type="dxa"/>
                  <w:tcMar>
                    <w:top w:w="28" w:type="dxa"/>
                    <w:left w:w="57" w:type="dxa"/>
                    <w:bottom w:w="28" w:type="dxa"/>
                    <w:right w:w="57" w:type="dxa"/>
                  </w:tcMar>
                  <w:vAlign w:val="center"/>
                </w:tcPr>
                <w:p>
                  <w:pPr>
                    <w:spacing w:line="240" w:lineRule="auto"/>
                    <w:jc w:val="center"/>
                    <w:rPr>
                      <w:bCs/>
                      <w:snapToGrid w:val="0"/>
                      <w:spacing w:val="-2"/>
                      <w:sz w:val="21"/>
                      <w:szCs w:val="21"/>
                    </w:rPr>
                  </w:pPr>
                  <w:r>
                    <w:rPr>
                      <w:rFonts w:hint="eastAsia"/>
                      <w:bCs/>
                      <w:snapToGrid w:val="0"/>
                      <w:spacing w:val="-6"/>
                      <w:sz w:val="21"/>
                      <w:szCs w:val="21"/>
                    </w:rPr>
                    <w:t>封闭厂房，沉降效率8</w:t>
                  </w:r>
                  <w:r>
                    <w:rPr>
                      <w:bCs/>
                      <w:snapToGrid w:val="0"/>
                      <w:spacing w:val="-6"/>
                      <w:sz w:val="21"/>
                      <w:szCs w:val="21"/>
                    </w:rPr>
                    <w:t>0</w:t>
                  </w:r>
                  <w:r>
                    <w:rPr>
                      <w:rFonts w:hint="eastAsia"/>
                      <w:bCs/>
                      <w:snapToGrid w:val="0"/>
                      <w:spacing w:val="-6"/>
                      <w:sz w:val="21"/>
                      <w:szCs w:val="21"/>
                    </w:rPr>
                    <w:t>%</w:t>
                  </w:r>
                </w:p>
              </w:tc>
              <w:tc>
                <w:tcPr>
                  <w:tcW w:w="1469" w:type="dxa"/>
                  <w:vMerge w:val="continue"/>
                  <w:tcMar>
                    <w:top w:w="28" w:type="dxa"/>
                    <w:left w:w="57" w:type="dxa"/>
                    <w:bottom w:w="28" w:type="dxa"/>
                    <w:right w:w="57" w:type="dxa"/>
                  </w:tcMar>
                  <w:vAlign w:val="center"/>
                </w:tcPr>
                <w:p>
                  <w:pPr>
                    <w:spacing w:line="240" w:lineRule="auto"/>
                    <w:jc w:val="center"/>
                    <w:rPr>
                      <w:bCs/>
                      <w:snapToGrid w:val="0"/>
                      <w:spacing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39" w:type="dxa"/>
                  <w:vMerge w:val="restart"/>
                  <w:tcMar>
                    <w:top w:w="28" w:type="dxa"/>
                    <w:left w:w="57" w:type="dxa"/>
                    <w:bottom w:w="28" w:type="dxa"/>
                    <w:right w:w="57" w:type="dxa"/>
                  </w:tcMar>
                  <w:vAlign w:val="center"/>
                </w:tcPr>
                <w:p>
                  <w:pPr>
                    <w:spacing w:line="240" w:lineRule="auto"/>
                    <w:jc w:val="center"/>
                    <w:rPr>
                      <w:sz w:val="21"/>
                      <w:szCs w:val="21"/>
                    </w:rPr>
                  </w:pPr>
                  <w:r>
                    <w:rPr>
                      <w:rFonts w:hint="eastAsia"/>
                      <w:sz w:val="21"/>
                      <w:szCs w:val="21"/>
                    </w:rPr>
                    <w:t>产品区</w:t>
                  </w:r>
                  <w:r>
                    <w:rPr>
                      <w:sz w:val="21"/>
                      <w:szCs w:val="21"/>
                    </w:rPr>
                    <w:t>装卸工序</w:t>
                  </w:r>
                </w:p>
              </w:tc>
              <w:tc>
                <w:tcPr>
                  <w:tcW w:w="850" w:type="dxa"/>
                  <w:vMerge w:val="restart"/>
                  <w:tcMar>
                    <w:top w:w="28" w:type="dxa"/>
                    <w:left w:w="57" w:type="dxa"/>
                    <w:bottom w:w="28" w:type="dxa"/>
                    <w:right w:w="57" w:type="dxa"/>
                  </w:tcMar>
                  <w:vAlign w:val="center"/>
                </w:tcPr>
                <w:p>
                  <w:pPr>
                    <w:spacing w:line="240" w:lineRule="auto"/>
                    <w:jc w:val="center"/>
                    <w:rPr>
                      <w:bCs/>
                      <w:snapToGrid w:val="0"/>
                      <w:spacing w:val="-2"/>
                      <w:sz w:val="21"/>
                      <w:szCs w:val="21"/>
                    </w:rPr>
                  </w:pPr>
                  <w:r>
                    <w:rPr>
                      <w:bCs/>
                      <w:snapToGrid w:val="0"/>
                      <w:spacing w:val="-2"/>
                      <w:sz w:val="21"/>
                      <w:szCs w:val="21"/>
                    </w:rPr>
                    <w:t>粉尘（TSP）</w:t>
                  </w:r>
                </w:p>
              </w:tc>
              <w:tc>
                <w:tcPr>
                  <w:tcW w:w="1276" w:type="dxa"/>
                  <w:vMerge w:val="restart"/>
                  <w:tcMar>
                    <w:top w:w="28" w:type="dxa"/>
                    <w:left w:w="57" w:type="dxa"/>
                    <w:bottom w:w="28" w:type="dxa"/>
                    <w:right w:w="57" w:type="dxa"/>
                  </w:tcMar>
                  <w:vAlign w:val="center"/>
                </w:tcPr>
                <w:p>
                  <w:pPr>
                    <w:spacing w:line="240" w:lineRule="auto"/>
                    <w:jc w:val="center"/>
                    <w:rPr>
                      <w:bCs/>
                      <w:snapToGrid w:val="0"/>
                      <w:spacing w:val="-2"/>
                      <w:sz w:val="21"/>
                      <w:szCs w:val="21"/>
                    </w:rPr>
                  </w:pPr>
                  <w:r>
                    <w:rPr>
                      <w:bCs/>
                      <w:snapToGrid w:val="0"/>
                      <w:spacing w:val="-2"/>
                      <w:sz w:val="21"/>
                      <w:szCs w:val="21"/>
                    </w:rPr>
                    <w:t>无组织</w:t>
                  </w:r>
                </w:p>
              </w:tc>
              <w:tc>
                <w:tcPr>
                  <w:tcW w:w="1418" w:type="dxa"/>
                  <w:vMerge w:val="restart"/>
                  <w:tcMar>
                    <w:top w:w="28" w:type="dxa"/>
                    <w:left w:w="57" w:type="dxa"/>
                    <w:bottom w:w="28" w:type="dxa"/>
                    <w:right w:w="57" w:type="dxa"/>
                  </w:tcMar>
                  <w:vAlign w:val="center"/>
                </w:tcPr>
                <w:p>
                  <w:pPr>
                    <w:spacing w:line="240" w:lineRule="auto"/>
                    <w:jc w:val="center"/>
                    <w:rPr>
                      <w:bCs/>
                      <w:snapToGrid w:val="0"/>
                      <w:spacing w:val="-2"/>
                      <w:sz w:val="21"/>
                      <w:szCs w:val="21"/>
                    </w:rPr>
                  </w:pPr>
                  <w:r>
                    <w:rPr>
                      <w:rFonts w:hint="eastAsia"/>
                      <w:bCs/>
                      <w:snapToGrid w:val="0"/>
                      <w:spacing w:val="-2"/>
                      <w:sz w:val="21"/>
                      <w:szCs w:val="21"/>
                    </w:rPr>
                    <w:t>0.3</w:t>
                  </w:r>
                </w:p>
              </w:tc>
              <w:tc>
                <w:tcPr>
                  <w:tcW w:w="2835" w:type="dxa"/>
                  <w:tcMar>
                    <w:top w:w="28" w:type="dxa"/>
                    <w:left w:w="57" w:type="dxa"/>
                    <w:bottom w:w="28" w:type="dxa"/>
                    <w:right w:w="57" w:type="dxa"/>
                  </w:tcMar>
                  <w:vAlign w:val="center"/>
                </w:tcPr>
                <w:p>
                  <w:pPr>
                    <w:spacing w:line="240" w:lineRule="auto"/>
                    <w:jc w:val="center"/>
                    <w:rPr>
                      <w:bCs/>
                      <w:snapToGrid w:val="0"/>
                      <w:spacing w:val="-2"/>
                      <w:sz w:val="21"/>
                      <w:szCs w:val="21"/>
                    </w:rPr>
                  </w:pPr>
                  <w:r>
                    <w:rPr>
                      <w:rFonts w:hint="eastAsia"/>
                      <w:bCs/>
                      <w:snapToGrid w:val="0"/>
                      <w:spacing w:val="-6"/>
                      <w:sz w:val="21"/>
                      <w:szCs w:val="21"/>
                    </w:rPr>
                    <w:t>喷雾洒水降尘，沉降效率</w:t>
                  </w:r>
                  <w:r>
                    <w:rPr>
                      <w:bCs/>
                      <w:snapToGrid w:val="0"/>
                      <w:spacing w:val="-6"/>
                      <w:sz w:val="21"/>
                      <w:szCs w:val="21"/>
                    </w:rPr>
                    <w:t>80</w:t>
                  </w:r>
                  <w:r>
                    <w:rPr>
                      <w:rFonts w:hint="eastAsia"/>
                      <w:bCs/>
                      <w:snapToGrid w:val="0"/>
                      <w:spacing w:val="-6"/>
                      <w:sz w:val="21"/>
                      <w:szCs w:val="21"/>
                    </w:rPr>
                    <w:t>%</w:t>
                  </w:r>
                </w:p>
              </w:tc>
              <w:tc>
                <w:tcPr>
                  <w:tcW w:w="1469" w:type="dxa"/>
                  <w:vMerge w:val="restart"/>
                  <w:tcMar>
                    <w:top w:w="28" w:type="dxa"/>
                    <w:left w:w="57" w:type="dxa"/>
                    <w:bottom w:w="28" w:type="dxa"/>
                    <w:right w:w="57" w:type="dxa"/>
                  </w:tcMar>
                  <w:vAlign w:val="center"/>
                </w:tcPr>
                <w:p>
                  <w:pPr>
                    <w:spacing w:line="240" w:lineRule="auto"/>
                    <w:jc w:val="center"/>
                    <w:rPr>
                      <w:bCs/>
                      <w:snapToGrid w:val="0"/>
                      <w:spacing w:val="-2"/>
                      <w:sz w:val="21"/>
                      <w:szCs w:val="21"/>
                    </w:rPr>
                  </w:pPr>
                  <w:r>
                    <w:rPr>
                      <w:rFonts w:hint="eastAsia"/>
                      <w:bCs/>
                      <w:snapToGrid w:val="0"/>
                      <w:spacing w:val="-2"/>
                      <w:sz w:val="21"/>
                      <w:szCs w:val="21"/>
                    </w:rPr>
                    <w:t>0.</w:t>
                  </w:r>
                  <w:r>
                    <w:rPr>
                      <w:bCs/>
                      <w:snapToGrid w:val="0"/>
                      <w:spacing w:val="-2"/>
                      <w:sz w:val="21"/>
                      <w:szCs w:val="21"/>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33" w:type="dxa"/>
                  <w:vMerge w:val="continue"/>
                  <w:tcMar>
                    <w:top w:w="28" w:type="dxa"/>
                    <w:left w:w="57" w:type="dxa"/>
                    <w:bottom w:w="28" w:type="dxa"/>
                    <w:right w:w="57" w:type="dxa"/>
                  </w:tcMar>
                  <w:vAlign w:val="center"/>
                </w:tcPr>
                <w:p>
                  <w:pPr>
                    <w:spacing w:line="240" w:lineRule="auto"/>
                    <w:jc w:val="center"/>
                    <w:rPr>
                      <w:sz w:val="21"/>
                      <w:szCs w:val="21"/>
                    </w:rPr>
                  </w:pPr>
                </w:p>
              </w:tc>
              <w:tc>
                <w:tcPr>
                  <w:tcW w:w="882" w:type="dxa"/>
                  <w:vMerge w:val="continue"/>
                  <w:tcMar>
                    <w:top w:w="28" w:type="dxa"/>
                    <w:left w:w="57" w:type="dxa"/>
                    <w:bottom w:w="28" w:type="dxa"/>
                    <w:right w:w="57" w:type="dxa"/>
                  </w:tcMar>
                  <w:vAlign w:val="center"/>
                </w:tcPr>
                <w:p>
                  <w:pPr>
                    <w:spacing w:line="240" w:lineRule="auto"/>
                    <w:jc w:val="center"/>
                    <w:rPr>
                      <w:bCs/>
                      <w:snapToGrid w:val="0"/>
                      <w:spacing w:val="-2"/>
                      <w:sz w:val="21"/>
                      <w:szCs w:val="21"/>
                    </w:rPr>
                  </w:pPr>
                </w:p>
              </w:tc>
              <w:tc>
                <w:tcPr>
                  <w:tcW w:w="1271" w:type="dxa"/>
                  <w:vMerge w:val="continue"/>
                  <w:tcMar>
                    <w:top w:w="28" w:type="dxa"/>
                    <w:left w:w="57" w:type="dxa"/>
                    <w:bottom w:w="28" w:type="dxa"/>
                    <w:right w:w="57" w:type="dxa"/>
                  </w:tcMar>
                  <w:vAlign w:val="center"/>
                </w:tcPr>
                <w:p>
                  <w:pPr>
                    <w:spacing w:line="240" w:lineRule="auto"/>
                    <w:jc w:val="center"/>
                    <w:rPr>
                      <w:bCs/>
                      <w:snapToGrid w:val="0"/>
                      <w:spacing w:val="-2"/>
                      <w:sz w:val="21"/>
                      <w:szCs w:val="21"/>
                    </w:rPr>
                  </w:pPr>
                </w:p>
              </w:tc>
              <w:tc>
                <w:tcPr>
                  <w:tcW w:w="1414" w:type="dxa"/>
                  <w:vMerge w:val="continue"/>
                  <w:tcMar>
                    <w:top w:w="28" w:type="dxa"/>
                    <w:left w:w="57" w:type="dxa"/>
                    <w:bottom w:w="28" w:type="dxa"/>
                    <w:right w:w="57" w:type="dxa"/>
                  </w:tcMar>
                  <w:vAlign w:val="center"/>
                </w:tcPr>
                <w:p>
                  <w:pPr>
                    <w:spacing w:line="240" w:lineRule="auto"/>
                    <w:jc w:val="center"/>
                    <w:rPr>
                      <w:bCs/>
                      <w:snapToGrid w:val="0"/>
                      <w:spacing w:val="-2"/>
                      <w:sz w:val="21"/>
                      <w:szCs w:val="21"/>
                    </w:rPr>
                  </w:pPr>
                </w:p>
              </w:tc>
              <w:tc>
                <w:tcPr>
                  <w:tcW w:w="2822" w:type="dxa"/>
                  <w:tcMar>
                    <w:top w:w="28" w:type="dxa"/>
                    <w:left w:w="57" w:type="dxa"/>
                    <w:bottom w:w="28" w:type="dxa"/>
                    <w:right w:w="57" w:type="dxa"/>
                  </w:tcMar>
                  <w:vAlign w:val="center"/>
                </w:tcPr>
                <w:p>
                  <w:pPr>
                    <w:spacing w:line="240" w:lineRule="auto"/>
                    <w:jc w:val="center"/>
                    <w:rPr>
                      <w:bCs/>
                      <w:snapToGrid w:val="0"/>
                      <w:spacing w:val="-2"/>
                      <w:sz w:val="21"/>
                      <w:szCs w:val="21"/>
                    </w:rPr>
                  </w:pPr>
                  <w:r>
                    <w:rPr>
                      <w:rFonts w:hint="eastAsia"/>
                      <w:bCs/>
                      <w:snapToGrid w:val="0"/>
                      <w:spacing w:val="-6"/>
                      <w:sz w:val="21"/>
                      <w:szCs w:val="21"/>
                    </w:rPr>
                    <w:t>封闭厂房，沉降效率8</w:t>
                  </w:r>
                  <w:r>
                    <w:rPr>
                      <w:bCs/>
                      <w:snapToGrid w:val="0"/>
                      <w:spacing w:val="-6"/>
                      <w:sz w:val="21"/>
                      <w:szCs w:val="21"/>
                    </w:rPr>
                    <w:t>0</w:t>
                  </w:r>
                  <w:r>
                    <w:rPr>
                      <w:rFonts w:hint="eastAsia"/>
                      <w:bCs/>
                      <w:snapToGrid w:val="0"/>
                      <w:spacing w:val="-6"/>
                      <w:sz w:val="21"/>
                      <w:szCs w:val="21"/>
                    </w:rPr>
                    <w:t>%</w:t>
                  </w:r>
                </w:p>
              </w:tc>
              <w:tc>
                <w:tcPr>
                  <w:tcW w:w="1465" w:type="dxa"/>
                  <w:vMerge w:val="continue"/>
                  <w:tcMar>
                    <w:top w:w="28" w:type="dxa"/>
                    <w:left w:w="57" w:type="dxa"/>
                    <w:bottom w:w="28" w:type="dxa"/>
                    <w:right w:w="57" w:type="dxa"/>
                  </w:tcMar>
                  <w:vAlign w:val="center"/>
                </w:tcPr>
                <w:p>
                  <w:pPr>
                    <w:spacing w:line="240" w:lineRule="auto"/>
                    <w:jc w:val="center"/>
                    <w:rPr>
                      <w:bCs/>
                      <w:snapToGrid w:val="0"/>
                      <w:spacing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33" w:type="dxa"/>
                  <w:tcMar>
                    <w:top w:w="28" w:type="dxa"/>
                    <w:left w:w="57" w:type="dxa"/>
                    <w:bottom w:w="28" w:type="dxa"/>
                    <w:right w:w="57" w:type="dxa"/>
                  </w:tcMar>
                  <w:vAlign w:val="center"/>
                </w:tcPr>
                <w:p>
                  <w:pPr>
                    <w:spacing w:line="240" w:lineRule="auto"/>
                    <w:jc w:val="center"/>
                    <w:rPr>
                      <w:sz w:val="21"/>
                      <w:szCs w:val="21"/>
                    </w:rPr>
                  </w:pPr>
                  <w:r>
                    <w:rPr>
                      <w:sz w:val="21"/>
                      <w:szCs w:val="21"/>
                    </w:rPr>
                    <w:t>原料区</w:t>
                  </w:r>
                  <w:r>
                    <w:rPr>
                      <w:rFonts w:hint="eastAsia"/>
                      <w:sz w:val="21"/>
                      <w:szCs w:val="21"/>
                    </w:rPr>
                    <w:t>装卸工序</w:t>
                  </w:r>
                </w:p>
              </w:tc>
              <w:tc>
                <w:tcPr>
                  <w:tcW w:w="882" w:type="dxa"/>
                  <w:tcMar>
                    <w:top w:w="28" w:type="dxa"/>
                    <w:left w:w="57" w:type="dxa"/>
                    <w:bottom w:w="28" w:type="dxa"/>
                    <w:right w:w="57" w:type="dxa"/>
                  </w:tcMar>
                  <w:vAlign w:val="center"/>
                </w:tcPr>
                <w:p>
                  <w:pPr>
                    <w:spacing w:line="240" w:lineRule="auto"/>
                    <w:jc w:val="center"/>
                    <w:rPr>
                      <w:bCs/>
                      <w:snapToGrid w:val="0"/>
                      <w:spacing w:val="-2"/>
                      <w:sz w:val="21"/>
                      <w:szCs w:val="21"/>
                    </w:rPr>
                  </w:pPr>
                  <w:r>
                    <w:rPr>
                      <w:bCs/>
                      <w:snapToGrid w:val="0"/>
                      <w:spacing w:val="-2"/>
                      <w:sz w:val="21"/>
                      <w:szCs w:val="21"/>
                    </w:rPr>
                    <w:t>粉尘（TSP）</w:t>
                  </w:r>
                </w:p>
              </w:tc>
              <w:tc>
                <w:tcPr>
                  <w:tcW w:w="1271" w:type="dxa"/>
                  <w:tcMar>
                    <w:top w:w="28" w:type="dxa"/>
                    <w:left w:w="57" w:type="dxa"/>
                    <w:bottom w:w="28" w:type="dxa"/>
                    <w:right w:w="57" w:type="dxa"/>
                  </w:tcMar>
                  <w:vAlign w:val="center"/>
                </w:tcPr>
                <w:p>
                  <w:pPr>
                    <w:spacing w:line="240" w:lineRule="auto"/>
                    <w:jc w:val="center"/>
                    <w:rPr>
                      <w:bCs/>
                      <w:snapToGrid w:val="0"/>
                      <w:spacing w:val="-2"/>
                      <w:sz w:val="21"/>
                      <w:szCs w:val="21"/>
                    </w:rPr>
                  </w:pPr>
                  <w:r>
                    <w:rPr>
                      <w:bCs/>
                      <w:snapToGrid w:val="0"/>
                      <w:spacing w:val="-2"/>
                      <w:sz w:val="21"/>
                      <w:szCs w:val="21"/>
                    </w:rPr>
                    <w:t>无组织</w:t>
                  </w:r>
                </w:p>
              </w:tc>
              <w:tc>
                <w:tcPr>
                  <w:tcW w:w="1414" w:type="dxa"/>
                  <w:tcMar>
                    <w:top w:w="28" w:type="dxa"/>
                    <w:left w:w="57" w:type="dxa"/>
                    <w:bottom w:w="28" w:type="dxa"/>
                    <w:right w:w="57" w:type="dxa"/>
                  </w:tcMar>
                  <w:vAlign w:val="center"/>
                </w:tcPr>
                <w:p>
                  <w:pPr>
                    <w:spacing w:line="240" w:lineRule="auto"/>
                    <w:jc w:val="center"/>
                    <w:rPr>
                      <w:bCs/>
                      <w:snapToGrid w:val="0"/>
                      <w:spacing w:val="-2"/>
                      <w:sz w:val="21"/>
                      <w:szCs w:val="21"/>
                    </w:rPr>
                  </w:pPr>
                  <w:r>
                    <w:rPr>
                      <w:rFonts w:hint="eastAsia"/>
                      <w:bCs/>
                      <w:snapToGrid w:val="0"/>
                      <w:spacing w:val="-2"/>
                      <w:sz w:val="21"/>
                      <w:szCs w:val="21"/>
                    </w:rPr>
                    <w:t>0.15</w:t>
                  </w:r>
                </w:p>
              </w:tc>
              <w:tc>
                <w:tcPr>
                  <w:tcW w:w="2822" w:type="dxa"/>
                  <w:tcMar>
                    <w:top w:w="28" w:type="dxa"/>
                    <w:left w:w="57" w:type="dxa"/>
                    <w:bottom w:w="28" w:type="dxa"/>
                    <w:right w:w="57" w:type="dxa"/>
                  </w:tcMar>
                  <w:vAlign w:val="center"/>
                </w:tcPr>
                <w:p>
                  <w:pPr>
                    <w:spacing w:line="240" w:lineRule="auto"/>
                    <w:jc w:val="center"/>
                    <w:rPr>
                      <w:bCs/>
                      <w:snapToGrid w:val="0"/>
                      <w:spacing w:val="-6"/>
                      <w:sz w:val="21"/>
                      <w:szCs w:val="21"/>
                    </w:rPr>
                  </w:pPr>
                  <w:r>
                    <w:rPr>
                      <w:bCs/>
                      <w:snapToGrid w:val="0"/>
                      <w:spacing w:val="-6"/>
                      <w:sz w:val="21"/>
                      <w:szCs w:val="21"/>
                    </w:rPr>
                    <w:t>沾湿的土工布遮盖</w:t>
                  </w:r>
                  <w:r>
                    <w:rPr>
                      <w:rFonts w:hint="eastAsia"/>
                      <w:bCs/>
                      <w:snapToGrid w:val="0"/>
                      <w:spacing w:val="-6"/>
                      <w:sz w:val="21"/>
                      <w:szCs w:val="21"/>
                    </w:rPr>
                    <w:t>，装卸</w:t>
                  </w:r>
                  <w:r>
                    <w:rPr>
                      <w:bCs/>
                      <w:snapToGrid w:val="0"/>
                      <w:spacing w:val="-6"/>
                      <w:sz w:val="21"/>
                      <w:szCs w:val="21"/>
                    </w:rPr>
                    <w:t>区安装喷雾洒水降尘</w:t>
                  </w:r>
                </w:p>
              </w:tc>
              <w:tc>
                <w:tcPr>
                  <w:tcW w:w="1465" w:type="dxa"/>
                  <w:tcMar>
                    <w:top w:w="28" w:type="dxa"/>
                    <w:left w:w="57" w:type="dxa"/>
                    <w:bottom w:w="28" w:type="dxa"/>
                    <w:right w:w="57" w:type="dxa"/>
                  </w:tcMar>
                  <w:vAlign w:val="center"/>
                </w:tcPr>
                <w:p>
                  <w:pPr>
                    <w:spacing w:line="240" w:lineRule="auto"/>
                    <w:jc w:val="center"/>
                    <w:rPr>
                      <w:bCs/>
                      <w:snapToGrid w:val="0"/>
                      <w:spacing w:val="-2"/>
                      <w:sz w:val="21"/>
                      <w:szCs w:val="21"/>
                    </w:rPr>
                  </w:pPr>
                  <w:r>
                    <w:rPr>
                      <w:rFonts w:hint="eastAsia"/>
                      <w:bCs/>
                      <w:snapToGrid w:val="0"/>
                      <w:spacing w:val="-2"/>
                      <w:sz w:val="21"/>
                      <w:szCs w:val="21"/>
                    </w:rPr>
                    <w:t>0.0</w:t>
                  </w:r>
                  <w:r>
                    <w:rPr>
                      <w:bCs/>
                      <w:snapToGrid w:val="0"/>
                      <w:spacing w:val="-2"/>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33" w:type="dxa"/>
                  <w:tcMar>
                    <w:top w:w="28" w:type="dxa"/>
                    <w:left w:w="57" w:type="dxa"/>
                    <w:bottom w:w="28" w:type="dxa"/>
                    <w:right w:w="57" w:type="dxa"/>
                  </w:tcMar>
                  <w:vAlign w:val="center"/>
                </w:tcPr>
                <w:p>
                  <w:pPr>
                    <w:spacing w:line="240" w:lineRule="auto"/>
                    <w:jc w:val="center"/>
                    <w:rPr>
                      <w:sz w:val="21"/>
                      <w:szCs w:val="21"/>
                    </w:rPr>
                  </w:pPr>
                  <w:r>
                    <w:rPr>
                      <w:sz w:val="21"/>
                      <w:szCs w:val="21"/>
                    </w:rPr>
                    <w:t>车辆运输</w:t>
                  </w:r>
                </w:p>
              </w:tc>
              <w:tc>
                <w:tcPr>
                  <w:tcW w:w="882" w:type="dxa"/>
                  <w:tcMar>
                    <w:top w:w="28" w:type="dxa"/>
                    <w:left w:w="57" w:type="dxa"/>
                    <w:bottom w:w="28" w:type="dxa"/>
                    <w:right w:w="57" w:type="dxa"/>
                  </w:tcMar>
                  <w:vAlign w:val="center"/>
                </w:tcPr>
                <w:p>
                  <w:pPr>
                    <w:spacing w:line="240" w:lineRule="auto"/>
                    <w:jc w:val="center"/>
                    <w:rPr>
                      <w:bCs/>
                      <w:snapToGrid w:val="0"/>
                      <w:spacing w:val="-2"/>
                      <w:sz w:val="21"/>
                      <w:szCs w:val="21"/>
                    </w:rPr>
                  </w:pPr>
                  <w:r>
                    <w:rPr>
                      <w:bCs/>
                      <w:snapToGrid w:val="0"/>
                      <w:spacing w:val="-2"/>
                      <w:sz w:val="21"/>
                      <w:szCs w:val="21"/>
                    </w:rPr>
                    <w:t>粉尘（TSP）</w:t>
                  </w:r>
                </w:p>
              </w:tc>
              <w:tc>
                <w:tcPr>
                  <w:tcW w:w="1271" w:type="dxa"/>
                  <w:tcMar>
                    <w:top w:w="28" w:type="dxa"/>
                    <w:left w:w="57" w:type="dxa"/>
                    <w:bottom w:w="28" w:type="dxa"/>
                    <w:right w:w="57" w:type="dxa"/>
                  </w:tcMar>
                  <w:vAlign w:val="center"/>
                </w:tcPr>
                <w:p>
                  <w:pPr>
                    <w:spacing w:line="240" w:lineRule="auto"/>
                    <w:jc w:val="center"/>
                    <w:rPr>
                      <w:bCs/>
                      <w:snapToGrid w:val="0"/>
                      <w:spacing w:val="-2"/>
                      <w:sz w:val="21"/>
                      <w:szCs w:val="21"/>
                    </w:rPr>
                  </w:pPr>
                  <w:r>
                    <w:rPr>
                      <w:bCs/>
                      <w:snapToGrid w:val="0"/>
                      <w:spacing w:val="-2"/>
                      <w:sz w:val="21"/>
                      <w:szCs w:val="21"/>
                    </w:rPr>
                    <w:t>无组织</w:t>
                  </w:r>
                </w:p>
              </w:tc>
              <w:tc>
                <w:tcPr>
                  <w:tcW w:w="1414" w:type="dxa"/>
                  <w:tcMar>
                    <w:top w:w="28" w:type="dxa"/>
                    <w:left w:w="57" w:type="dxa"/>
                    <w:bottom w:w="28" w:type="dxa"/>
                    <w:right w:w="57" w:type="dxa"/>
                  </w:tcMar>
                  <w:vAlign w:val="center"/>
                </w:tcPr>
                <w:p>
                  <w:pPr>
                    <w:spacing w:line="240" w:lineRule="auto"/>
                    <w:jc w:val="center"/>
                    <w:rPr>
                      <w:bCs/>
                      <w:snapToGrid w:val="0"/>
                      <w:spacing w:val="-2"/>
                      <w:sz w:val="21"/>
                      <w:szCs w:val="21"/>
                    </w:rPr>
                  </w:pPr>
                  <w:r>
                    <w:rPr>
                      <w:rFonts w:hint="eastAsia"/>
                      <w:bCs/>
                      <w:snapToGrid w:val="0"/>
                      <w:spacing w:val="-2"/>
                      <w:sz w:val="21"/>
                      <w:szCs w:val="21"/>
                    </w:rPr>
                    <w:t>0.125</w:t>
                  </w:r>
                </w:p>
              </w:tc>
              <w:tc>
                <w:tcPr>
                  <w:tcW w:w="2822" w:type="dxa"/>
                  <w:tcMar>
                    <w:top w:w="28" w:type="dxa"/>
                    <w:left w:w="57" w:type="dxa"/>
                    <w:bottom w:w="28" w:type="dxa"/>
                    <w:right w:w="57" w:type="dxa"/>
                  </w:tcMar>
                  <w:vAlign w:val="center"/>
                </w:tcPr>
                <w:p>
                  <w:pPr>
                    <w:spacing w:line="240" w:lineRule="auto"/>
                    <w:jc w:val="center"/>
                    <w:rPr>
                      <w:bCs/>
                      <w:snapToGrid w:val="0"/>
                      <w:spacing w:val="-6"/>
                      <w:sz w:val="21"/>
                      <w:szCs w:val="21"/>
                    </w:rPr>
                  </w:pPr>
                  <w:r>
                    <w:rPr>
                      <w:bCs/>
                      <w:snapToGrid w:val="0"/>
                      <w:spacing w:val="-6"/>
                      <w:sz w:val="21"/>
                      <w:szCs w:val="21"/>
                    </w:rPr>
                    <w:t>喷雾洒水降尘</w:t>
                  </w:r>
                  <w:r>
                    <w:rPr>
                      <w:rFonts w:hint="eastAsia"/>
                      <w:bCs/>
                      <w:snapToGrid w:val="0"/>
                      <w:spacing w:val="-6"/>
                      <w:sz w:val="21"/>
                      <w:szCs w:val="21"/>
                    </w:rPr>
                    <w:t>，</w:t>
                  </w:r>
                  <w:r>
                    <w:rPr>
                      <w:bCs/>
                      <w:snapToGrid w:val="0"/>
                      <w:spacing w:val="-6"/>
                      <w:sz w:val="21"/>
                      <w:szCs w:val="21"/>
                    </w:rPr>
                    <w:t>车厢密闭</w:t>
                  </w:r>
                  <w:r>
                    <w:rPr>
                      <w:rFonts w:hint="eastAsia"/>
                      <w:bCs/>
                      <w:snapToGrid w:val="0"/>
                      <w:spacing w:val="-6"/>
                      <w:sz w:val="21"/>
                      <w:szCs w:val="21"/>
                    </w:rPr>
                    <w:t>，</w:t>
                  </w:r>
                  <w:r>
                    <w:rPr>
                      <w:bCs/>
                      <w:snapToGrid w:val="0"/>
                      <w:spacing w:val="-6"/>
                      <w:sz w:val="21"/>
                      <w:szCs w:val="21"/>
                    </w:rPr>
                    <w:t>车身保持清洁</w:t>
                  </w:r>
                </w:p>
              </w:tc>
              <w:tc>
                <w:tcPr>
                  <w:tcW w:w="1465" w:type="dxa"/>
                  <w:tcMar>
                    <w:top w:w="28" w:type="dxa"/>
                    <w:left w:w="57" w:type="dxa"/>
                    <w:bottom w:w="28" w:type="dxa"/>
                    <w:right w:w="57" w:type="dxa"/>
                  </w:tcMar>
                  <w:vAlign w:val="center"/>
                </w:tcPr>
                <w:p>
                  <w:pPr>
                    <w:spacing w:line="240" w:lineRule="auto"/>
                    <w:jc w:val="center"/>
                    <w:rPr>
                      <w:bCs/>
                      <w:snapToGrid w:val="0"/>
                      <w:spacing w:val="-2"/>
                      <w:sz w:val="21"/>
                      <w:szCs w:val="21"/>
                    </w:rPr>
                  </w:pPr>
                  <w:r>
                    <w:rPr>
                      <w:rFonts w:hint="eastAsia"/>
                      <w:bCs/>
                      <w:snapToGrid w:val="0"/>
                      <w:spacing w:val="-2"/>
                      <w:sz w:val="21"/>
                      <w:szCs w:val="21"/>
                    </w:rPr>
                    <w:t>0.0</w:t>
                  </w:r>
                  <w:r>
                    <w:rPr>
                      <w:bCs/>
                      <w:snapToGrid w:val="0"/>
                      <w:spacing w:val="-2"/>
                      <w:sz w:val="21"/>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33" w:type="dxa"/>
                  <w:tcMar>
                    <w:top w:w="28" w:type="dxa"/>
                    <w:left w:w="57" w:type="dxa"/>
                    <w:bottom w:w="28" w:type="dxa"/>
                    <w:right w:w="57" w:type="dxa"/>
                  </w:tcMar>
                  <w:vAlign w:val="center"/>
                </w:tcPr>
                <w:p>
                  <w:pPr>
                    <w:spacing w:line="240" w:lineRule="auto"/>
                    <w:jc w:val="center"/>
                    <w:rPr>
                      <w:sz w:val="21"/>
                      <w:szCs w:val="21"/>
                    </w:rPr>
                  </w:pPr>
                  <w:r>
                    <w:rPr>
                      <w:sz w:val="21"/>
                      <w:szCs w:val="21"/>
                    </w:rPr>
                    <w:t>厂区</w:t>
                  </w:r>
                  <w:r>
                    <w:rPr>
                      <w:rFonts w:hint="eastAsia"/>
                      <w:sz w:val="21"/>
                      <w:szCs w:val="21"/>
                    </w:rPr>
                    <w:t>（合计）</w:t>
                  </w:r>
                </w:p>
              </w:tc>
              <w:tc>
                <w:tcPr>
                  <w:tcW w:w="882" w:type="dxa"/>
                  <w:tcMar>
                    <w:top w:w="28" w:type="dxa"/>
                    <w:left w:w="57" w:type="dxa"/>
                    <w:bottom w:w="28" w:type="dxa"/>
                    <w:right w:w="57" w:type="dxa"/>
                  </w:tcMar>
                  <w:vAlign w:val="center"/>
                </w:tcPr>
                <w:p>
                  <w:pPr>
                    <w:spacing w:line="240" w:lineRule="auto"/>
                    <w:jc w:val="center"/>
                    <w:rPr>
                      <w:bCs/>
                      <w:snapToGrid w:val="0"/>
                      <w:spacing w:val="-2"/>
                      <w:sz w:val="21"/>
                      <w:szCs w:val="21"/>
                    </w:rPr>
                  </w:pPr>
                  <w:r>
                    <w:rPr>
                      <w:bCs/>
                      <w:snapToGrid w:val="0"/>
                      <w:spacing w:val="-2"/>
                      <w:sz w:val="21"/>
                      <w:szCs w:val="21"/>
                    </w:rPr>
                    <w:t>粉尘（TSP）</w:t>
                  </w:r>
                </w:p>
              </w:tc>
              <w:tc>
                <w:tcPr>
                  <w:tcW w:w="1271" w:type="dxa"/>
                  <w:tcMar>
                    <w:top w:w="28" w:type="dxa"/>
                    <w:left w:w="57" w:type="dxa"/>
                    <w:bottom w:w="28" w:type="dxa"/>
                    <w:right w:w="57" w:type="dxa"/>
                  </w:tcMar>
                  <w:vAlign w:val="center"/>
                </w:tcPr>
                <w:p>
                  <w:pPr>
                    <w:spacing w:line="240" w:lineRule="auto"/>
                    <w:jc w:val="center"/>
                    <w:rPr>
                      <w:bCs/>
                      <w:snapToGrid w:val="0"/>
                      <w:spacing w:val="-2"/>
                      <w:sz w:val="21"/>
                      <w:szCs w:val="21"/>
                    </w:rPr>
                  </w:pPr>
                  <w:r>
                    <w:rPr>
                      <w:bCs/>
                      <w:snapToGrid w:val="0"/>
                      <w:spacing w:val="-2"/>
                      <w:sz w:val="21"/>
                      <w:szCs w:val="21"/>
                    </w:rPr>
                    <w:t>无组织</w:t>
                  </w:r>
                </w:p>
              </w:tc>
              <w:tc>
                <w:tcPr>
                  <w:tcW w:w="1414" w:type="dxa"/>
                  <w:tcMar>
                    <w:top w:w="28" w:type="dxa"/>
                    <w:left w:w="57" w:type="dxa"/>
                    <w:bottom w:w="28" w:type="dxa"/>
                    <w:right w:w="57" w:type="dxa"/>
                  </w:tcMar>
                  <w:vAlign w:val="center"/>
                </w:tcPr>
                <w:p>
                  <w:pPr>
                    <w:spacing w:line="240" w:lineRule="auto"/>
                    <w:jc w:val="center"/>
                    <w:rPr>
                      <w:bCs/>
                      <w:snapToGrid w:val="0"/>
                      <w:spacing w:val="-2"/>
                      <w:sz w:val="21"/>
                      <w:szCs w:val="21"/>
                    </w:rPr>
                  </w:pPr>
                  <w:r>
                    <w:rPr>
                      <w:rFonts w:hint="eastAsia"/>
                      <w:bCs/>
                      <w:snapToGrid w:val="0"/>
                      <w:spacing w:val="-2"/>
                      <w:sz w:val="21"/>
                      <w:szCs w:val="21"/>
                    </w:rPr>
                    <w:t>5.075</w:t>
                  </w:r>
                </w:p>
              </w:tc>
              <w:tc>
                <w:tcPr>
                  <w:tcW w:w="2822" w:type="dxa"/>
                  <w:tcMar>
                    <w:top w:w="28" w:type="dxa"/>
                    <w:left w:w="57" w:type="dxa"/>
                    <w:bottom w:w="28" w:type="dxa"/>
                    <w:right w:w="57" w:type="dxa"/>
                  </w:tcMar>
                  <w:vAlign w:val="center"/>
                </w:tcPr>
                <w:p>
                  <w:pPr>
                    <w:spacing w:line="240" w:lineRule="auto"/>
                    <w:jc w:val="center"/>
                    <w:rPr>
                      <w:bCs/>
                      <w:snapToGrid w:val="0"/>
                      <w:spacing w:val="-6"/>
                      <w:sz w:val="21"/>
                      <w:szCs w:val="21"/>
                    </w:rPr>
                  </w:pPr>
                  <w:r>
                    <w:rPr>
                      <w:rFonts w:hint="eastAsia"/>
                      <w:bCs/>
                      <w:snapToGrid w:val="0"/>
                      <w:spacing w:val="-6"/>
                      <w:sz w:val="21"/>
                      <w:szCs w:val="21"/>
                    </w:rPr>
                    <w:t>/</w:t>
                  </w:r>
                </w:p>
              </w:tc>
              <w:tc>
                <w:tcPr>
                  <w:tcW w:w="1465" w:type="dxa"/>
                  <w:tcMar>
                    <w:top w:w="28" w:type="dxa"/>
                    <w:left w:w="57" w:type="dxa"/>
                    <w:bottom w:w="28" w:type="dxa"/>
                    <w:right w:w="57" w:type="dxa"/>
                  </w:tcMar>
                  <w:vAlign w:val="center"/>
                </w:tcPr>
                <w:p>
                  <w:pPr>
                    <w:spacing w:line="240" w:lineRule="auto"/>
                    <w:jc w:val="center"/>
                    <w:rPr>
                      <w:bCs/>
                      <w:snapToGrid w:val="0"/>
                      <w:spacing w:val="-2"/>
                      <w:sz w:val="21"/>
                      <w:szCs w:val="21"/>
                    </w:rPr>
                  </w:pPr>
                  <w:r>
                    <w:rPr>
                      <w:rFonts w:hint="eastAsia"/>
                      <w:bCs/>
                      <w:snapToGrid w:val="0"/>
                      <w:spacing w:val="-2"/>
                      <w:sz w:val="21"/>
                      <w:szCs w:val="21"/>
                    </w:rPr>
                    <w:t>0.</w:t>
                  </w:r>
                  <w:r>
                    <w:rPr>
                      <w:bCs/>
                      <w:snapToGrid w:val="0"/>
                      <w:spacing w:val="-2"/>
                      <w:sz w:val="21"/>
                      <w:szCs w:val="21"/>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33" w:type="dxa"/>
                  <w:tcMar>
                    <w:top w:w="28" w:type="dxa"/>
                    <w:left w:w="57" w:type="dxa"/>
                    <w:bottom w:w="28" w:type="dxa"/>
                    <w:right w:w="57" w:type="dxa"/>
                  </w:tcMar>
                  <w:vAlign w:val="center"/>
                </w:tcPr>
                <w:p>
                  <w:pPr>
                    <w:spacing w:line="240" w:lineRule="auto"/>
                    <w:jc w:val="center"/>
                    <w:rPr>
                      <w:sz w:val="21"/>
                      <w:szCs w:val="21"/>
                    </w:rPr>
                  </w:pPr>
                  <w:r>
                    <w:rPr>
                      <w:sz w:val="21"/>
                      <w:szCs w:val="21"/>
                    </w:rPr>
                    <w:t>食堂油烟</w:t>
                  </w:r>
                </w:p>
              </w:tc>
              <w:tc>
                <w:tcPr>
                  <w:tcW w:w="882" w:type="dxa"/>
                  <w:tcMar>
                    <w:top w:w="28" w:type="dxa"/>
                    <w:left w:w="57" w:type="dxa"/>
                    <w:bottom w:w="28" w:type="dxa"/>
                    <w:right w:w="57" w:type="dxa"/>
                  </w:tcMar>
                  <w:vAlign w:val="center"/>
                </w:tcPr>
                <w:p>
                  <w:pPr>
                    <w:spacing w:line="240" w:lineRule="auto"/>
                    <w:jc w:val="center"/>
                    <w:rPr>
                      <w:bCs/>
                      <w:snapToGrid w:val="0"/>
                      <w:spacing w:val="-2"/>
                      <w:sz w:val="21"/>
                      <w:szCs w:val="21"/>
                    </w:rPr>
                  </w:pPr>
                  <w:r>
                    <w:rPr>
                      <w:bCs/>
                      <w:snapToGrid w:val="0"/>
                      <w:spacing w:val="-2"/>
                      <w:sz w:val="21"/>
                      <w:szCs w:val="21"/>
                    </w:rPr>
                    <w:t>油烟</w:t>
                  </w:r>
                </w:p>
              </w:tc>
              <w:tc>
                <w:tcPr>
                  <w:tcW w:w="1271" w:type="dxa"/>
                  <w:tcMar>
                    <w:top w:w="28" w:type="dxa"/>
                    <w:left w:w="57" w:type="dxa"/>
                    <w:bottom w:w="28" w:type="dxa"/>
                    <w:right w:w="57" w:type="dxa"/>
                  </w:tcMar>
                  <w:vAlign w:val="center"/>
                </w:tcPr>
                <w:p>
                  <w:pPr>
                    <w:spacing w:line="240" w:lineRule="auto"/>
                    <w:jc w:val="center"/>
                    <w:rPr>
                      <w:bCs/>
                      <w:snapToGrid w:val="0"/>
                      <w:spacing w:val="-2"/>
                      <w:sz w:val="21"/>
                      <w:szCs w:val="21"/>
                    </w:rPr>
                  </w:pPr>
                  <w:r>
                    <w:rPr>
                      <w:bCs/>
                      <w:snapToGrid w:val="0"/>
                      <w:spacing w:val="-2"/>
                      <w:sz w:val="21"/>
                      <w:szCs w:val="21"/>
                    </w:rPr>
                    <w:t>无组织</w:t>
                  </w:r>
                </w:p>
              </w:tc>
              <w:tc>
                <w:tcPr>
                  <w:tcW w:w="1414" w:type="dxa"/>
                  <w:tcMar>
                    <w:top w:w="28" w:type="dxa"/>
                    <w:left w:w="57" w:type="dxa"/>
                    <w:bottom w:w="28" w:type="dxa"/>
                    <w:right w:w="57" w:type="dxa"/>
                  </w:tcMar>
                  <w:vAlign w:val="center"/>
                </w:tcPr>
                <w:p>
                  <w:pPr>
                    <w:spacing w:line="240" w:lineRule="auto"/>
                    <w:jc w:val="center"/>
                    <w:rPr>
                      <w:bCs/>
                      <w:snapToGrid w:val="0"/>
                      <w:spacing w:val="-2"/>
                      <w:sz w:val="21"/>
                      <w:szCs w:val="21"/>
                    </w:rPr>
                  </w:pPr>
                  <w:r>
                    <w:rPr>
                      <w:rFonts w:hint="eastAsia"/>
                      <w:bCs/>
                      <w:snapToGrid w:val="0"/>
                      <w:spacing w:val="-2"/>
                      <w:sz w:val="21"/>
                      <w:szCs w:val="21"/>
                    </w:rPr>
                    <w:t>1.3kg</w:t>
                  </w:r>
                  <w:r>
                    <w:rPr>
                      <w:bCs/>
                      <w:snapToGrid w:val="0"/>
                      <w:spacing w:val="-2"/>
                      <w:sz w:val="21"/>
                      <w:szCs w:val="21"/>
                    </w:rPr>
                    <w:t>/</w:t>
                  </w:r>
                  <w:r>
                    <w:rPr>
                      <w:rFonts w:hint="eastAsia"/>
                      <w:bCs/>
                      <w:snapToGrid w:val="0"/>
                      <w:spacing w:val="-2"/>
                      <w:sz w:val="21"/>
                      <w:szCs w:val="21"/>
                    </w:rPr>
                    <w:t>，0.625</w:t>
                  </w:r>
                  <w:r>
                    <w:t>mg/m</w:t>
                  </w:r>
                  <w:r>
                    <w:rPr>
                      <w:vertAlign w:val="superscript"/>
                    </w:rPr>
                    <w:t>3</w:t>
                  </w:r>
                </w:p>
              </w:tc>
              <w:tc>
                <w:tcPr>
                  <w:tcW w:w="2822" w:type="dxa"/>
                  <w:tcMar>
                    <w:top w:w="28" w:type="dxa"/>
                    <w:left w:w="57" w:type="dxa"/>
                    <w:bottom w:w="28" w:type="dxa"/>
                    <w:right w:w="57" w:type="dxa"/>
                  </w:tcMar>
                  <w:vAlign w:val="center"/>
                </w:tcPr>
                <w:p>
                  <w:pPr>
                    <w:spacing w:line="240" w:lineRule="auto"/>
                    <w:jc w:val="center"/>
                    <w:rPr>
                      <w:bCs/>
                      <w:snapToGrid w:val="0"/>
                      <w:spacing w:val="-6"/>
                      <w:sz w:val="21"/>
                      <w:szCs w:val="21"/>
                    </w:rPr>
                  </w:pPr>
                  <w:r>
                    <w:rPr>
                      <w:bCs/>
                      <w:snapToGrid w:val="0"/>
                      <w:spacing w:val="-6"/>
                      <w:sz w:val="21"/>
                      <w:szCs w:val="21"/>
                    </w:rPr>
                    <w:t>油烟净化器</w:t>
                  </w:r>
                  <w:r>
                    <w:rPr>
                      <w:rFonts w:hint="eastAsia"/>
                      <w:bCs/>
                      <w:snapToGrid w:val="0"/>
                      <w:spacing w:val="-6"/>
                      <w:sz w:val="21"/>
                      <w:szCs w:val="21"/>
                    </w:rPr>
                    <w:t>+专用烟道</w:t>
                  </w:r>
                </w:p>
              </w:tc>
              <w:tc>
                <w:tcPr>
                  <w:tcW w:w="1465" w:type="dxa"/>
                  <w:tcMar>
                    <w:top w:w="28" w:type="dxa"/>
                    <w:left w:w="57" w:type="dxa"/>
                    <w:bottom w:w="28" w:type="dxa"/>
                    <w:right w:w="57" w:type="dxa"/>
                  </w:tcMar>
                  <w:vAlign w:val="center"/>
                </w:tcPr>
                <w:p>
                  <w:pPr>
                    <w:spacing w:line="240" w:lineRule="auto"/>
                    <w:jc w:val="center"/>
                    <w:rPr>
                      <w:bCs/>
                      <w:snapToGrid w:val="0"/>
                      <w:spacing w:val="-2"/>
                      <w:sz w:val="21"/>
                      <w:szCs w:val="21"/>
                    </w:rPr>
                  </w:pPr>
                  <w:r>
                    <w:rPr>
                      <w:rFonts w:hint="eastAsia"/>
                      <w:bCs/>
                      <w:snapToGrid w:val="0"/>
                      <w:spacing w:val="-2"/>
                      <w:sz w:val="21"/>
                      <w:szCs w:val="21"/>
                    </w:rPr>
                    <w:t>0.52kg</w:t>
                  </w:r>
                  <w:r>
                    <w:rPr>
                      <w:bCs/>
                      <w:snapToGrid w:val="0"/>
                      <w:spacing w:val="-2"/>
                      <w:sz w:val="21"/>
                      <w:szCs w:val="21"/>
                    </w:rPr>
                    <w:t>/a</w:t>
                  </w:r>
                  <w:r>
                    <w:rPr>
                      <w:rFonts w:hint="eastAsia"/>
                      <w:bCs/>
                      <w:snapToGrid w:val="0"/>
                      <w:spacing w:val="-2"/>
                      <w:sz w:val="21"/>
                      <w:szCs w:val="21"/>
                    </w:rPr>
                    <w:t>，</w:t>
                  </w:r>
                </w:p>
                <w:p>
                  <w:pPr>
                    <w:spacing w:line="240" w:lineRule="auto"/>
                    <w:jc w:val="center"/>
                    <w:rPr>
                      <w:bCs/>
                      <w:snapToGrid w:val="0"/>
                      <w:spacing w:val="-2"/>
                      <w:sz w:val="21"/>
                      <w:szCs w:val="21"/>
                    </w:rPr>
                  </w:pPr>
                  <w:r>
                    <w:rPr>
                      <w:rFonts w:hint="eastAsia"/>
                      <w:bCs/>
                      <w:snapToGrid w:val="0"/>
                      <w:spacing w:val="-2"/>
                      <w:sz w:val="21"/>
                      <w:szCs w:val="21"/>
                    </w:rPr>
                    <w:t>0.25</w:t>
                  </w:r>
                  <w:r>
                    <w:t>mg/m</w:t>
                  </w:r>
                  <w:r>
                    <w:rPr>
                      <w:vertAlign w:val="superscript"/>
                    </w:rPr>
                    <w:t>3</w:t>
                  </w:r>
                </w:p>
              </w:tc>
            </w:tr>
          </w:tbl>
          <w:p>
            <w:pPr>
              <w:widowControl w:val="0"/>
              <w:ind w:firstLine="480" w:firstLineChars="200"/>
              <w:rPr>
                <w:bCs/>
              </w:rPr>
            </w:pPr>
            <w:r>
              <w:rPr>
                <w:bCs/>
              </w:rPr>
              <w:t>2、废水</w:t>
            </w:r>
          </w:p>
          <w:p>
            <w:pPr>
              <w:widowControl w:val="0"/>
              <w:ind w:firstLine="480" w:firstLineChars="200"/>
            </w:pPr>
            <w:r>
              <w:t>（1）生活污水</w:t>
            </w:r>
          </w:p>
          <w:p>
            <w:pPr>
              <w:widowControl w:val="0"/>
              <w:ind w:firstLine="480" w:firstLineChars="200"/>
            </w:pPr>
            <w:r>
              <w:t>本项目</w:t>
            </w:r>
            <w:r>
              <w:rPr>
                <w:rFonts w:hint="eastAsia"/>
              </w:rPr>
              <w:t>员</w:t>
            </w:r>
            <w:r>
              <w:t>工生活污水产生量为</w:t>
            </w:r>
            <w:r>
              <w:rPr>
                <w:rFonts w:hint="eastAsia"/>
              </w:rPr>
              <w:t>0.384</w:t>
            </w:r>
            <w:r>
              <w:t>m</w:t>
            </w:r>
            <w:r>
              <w:rPr>
                <w:vertAlign w:val="superscript"/>
              </w:rPr>
              <w:t>3</w:t>
            </w:r>
            <w:r>
              <w:t>/d</w:t>
            </w:r>
            <w:r>
              <w:rPr>
                <w:rFonts w:hint="eastAsia"/>
              </w:rPr>
              <w:t>、</w:t>
            </w:r>
            <w:r>
              <w:t>99.84m</w:t>
            </w:r>
            <w:r>
              <w:rPr>
                <w:vertAlign w:val="superscript"/>
              </w:rPr>
              <w:t>3</w:t>
            </w:r>
            <w:r>
              <w:t xml:space="preserve">/a，包括办公生活污水和食堂废水，主要污染物浓度为COD </w:t>
            </w:r>
            <w:r>
              <w:rPr>
                <w:rFonts w:hint="eastAsia"/>
              </w:rPr>
              <w:t>350</w:t>
            </w:r>
            <w:r>
              <w:t>mg/L、BOD</w:t>
            </w:r>
            <w:r>
              <w:rPr>
                <w:vertAlign w:val="subscript"/>
              </w:rPr>
              <w:t>5</w:t>
            </w:r>
            <w:r>
              <w:t xml:space="preserve"> </w:t>
            </w:r>
            <w:r>
              <w:rPr>
                <w:rFonts w:hint="eastAsia"/>
              </w:rPr>
              <w:t>200</w:t>
            </w:r>
            <w:r>
              <w:t xml:space="preserve">mg/L、SS </w:t>
            </w:r>
            <w:r>
              <w:rPr>
                <w:rFonts w:hint="eastAsia"/>
              </w:rPr>
              <w:t>250</w:t>
            </w:r>
            <w:r>
              <w:t>mg/L、氨氮</w:t>
            </w:r>
            <w:r>
              <w:rPr>
                <w:rFonts w:hint="eastAsia"/>
              </w:rPr>
              <w:t xml:space="preserve"> </w:t>
            </w:r>
            <w:r>
              <w:t>30mg/L、动植物油</w:t>
            </w:r>
            <w:r>
              <w:rPr>
                <w:rFonts w:hint="eastAsia"/>
              </w:rPr>
              <w:t xml:space="preserve"> 5</w:t>
            </w:r>
            <w:r>
              <w:t>0mg/L。生活污水</w:t>
            </w:r>
            <w:r>
              <w:rPr>
                <w:rFonts w:hint="eastAsia"/>
              </w:rPr>
              <w:t>进</w:t>
            </w:r>
            <w:r>
              <w:t>入化粪池处理</w:t>
            </w:r>
            <w:r>
              <w:rPr>
                <w:rFonts w:hint="eastAsia"/>
              </w:rPr>
              <w:t>，</w:t>
            </w:r>
            <w:r>
              <w:t>处理后用于</w:t>
            </w:r>
            <w:r>
              <w:rPr>
                <w:rFonts w:hint="eastAsia"/>
              </w:rPr>
              <w:t>周边</w:t>
            </w:r>
            <w:r>
              <w:t>林地堆肥处理。</w:t>
            </w:r>
          </w:p>
          <w:p>
            <w:pPr>
              <w:widowControl w:val="0"/>
              <w:ind w:firstLine="480" w:firstLineChars="200"/>
            </w:pPr>
            <w:r>
              <w:rPr>
                <w:rFonts w:hint="eastAsia"/>
              </w:rPr>
              <w:t>项目厂区周边均为林地，运营期生活污水污染物成分比较简单，生活污水产生量共0.3</w:t>
            </w:r>
            <w:r>
              <w:t>84m</w:t>
            </w:r>
            <w:r>
              <w:rPr>
                <w:vertAlign w:val="superscript"/>
              </w:rPr>
              <w:t>3</w:t>
            </w:r>
            <w:r>
              <w:t>/d</w:t>
            </w:r>
            <w:r>
              <w:rPr>
                <w:rFonts w:hint="eastAsia"/>
              </w:rPr>
              <w:t>，经化粪池（新建5</w:t>
            </w:r>
            <w:r>
              <w:t>m</w:t>
            </w:r>
            <w:r>
              <w:rPr>
                <w:vertAlign w:val="superscript"/>
              </w:rPr>
              <w:t>3</w:t>
            </w:r>
            <w:r>
              <w:rPr>
                <w:rFonts w:hint="eastAsia"/>
              </w:rPr>
              <w:t>）处理，定期进行清掏作为农肥用于林地浇灌</w:t>
            </w:r>
            <w:r>
              <w:t>。</w:t>
            </w:r>
          </w:p>
          <w:p>
            <w:pPr>
              <w:widowControl w:val="0"/>
              <w:ind w:firstLine="480" w:firstLineChars="200"/>
            </w:pPr>
            <w:r>
              <w:t>（2）生产废水</w:t>
            </w:r>
          </w:p>
          <w:p>
            <w:pPr>
              <w:widowControl w:val="0"/>
              <w:ind w:firstLine="480" w:firstLineChars="200"/>
            </w:pPr>
            <w:r>
              <w:rPr>
                <w:rFonts w:hint="eastAsia"/>
                <w:color w:val="000000"/>
              </w:rPr>
              <w:t>根据项目用排水情况，</w:t>
            </w:r>
            <w:r>
              <w:rPr>
                <w:rFonts w:hint="eastAsia"/>
              </w:rPr>
              <w:t>洗砂废水</w:t>
            </w:r>
            <w:r>
              <w:t>产生量为</w:t>
            </w:r>
            <w:r>
              <w:rPr>
                <w:rFonts w:hint="eastAsia"/>
              </w:rPr>
              <w:t>9.23</w:t>
            </w:r>
            <w:r>
              <w:t>m</w:t>
            </w:r>
            <w:r>
              <w:rPr>
                <w:vertAlign w:val="superscript"/>
              </w:rPr>
              <w:t>3</w:t>
            </w:r>
            <w:r>
              <w:t>/d</w:t>
            </w:r>
            <w:r>
              <w:rPr>
                <w:rFonts w:hint="eastAsia"/>
              </w:rPr>
              <w:t>、2400</w:t>
            </w:r>
            <w:r>
              <w:t>m</w:t>
            </w:r>
            <w:r>
              <w:rPr>
                <w:vertAlign w:val="superscript"/>
              </w:rPr>
              <w:t>3</w:t>
            </w:r>
            <w:r>
              <w:t>/a</w:t>
            </w:r>
            <w:r>
              <w:rPr>
                <w:rFonts w:hint="eastAsia"/>
              </w:rPr>
              <w:t>，运输</w:t>
            </w:r>
            <w:r>
              <w:t>车辆冲洗废水产生量为</w:t>
            </w:r>
            <w:r>
              <w:rPr>
                <w:rFonts w:hint="eastAsia"/>
              </w:rPr>
              <w:t>0.54</w:t>
            </w:r>
            <w:r>
              <w:t>m</w:t>
            </w:r>
            <w:r>
              <w:rPr>
                <w:vertAlign w:val="superscript"/>
              </w:rPr>
              <w:t>3</w:t>
            </w:r>
            <w:r>
              <w:t>/d</w:t>
            </w:r>
            <w:r>
              <w:rPr>
                <w:rFonts w:hint="eastAsia"/>
              </w:rPr>
              <w:t>、140.4</w:t>
            </w:r>
            <w:r>
              <w:t>m</w:t>
            </w:r>
            <w:r>
              <w:rPr>
                <w:vertAlign w:val="superscript"/>
              </w:rPr>
              <w:t>3</w:t>
            </w:r>
            <w:r>
              <w:t>/a</w:t>
            </w:r>
            <w:r>
              <w:rPr>
                <w:rFonts w:hint="eastAsia"/>
              </w:rPr>
              <w:t>。清洗废水中主要</w:t>
            </w:r>
            <w:r>
              <w:t>污染物为</w:t>
            </w:r>
            <w:r>
              <w:rPr>
                <w:rFonts w:hint="eastAsia"/>
              </w:rPr>
              <w:t>SS（即</w:t>
            </w:r>
            <w:r>
              <w:t>泥土及石粉</w:t>
            </w:r>
            <w:r>
              <w:rPr>
                <w:rFonts w:hint="eastAsia"/>
              </w:rPr>
              <w:t>）</w:t>
            </w:r>
            <w:r>
              <w:t>，不含其它物质，易于沉淀，且</w:t>
            </w:r>
            <w:r>
              <w:rPr>
                <w:rFonts w:hint="eastAsia"/>
              </w:rPr>
              <w:t>本项目清洗工序</w:t>
            </w:r>
            <w:r>
              <w:t>对水质要求不高，为了节约水资源，</w:t>
            </w:r>
            <w:r>
              <w:rPr>
                <w:rFonts w:hint="eastAsia"/>
              </w:rPr>
              <w:t>各类清洗废水</w:t>
            </w:r>
            <w:r>
              <w:t>经沉淀处理后可循环使用，只需定期补充新鲜水，不外排。</w:t>
            </w:r>
          </w:p>
          <w:p>
            <w:pPr>
              <w:widowControl w:val="0"/>
              <w:ind w:firstLine="480" w:firstLineChars="200"/>
            </w:pPr>
            <w:r>
              <w:rPr>
                <w:rFonts w:hint="eastAsia"/>
              </w:rPr>
              <w:t>建设单位拟在生产车间作业区设置废水收集管道，将各类清洗、冲洗废水收集后汇至厂区自建的沉淀池处理后全部回用，不外排。沉淀池底渣经泥浆压滤一体机处理后在弃渣场妥善处置。</w:t>
            </w:r>
          </w:p>
          <w:p>
            <w:pPr>
              <w:widowControl w:val="0"/>
              <w:ind w:firstLine="480" w:firstLineChars="200"/>
              <w:rPr>
                <w:bCs/>
              </w:rPr>
            </w:pPr>
            <w:r>
              <w:rPr>
                <w:bCs/>
              </w:rPr>
              <w:t>3、噪声</w:t>
            </w:r>
          </w:p>
          <w:p>
            <w:pPr>
              <w:widowControl w:val="0"/>
              <w:ind w:firstLine="480" w:firstLineChars="200"/>
            </w:pPr>
            <w:r>
              <w:t>项目噪声主要为</w:t>
            </w:r>
            <w:r>
              <w:rPr>
                <w:rFonts w:hint="eastAsia"/>
              </w:rPr>
              <w:t>给料机、碎石机、滚筛、制砂机和洗砂机</w:t>
            </w:r>
            <w:r>
              <w:t>等设备工作时产生的机械噪声，噪声级在</w:t>
            </w:r>
            <w:r>
              <w:rPr>
                <w:rFonts w:hint="eastAsia"/>
              </w:rPr>
              <w:t>8</w:t>
            </w:r>
            <w:r>
              <w:t>5-100dB（A），主要设备噪声源强见表</w:t>
            </w:r>
            <w:r>
              <w:rPr>
                <w:rFonts w:hint="eastAsia"/>
              </w:rPr>
              <w:t>5-</w:t>
            </w:r>
            <w:r>
              <w:t>3。</w:t>
            </w:r>
          </w:p>
          <w:p>
            <w:pPr>
              <w:pStyle w:val="19"/>
              <w:widowControl w:val="0"/>
              <w:numPr>
                <w:ilvl w:val="0"/>
                <w:numId w:val="6"/>
              </w:numPr>
              <w:tabs>
                <w:tab w:val="left" w:pos="4480"/>
              </w:tabs>
              <w:spacing w:line="240" w:lineRule="auto"/>
              <w:ind w:left="0" w:right="0" w:rightChars="0" w:firstLine="0" w:firstLineChars="0"/>
              <w:jc w:val="center"/>
              <w:rPr>
                <w:b/>
                <w:sz w:val="21"/>
                <w:szCs w:val="21"/>
              </w:rPr>
            </w:pPr>
            <w:r>
              <w:rPr>
                <w:b/>
                <w:sz w:val="21"/>
                <w:szCs w:val="21"/>
              </w:rPr>
              <w:t xml:space="preserve">  项目主要设备噪声值</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9"/>
              <w:gridCol w:w="2610"/>
              <w:gridCol w:w="1558"/>
              <w:gridCol w:w="3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1040" w:type="pct"/>
                  <w:vAlign w:val="center"/>
                </w:tcPr>
                <w:p>
                  <w:pPr>
                    <w:widowControl w:val="0"/>
                    <w:spacing w:line="240" w:lineRule="auto"/>
                    <w:jc w:val="center"/>
                    <w:rPr>
                      <w:rFonts w:eastAsiaTheme="minorEastAsia"/>
                      <w:kern w:val="0"/>
                      <w:sz w:val="21"/>
                      <w:szCs w:val="21"/>
                    </w:rPr>
                  </w:pPr>
                  <w:r>
                    <w:rPr>
                      <w:rFonts w:eastAsiaTheme="minorEastAsia"/>
                      <w:kern w:val="0"/>
                      <w:sz w:val="21"/>
                      <w:szCs w:val="21"/>
                    </w:rPr>
                    <w:t>设备名称</w:t>
                  </w:r>
                </w:p>
              </w:tc>
              <w:tc>
                <w:tcPr>
                  <w:tcW w:w="1436" w:type="pct"/>
                  <w:vAlign w:val="center"/>
                </w:tcPr>
                <w:p>
                  <w:pPr>
                    <w:widowControl w:val="0"/>
                    <w:spacing w:line="240" w:lineRule="auto"/>
                    <w:jc w:val="center"/>
                    <w:rPr>
                      <w:rFonts w:eastAsiaTheme="minorEastAsia"/>
                      <w:kern w:val="0"/>
                      <w:sz w:val="21"/>
                      <w:szCs w:val="21"/>
                    </w:rPr>
                  </w:pPr>
                  <w:r>
                    <w:rPr>
                      <w:rFonts w:eastAsiaTheme="minorEastAsia"/>
                      <w:kern w:val="0"/>
                      <w:sz w:val="21"/>
                      <w:szCs w:val="21"/>
                    </w:rPr>
                    <w:t>噪声值dB（A）</w:t>
                  </w:r>
                </w:p>
              </w:tc>
              <w:tc>
                <w:tcPr>
                  <w:tcW w:w="857" w:type="pct"/>
                  <w:vAlign w:val="center"/>
                </w:tcPr>
                <w:p>
                  <w:pPr>
                    <w:widowControl w:val="0"/>
                    <w:spacing w:line="240" w:lineRule="auto"/>
                    <w:jc w:val="center"/>
                    <w:rPr>
                      <w:rFonts w:eastAsiaTheme="minorEastAsia"/>
                      <w:kern w:val="0"/>
                      <w:sz w:val="21"/>
                      <w:szCs w:val="21"/>
                    </w:rPr>
                  </w:pPr>
                  <w:r>
                    <w:rPr>
                      <w:rFonts w:eastAsiaTheme="minorEastAsia"/>
                      <w:kern w:val="0"/>
                      <w:sz w:val="21"/>
                      <w:szCs w:val="21"/>
                    </w:rPr>
                    <w:t>数量</w:t>
                  </w:r>
                </w:p>
              </w:tc>
              <w:tc>
                <w:tcPr>
                  <w:tcW w:w="1667" w:type="pct"/>
                  <w:vAlign w:val="center"/>
                </w:tcPr>
                <w:p>
                  <w:pPr>
                    <w:widowControl w:val="0"/>
                    <w:spacing w:line="240" w:lineRule="auto"/>
                    <w:jc w:val="center"/>
                    <w:rPr>
                      <w:rFonts w:eastAsiaTheme="minorEastAsia"/>
                      <w:kern w:val="0"/>
                      <w:sz w:val="21"/>
                      <w:szCs w:val="21"/>
                    </w:rPr>
                  </w:pPr>
                  <w:r>
                    <w:rPr>
                      <w:rFonts w:eastAsiaTheme="minorEastAsia"/>
                      <w:kern w:val="0"/>
                      <w:sz w:val="21"/>
                      <w:szCs w:val="21"/>
                    </w:rPr>
                    <w:t>主要降噪措施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40" w:type="pct"/>
                  <w:vAlign w:val="center"/>
                </w:tcPr>
                <w:p>
                  <w:pPr>
                    <w:widowControl w:val="0"/>
                    <w:tabs>
                      <w:tab w:val="left" w:pos="615"/>
                    </w:tabs>
                    <w:spacing w:line="240" w:lineRule="auto"/>
                    <w:jc w:val="center"/>
                    <w:rPr>
                      <w:rFonts w:eastAsiaTheme="minorEastAsia"/>
                      <w:kern w:val="0"/>
                      <w:sz w:val="21"/>
                      <w:szCs w:val="21"/>
                    </w:rPr>
                  </w:pPr>
                  <w:r>
                    <w:rPr>
                      <w:rFonts w:hint="eastAsia" w:eastAsiaTheme="minorEastAsia"/>
                      <w:sz w:val="21"/>
                      <w:szCs w:val="21"/>
                    </w:rPr>
                    <w:t>给料</w:t>
                  </w:r>
                  <w:r>
                    <w:rPr>
                      <w:rFonts w:eastAsiaTheme="minorEastAsia"/>
                      <w:sz w:val="21"/>
                      <w:szCs w:val="21"/>
                    </w:rPr>
                    <w:t>机</w:t>
                  </w:r>
                </w:p>
              </w:tc>
              <w:tc>
                <w:tcPr>
                  <w:tcW w:w="1436" w:type="pct"/>
                  <w:vAlign w:val="center"/>
                </w:tcPr>
                <w:p>
                  <w:pPr>
                    <w:widowControl w:val="0"/>
                    <w:spacing w:line="240" w:lineRule="auto"/>
                    <w:jc w:val="center"/>
                    <w:rPr>
                      <w:rFonts w:eastAsiaTheme="minorEastAsia"/>
                      <w:kern w:val="0"/>
                      <w:sz w:val="21"/>
                      <w:szCs w:val="21"/>
                    </w:rPr>
                  </w:pPr>
                  <w:r>
                    <w:rPr>
                      <w:rFonts w:eastAsiaTheme="minorEastAsia"/>
                      <w:kern w:val="0"/>
                      <w:sz w:val="21"/>
                      <w:szCs w:val="21"/>
                    </w:rPr>
                    <w:t>85</w:t>
                  </w:r>
                </w:p>
              </w:tc>
              <w:tc>
                <w:tcPr>
                  <w:tcW w:w="857" w:type="pct"/>
                  <w:vAlign w:val="center"/>
                </w:tcPr>
                <w:p>
                  <w:pPr>
                    <w:pStyle w:val="31"/>
                    <w:widowControl w:val="0"/>
                    <w:snapToGrid/>
                    <w:rPr>
                      <w:rFonts w:eastAsiaTheme="minorEastAsia"/>
                      <w:kern w:val="0"/>
                      <w:szCs w:val="21"/>
                    </w:rPr>
                  </w:pPr>
                  <w:r>
                    <w:rPr>
                      <w:rFonts w:hint="eastAsia" w:eastAsiaTheme="minorEastAsia"/>
                      <w:b w:val="0"/>
                      <w:szCs w:val="21"/>
                    </w:rPr>
                    <w:t>1</w:t>
                  </w:r>
                  <w:r>
                    <w:rPr>
                      <w:rFonts w:eastAsiaTheme="minorEastAsia"/>
                      <w:b w:val="0"/>
                      <w:szCs w:val="21"/>
                    </w:rPr>
                    <w:t>台</w:t>
                  </w:r>
                </w:p>
              </w:tc>
              <w:tc>
                <w:tcPr>
                  <w:tcW w:w="1667" w:type="pct"/>
                  <w:vMerge w:val="restart"/>
                  <w:vAlign w:val="center"/>
                </w:tcPr>
                <w:p>
                  <w:pPr>
                    <w:widowControl w:val="0"/>
                    <w:spacing w:line="240" w:lineRule="auto"/>
                    <w:jc w:val="center"/>
                    <w:rPr>
                      <w:rFonts w:eastAsiaTheme="minorEastAsia"/>
                      <w:kern w:val="0"/>
                      <w:sz w:val="21"/>
                      <w:szCs w:val="21"/>
                    </w:rPr>
                  </w:pPr>
                  <w:r>
                    <w:rPr>
                      <w:rFonts w:eastAsiaTheme="minorEastAsia"/>
                      <w:kern w:val="0"/>
                      <w:sz w:val="21"/>
                      <w:szCs w:val="21"/>
                    </w:rPr>
                    <w:t>基础</w:t>
                  </w:r>
                  <w:r>
                    <w:rPr>
                      <w:rFonts w:hint="eastAsia" w:eastAsiaTheme="minorEastAsia"/>
                      <w:kern w:val="0"/>
                      <w:sz w:val="21"/>
                      <w:szCs w:val="21"/>
                    </w:rPr>
                    <w:t>减振</w:t>
                  </w:r>
                  <w:r>
                    <w:rPr>
                      <w:rFonts w:eastAsiaTheme="minorEastAsia"/>
                      <w:kern w:val="0"/>
                      <w:sz w:val="21"/>
                      <w:szCs w:val="21"/>
                    </w:rPr>
                    <w:t>、软连接</w:t>
                  </w:r>
                  <w:r>
                    <w:rPr>
                      <w:rFonts w:hint="eastAsia" w:eastAsiaTheme="minorEastAsia"/>
                      <w:kern w:val="0"/>
                      <w:sz w:val="21"/>
                      <w:szCs w:val="21"/>
                    </w:rPr>
                    <w:t>、</w:t>
                  </w:r>
                  <w:r>
                    <w:rPr>
                      <w:rFonts w:eastAsiaTheme="minorEastAsia"/>
                      <w:kern w:val="0"/>
                      <w:sz w:val="21"/>
                      <w:szCs w:val="21"/>
                    </w:rPr>
                    <w:t>厂房隔声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0" w:type="pct"/>
                  <w:vAlign w:val="center"/>
                </w:tcPr>
                <w:p>
                  <w:pPr>
                    <w:widowControl w:val="0"/>
                    <w:tabs>
                      <w:tab w:val="left" w:pos="615"/>
                    </w:tabs>
                    <w:spacing w:line="240" w:lineRule="auto"/>
                    <w:jc w:val="center"/>
                    <w:rPr>
                      <w:rFonts w:eastAsiaTheme="minorEastAsia"/>
                      <w:kern w:val="0"/>
                      <w:sz w:val="21"/>
                      <w:szCs w:val="21"/>
                    </w:rPr>
                  </w:pPr>
                  <w:r>
                    <w:rPr>
                      <w:rFonts w:hint="eastAsia" w:eastAsiaTheme="minorEastAsia"/>
                      <w:sz w:val="21"/>
                      <w:szCs w:val="21"/>
                    </w:rPr>
                    <w:t>碎石</w:t>
                  </w:r>
                  <w:r>
                    <w:rPr>
                      <w:rFonts w:eastAsiaTheme="minorEastAsia"/>
                      <w:sz w:val="21"/>
                      <w:szCs w:val="21"/>
                    </w:rPr>
                    <w:t>机</w:t>
                  </w:r>
                </w:p>
              </w:tc>
              <w:tc>
                <w:tcPr>
                  <w:tcW w:w="1436" w:type="pct"/>
                  <w:vAlign w:val="center"/>
                </w:tcPr>
                <w:p>
                  <w:pPr>
                    <w:widowControl w:val="0"/>
                    <w:spacing w:line="240" w:lineRule="auto"/>
                    <w:jc w:val="center"/>
                    <w:rPr>
                      <w:rFonts w:eastAsiaTheme="minorEastAsia"/>
                      <w:kern w:val="0"/>
                      <w:sz w:val="21"/>
                      <w:szCs w:val="21"/>
                    </w:rPr>
                  </w:pPr>
                  <w:r>
                    <w:rPr>
                      <w:rFonts w:eastAsiaTheme="minorEastAsia"/>
                      <w:kern w:val="0"/>
                      <w:sz w:val="21"/>
                      <w:szCs w:val="21"/>
                    </w:rPr>
                    <w:t>100</w:t>
                  </w:r>
                </w:p>
              </w:tc>
              <w:tc>
                <w:tcPr>
                  <w:tcW w:w="857" w:type="pct"/>
                  <w:vAlign w:val="center"/>
                </w:tcPr>
                <w:p>
                  <w:pPr>
                    <w:pStyle w:val="31"/>
                    <w:widowControl w:val="0"/>
                    <w:snapToGrid/>
                    <w:rPr>
                      <w:rFonts w:eastAsiaTheme="minorEastAsia"/>
                      <w:kern w:val="0"/>
                      <w:szCs w:val="21"/>
                    </w:rPr>
                  </w:pPr>
                  <w:r>
                    <w:rPr>
                      <w:rFonts w:hint="eastAsia" w:eastAsiaTheme="minorEastAsia"/>
                      <w:b w:val="0"/>
                      <w:szCs w:val="21"/>
                    </w:rPr>
                    <w:t>1</w:t>
                  </w:r>
                  <w:r>
                    <w:rPr>
                      <w:rFonts w:eastAsiaTheme="minorEastAsia"/>
                      <w:b w:val="0"/>
                      <w:szCs w:val="21"/>
                    </w:rPr>
                    <w:t>台</w:t>
                  </w:r>
                </w:p>
              </w:tc>
              <w:tc>
                <w:tcPr>
                  <w:tcW w:w="1667" w:type="pct"/>
                  <w:vMerge w:val="continue"/>
                  <w:vAlign w:val="center"/>
                </w:tcPr>
                <w:p>
                  <w:pPr>
                    <w:widowControl w:val="0"/>
                    <w:spacing w:line="240" w:lineRule="auto"/>
                    <w:jc w:val="center"/>
                    <w:rPr>
                      <w:rFonts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0" w:type="pct"/>
                  <w:vAlign w:val="center"/>
                </w:tcPr>
                <w:p>
                  <w:pPr>
                    <w:widowControl w:val="0"/>
                    <w:tabs>
                      <w:tab w:val="left" w:pos="615"/>
                    </w:tabs>
                    <w:spacing w:line="240" w:lineRule="auto"/>
                    <w:jc w:val="center"/>
                    <w:rPr>
                      <w:rFonts w:eastAsiaTheme="minorEastAsia"/>
                      <w:sz w:val="21"/>
                      <w:szCs w:val="21"/>
                    </w:rPr>
                  </w:pPr>
                  <w:r>
                    <w:rPr>
                      <w:rFonts w:hint="eastAsia" w:eastAsiaTheme="minorEastAsia"/>
                      <w:sz w:val="21"/>
                      <w:szCs w:val="21"/>
                    </w:rPr>
                    <w:t>滚筛</w:t>
                  </w:r>
                </w:p>
              </w:tc>
              <w:tc>
                <w:tcPr>
                  <w:tcW w:w="1436" w:type="pct"/>
                  <w:vAlign w:val="center"/>
                </w:tcPr>
                <w:p>
                  <w:pPr>
                    <w:widowControl w:val="0"/>
                    <w:spacing w:line="240" w:lineRule="auto"/>
                    <w:jc w:val="center"/>
                    <w:rPr>
                      <w:rFonts w:eastAsiaTheme="minorEastAsia"/>
                      <w:kern w:val="0"/>
                      <w:sz w:val="21"/>
                      <w:szCs w:val="21"/>
                    </w:rPr>
                  </w:pPr>
                  <w:r>
                    <w:rPr>
                      <w:rFonts w:eastAsiaTheme="minorEastAsia"/>
                      <w:kern w:val="0"/>
                      <w:sz w:val="21"/>
                      <w:szCs w:val="21"/>
                    </w:rPr>
                    <w:t>85</w:t>
                  </w:r>
                </w:p>
              </w:tc>
              <w:tc>
                <w:tcPr>
                  <w:tcW w:w="857" w:type="pct"/>
                  <w:vAlign w:val="center"/>
                </w:tcPr>
                <w:p>
                  <w:pPr>
                    <w:pStyle w:val="31"/>
                    <w:widowControl w:val="0"/>
                    <w:snapToGrid/>
                    <w:rPr>
                      <w:rFonts w:eastAsiaTheme="minorEastAsia"/>
                      <w:b w:val="0"/>
                      <w:szCs w:val="21"/>
                    </w:rPr>
                  </w:pPr>
                  <w:r>
                    <w:rPr>
                      <w:rFonts w:hint="eastAsia" w:eastAsiaTheme="minorEastAsia"/>
                      <w:b w:val="0"/>
                      <w:szCs w:val="21"/>
                    </w:rPr>
                    <w:t>1台</w:t>
                  </w:r>
                </w:p>
              </w:tc>
              <w:tc>
                <w:tcPr>
                  <w:tcW w:w="1667" w:type="pct"/>
                  <w:vMerge w:val="continue"/>
                  <w:vAlign w:val="center"/>
                </w:tcPr>
                <w:p>
                  <w:pPr>
                    <w:widowControl w:val="0"/>
                    <w:spacing w:line="240" w:lineRule="auto"/>
                    <w:jc w:val="center"/>
                    <w:rPr>
                      <w:rFonts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0" w:type="pct"/>
                  <w:vAlign w:val="center"/>
                </w:tcPr>
                <w:p>
                  <w:pPr>
                    <w:widowControl w:val="0"/>
                    <w:tabs>
                      <w:tab w:val="left" w:pos="615"/>
                    </w:tabs>
                    <w:spacing w:line="240" w:lineRule="auto"/>
                    <w:jc w:val="center"/>
                    <w:rPr>
                      <w:rFonts w:eastAsiaTheme="minorEastAsia"/>
                      <w:szCs w:val="21"/>
                    </w:rPr>
                  </w:pPr>
                  <w:r>
                    <w:rPr>
                      <w:rFonts w:hint="eastAsia" w:eastAsiaTheme="minorEastAsia"/>
                      <w:sz w:val="21"/>
                      <w:szCs w:val="21"/>
                    </w:rPr>
                    <w:t>制砂机</w:t>
                  </w:r>
                </w:p>
              </w:tc>
              <w:tc>
                <w:tcPr>
                  <w:tcW w:w="1436" w:type="pct"/>
                  <w:vAlign w:val="center"/>
                </w:tcPr>
                <w:p>
                  <w:pPr>
                    <w:widowControl w:val="0"/>
                    <w:spacing w:line="240" w:lineRule="auto"/>
                    <w:jc w:val="center"/>
                    <w:rPr>
                      <w:rFonts w:eastAsiaTheme="minorEastAsia"/>
                      <w:kern w:val="0"/>
                      <w:sz w:val="21"/>
                      <w:szCs w:val="21"/>
                    </w:rPr>
                  </w:pPr>
                  <w:r>
                    <w:rPr>
                      <w:rFonts w:eastAsiaTheme="minorEastAsia"/>
                      <w:kern w:val="0"/>
                      <w:sz w:val="21"/>
                      <w:szCs w:val="21"/>
                    </w:rPr>
                    <w:t>100</w:t>
                  </w:r>
                </w:p>
              </w:tc>
              <w:tc>
                <w:tcPr>
                  <w:tcW w:w="857" w:type="pct"/>
                  <w:vAlign w:val="center"/>
                </w:tcPr>
                <w:p>
                  <w:pPr>
                    <w:pStyle w:val="31"/>
                    <w:widowControl w:val="0"/>
                    <w:snapToGrid/>
                    <w:rPr>
                      <w:rFonts w:eastAsiaTheme="minorEastAsia"/>
                      <w:b w:val="0"/>
                      <w:szCs w:val="21"/>
                    </w:rPr>
                  </w:pPr>
                  <w:r>
                    <w:rPr>
                      <w:rFonts w:hint="eastAsia" w:eastAsiaTheme="minorEastAsia"/>
                      <w:b w:val="0"/>
                      <w:szCs w:val="21"/>
                    </w:rPr>
                    <w:t>1</w:t>
                  </w:r>
                  <w:r>
                    <w:rPr>
                      <w:rFonts w:eastAsiaTheme="minorEastAsia"/>
                      <w:b w:val="0"/>
                      <w:szCs w:val="21"/>
                    </w:rPr>
                    <w:t>台</w:t>
                  </w:r>
                </w:p>
              </w:tc>
              <w:tc>
                <w:tcPr>
                  <w:tcW w:w="1667" w:type="pct"/>
                  <w:vMerge w:val="continue"/>
                  <w:vAlign w:val="center"/>
                </w:tcPr>
                <w:p>
                  <w:pPr>
                    <w:widowControl w:val="0"/>
                    <w:spacing w:line="240" w:lineRule="auto"/>
                    <w:jc w:val="center"/>
                    <w:rPr>
                      <w:rFonts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40" w:type="pct"/>
                  <w:vAlign w:val="center"/>
                </w:tcPr>
                <w:p>
                  <w:pPr>
                    <w:widowControl w:val="0"/>
                    <w:tabs>
                      <w:tab w:val="left" w:pos="615"/>
                    </w:tabs>
                    <w:spacing w:line="240" w:lineRule="auto"/>
                    <w:jc w:val="center"/>
                    <w:rPr>
                      <w:rFonts w:eastAsiaTheme="minorEastAsia"/>
                      <w:sz w:val="21"/>
                      <w:szCs w:val="21"/>
                    </w:rPr>
                  </w:pPr>
                  <w:r>
                    <w:rPr>
                      <w:rFonts w:eastAsiaTheme="minorEastAsia"/>
                      <w:sz w:val="21"/>
                      <w:szCs w:val="21"/>
                    </w:rPr>
                    <w:t>洗砂机</w:t>
                  </w:r>
                </w:p>
              </w:tc>
              <w:tc>
                <w:tcPr>
                  <w:tcW w:w="1436" w:type="pct"/>
                  <w:vAlign w:val="center"/>
                </w:tcPr>
                <w:p>
                  <w:pPr>
                    <w:widowControl w:val="0"/>
                    <w:spacing w:line="240" w:lineRule="auto"/>
                    <w:jc w:val="center"/>
                    <w:rPr>
                      <w:rFonts w:eastAsiaTheme="minorEastAsia"/>
                      <w:kern w:val="0"/>
                      <w:sz w:val="21"/>
                      <w:szCs w:val="21"/>
                    </w:rPr>
                  </w:pPr>
                  <w:r>
                    <w:rPr>
                      <w:rFonts w:eastAsiaTheme="minorEastAsia"/>
                      <w:kern w:val="0"/>
                      <w:sz w:val="21"/>
                      <w:szCs w:val="21"/>
                    </w:rPr>
                    <w:t>85</w:t>
                  </w:r>
                </w:p>
              </w:tc>
              <w:tc>
                <w:tcPr>
                  <w:tcW w:w="857" w:type="pct"/>
                  <w:vAlign w:val="center"/>
                </w:tcPr>
                <w:p>
                  <w:pPr>
                    <w:pStyle w:val="31"/>
                    <w:widowControl w:val="0"/>
                    <w:snapToGrid/>
                    <w:rPr>
                      <w:rFonts w:eastAsiaTheme="minorEastAsia"/>
                      <w:b w:val="0"/>
                      <w:szCs w:val="21"/>
                    </w:rPr>
                  </w:pPr>
                  <w:r>
                    <w:rPr>
                      <w:rFonts w:eastAsiaTheme="minorEastAsia"/>
                      <w:b w:val="0"/>
                      <w:szCs w:val="21"/>
                    </w:rPr>
                    <w:t>1台</w:t>
                  </w:r>
                </w:p>
              </w:tc>
              <w:tc>
                <w:tcPr>
                  <w:tcW w:w="1667" w:type="pct"/>
                  <w:vMerge w:val="continue"/>
                  <w:vAlign w:val="center"/>
                </w:tcPr>
                <w:p>
                  <w:pPr>
                    <w:widowControl w:val="0"/>
                    <w:spacing w:line="240" w:lineRule="auto"/>
                    <w:jc w:val="center"/>
                    <w:rPr>
                      <w:rFonts w:eastAsiaTheme="minorEastAsia"/>
                      <w:kern w:val="0"/>
                      <w:sz w:val="21"/>
                      <w:szCs w:val="21"/>
                    </w:rPr>
                  </w:pPr>
                </w:p>
              </w:tc>
            </w:tr>
          </w:tbl>
          <w:p>
            <w:pPr>
              <w:widowControl w:val="0"/>
              <w:ind w:firstLine="480" w:firstLineChars="200"/>
              <w:rPr>
                <w:bCs/>
              </w:rPr>
            </w:pPr>
            <w:r>
              <w:rPr>
                <w:bCs/>
              </w:rPr>
              <w:t>4、固体废弃物</w:t>
            </w:r>
          </w:p>
          <w:p>
            <w:pPr>
              <w:widowControl w:val="0"/>
              <w:autoSpaceDE w:val="0"/>
              <w:autoSpaceDN w:val="0"/>
              <w:ind w:firstLine="480" w:firstLineChars="200"/>
            </w:pPr>
            <w:r>
              <w:t>本项目运营期固体废物主要包括沉淀池</w:t>
            </w:r>
            <w:r>
              <w:rPr>
                <w:rFonts w:hint="eastAsia"/>
              </w:rPr>
              <w:t>底渣，</w:t>
            </w:r>
            <w:r>
              <w:t>机械设备维修保养产生</w:t>
            </w:r>
            <w:r>
              <w:rPr>
                <w:rFonts w:hint="eastAsia"/>
              </w:rPr>
              <w:t>的</w:t>
            </w:r>
            <w:r>
              <w:t>废机油及含油废弃物和生活垃圾</w:t>
            </w:r>
            <w:r>
              <w:rPr>
                <w:rFonts w:hint="eastAsia"/>
              </w:rPr>
              <w:t>。</w:t>
            </w:r>
          </w:p>
          <w:p>
            <w:pPr>
              <w:widowControl w:val="0"/>
              <w:autoSpaceDE w:val="0"/>
              <w:autoSpaceDN w:val="0"/>
              <w:ind w:firstLine="480" w:firstLineChars="200"/>
            </w:pPr>
            <w:r>
              <w:t>（1）一般</w:t>
            </w:r>
            <w:r>
              <w:rPr>
                <w:rFonts w:hint="eastAsia"/>
              </w:rPr>
              <w:t>工业</w:t>
            </w:r>
            <w:r>
              <w:t>固废</w:t>
            </w:r>
          </w:p>
          <w:p>
            <w:pPr>
              <w:widowControl w:val="0"/>
              <w:autoSpaceDE w:val="0"/>
              <w:autoSpaceDN w:val="0"/>
              <w:ind w:firstLine="480" w:firstLineChars="200"/>
            </w:pPr>
            <w:r>
              <w:rPr>
                <w:highlight w:val="green"/>
              </w:rPr>
              <w:t>沉淀池</w:t>
            </w:r>
            <w:r>
              <w:rPr>
                <w:rFonts w:hint="eastAsia"/>
                <w:highlight w:val="green"/>
              </w:rPr>
              <w:t>底渣</w:t>
            </w:r>
            <w:r>
              <w:rPr>
                <w:highlight w:val="green"/>
              </w:rPr>
              <w:t>：项目生产废水排入沉淀池后，长时间沉淀池底部会产生沉淀池底</w:t>
            </w:r>
            <w:r>
              <w:rPr>
                <w:rFonts w:hint="eastAsia"/>
                <w:highlight w:val="green"/>
              </w:rPr>
              <w:t>渣</w:t>
            </w:r>
            <w:r>
              <w:rPr>
                <w:highlight w:val="green"/>
              </w:rPr>
              <w:t>。根据建设单位提供资料，</w:t>
            </w:r>
            <w:r>
              <w:rPr>
                <w:rFonts w:hint="eastAsia"/>
                <w:highlight w:val="green"/>
              </w:rPr>
              <w:t>底</w:t>
            </w:r>
            <w:r>
              <w:rPr>
                <w:highlight w:val="green"/>
              </w:rPr>
              <w:t>渣产生量约占原料的0.1</w:t>
            </w:r>
            <w:r>
              <w:rPr>
                <w:rFonts w:hint="eastAsia"/>
                <w:highlight w:val="green"/>
              </w:rPr>
              <w:t>%，则底渣</w:t>
            </w:r>
            <w:r>
              <w:rPr>
                <w:highlight w:val="green"/>
              </w:rPr>
              <w:t>产生量约30t/a，主要成分为泥渣</w:t>
            </w:r>
            <w:r>
              <w:rPr>
                <w:rFonts w:hint="eastAsia"/>
                <w:highlight w:val="green"/>
              </w:rPr>
              <w:t>，</w:t>
            </w:r>
            <w:r>
              <w:rPr>
                <w:highlight w:val="green"/>
              </w:rPr>
              <w:t>经泥浆压滤一体机处理成泥饼</w:t>
            </w:r>
            <w:r>
              <w:rPr>
                <w:rFonts w:hint="eastAsia"/>
                <w:highlight w:val="green"/>
              </w:rPr>
              <w:t>，</w:t>
            </w:r>
            <w:r>
              <w:rPr>
                <w:highlight w:val="green"/>
              </w:rPr>
              <w:t>与其他不能加工利用的</w:t>
            </w:r>
            <w:r>
              <w:rPr>
                <w:rFonts w:hint="eastAsia"/>
                <w:highlight w:val="green"/>
              </w:rPr>
              <w:t>废弃</w:t>
            </w:r>
            <w:r>
              <w:rPr>
                <w:highlight w:val="green"/>
              </w:rPr>
              <w:t>洞渣一起</w:t>
            </w:r>
            <w:r>
              <w:rPr>
                <w:rFonts w:hint="eastAsia"/>
                <w:highlight w:val="green"/>
              </w:rPr>
              <w:t>堆放在</w:t>
            </w:r>
            <w:r>
              <w:rPr>
                <w:highlight w:val="green"/>
              </w:rPr>
              <w:t>弃渣场</w:t>
            </w:r>
            <w:r>
              <w:rPr>
                <w:rFonts w:hint="eastAsia"/>
                <w:highlight w:val="green"/>
              </w:rPr>
              <w:t>，采取</w:t>
            </w:r>
            <w:r>
              <w:rPr>
                <w:highlight w:val="green"/>
              </w:rPr>
              <w:t>碾平</w:t>
            </w:r>
            <w:r>
              <w:rPr>
                <w:rFonts w:hint="eastAsia"/>
                <w:highlight w:val="green"/>
              </w:rPr>
              <w:t>，</w:t>
            </w:r>
            <w:r>
              <w:rPr>
                <w:highlight w:val="green"/>
              </w:rPr>
              <w:t>硬化等措施妥善处置。</w:t>
            </w:r>
          </w:p>
          <w:p>
            <w:pPr>
              <w:widowControl w:val="0"/>
              <w:autoSpaceDE w:val="0"/>
              <w:autoSpaceDN w:val="0"/>
              <w:ind w:firstLine="480" w:firstLineChars="200"/>
            </w:pPr>
            <w:r>
              <w:t>（2）危险废物</w:t>
            </w:r>
          </w:p>
          <w:p>
            <w:pPr>
              <w:widowControl w:val="0"/>
              <w:autoSpaceDE w:val="0"/>
              <w:autoSpaceDN w:val="0"/>
              <w:ind w:firstLine="480" w:firstLineChars="200"/>
            </w:pPr>
            <w:r>
              <w:t>废机油及含油废弃物：厂区因不具备大修条件，仅进行更换机油，其余车辆修理等均在汽车修理厂进行，废机油产生量约为0.</w:t>
            </w:r>
            <w:r>
              <w:rPr>
                <w:rFonts w:hint="eastAsia"/>
              </w:rPr>
              <w:t>01</w:t>
            </w:r>
            <w:r>
              <w:t>t/a，根据《国家危险废物名录》（2019版），此类废物属于危险废物，其危废类别为HW08。此外，在维修过程中会产生废手套、废机油桶等，产生量</w:t>
            </w:r>
            <w:r>
              <w:rPr>
                <w:rFonts w:hint="eastAsia"/>
              </w:rPr>
              <w:t>0.02</w:t>
            </w:r>
            <w:r>
              <w:t>t/a，危废类别为HW49。</w:t>
            </w:r>
          </w:p>
          <w:p>
            <w:pPr>
              <w:widowControl w:val="0"/>
              <w:autoSpaceDE w:val="0"/>
              <w:autoSpaceDN w:val="0"/>
              <w:ind w:firstLine="480" w:firstLineChars="200"/>
            </w:pPr>
            <w:r>
              <w:t>（3）</w:t>
            </w:r>
            <w:r>
              <w:rPr>
                <w:rFonts w:hint="eastAsia"/>
              </w:rPr>
              <w:t>生活垃圾</w:t>
            </w:r>
          </w:p>
          <w:p>
            <w:pPr>
              <w:widowControl w:val="0"/>
              <w:overflowPunct w:val="0"/>
              <w:ind w:firstLine="480" w:firstLineChars="200"/>
            </w:pPr>
            <w:r>
              <w:t>本项目运营期间职工定员</w:t>
            </w:r>
            <w:r>
              <w:rPr>
                <w:rFonts w:hint="eastAsia"/>
              </w:rPr>
              <w:t>6</w:t>
            </w:r>
            <w:r>
              <w:t>人，人均生活垃圾按照0.5kg/人·d计算，年工作</w:t>
            </w:r>
            <w:r>
              <w:rPr>
                <w:rFonts w:hint="eastAsia"/>
              </w:rPr>
              <w:t>26</w:t>
            </w:r>
            <w:r>
              <w:t>0d，则职工生活垃圾产生量为</w:t>
            </w:r>
            <w:r>
              <w:rPr>
                <w:rFonts w:hint="eastAsia"/>
              </w:rPr>
              <w:t>3</w:t>
            </w:r>
            <w:r>
              <w:t>kg/d（即</w:t>
            </w:r>
            <w:r>
              <w:rPr>
                <w:rFonts w:hint="eastAsia"/>
              </w:rPr>
              <w:t>0.78</w:t>
            </w:r>
            <w:r>
              <w:t>t/a）。在厂区设置</w:t>
            </w:r>
            <w:r>
              <w:rPr>
                <w:rFonts w:hint="eastAsia"/>
              </w:rPr>
              <w:t>带盖</w:t>
            </w:r>
            <w:r>
              <w:t>生活垃圾</w:t>
            </w:r>
            <w:r>
              <w:rPr>
                <w:rFonts w:hint="eastAsia"/>
              </w:rPr>
              <w:t>收集桶</w:t>
            </w:r>
            <w:r>
              <w:t>，分类收集</w:t>
            </w:r>
            <w:r>
              <w:rPr>
                <w:rFonts w:hint="eastAsia"/>
              </w:rPr>
              <w:t>后</w:t>
            </w:r>
            <w:r>
              <w:t>由环卫部门统一清运处理。</w:t>
            </w:r>
          </w:p>
          <w:p>
            <w:pPr>
              <w:widowControl w:val="0"/>
              <w:ind w:firstLine="480" w:firstLineChars="200"/>
            </w:pPr>
            <w:r>
              <w:rPr>
                <w:rFonts w:hint="eastAsia"/>
              </w:rPr>
              <w:t>综上所述，</w:t>
            </w:r>
            <w:r>
              <w:t>本项目运营期固体废物产生情况详见表</w:t>
            </w:r>
            <w:r>
              <w:rPr>
                <w:rFonts w:hint="eastAsia"/>
              </w:rPr>
              <w:t>5-</w:t>
            </w:r>
            <w:r>
              <w:t>4</w:t>
            </w:r>
            <w:r>
              <w:rPr>
                <w:rFonts w:hint="eastAsia"/>
              </w:rPr>
              <w:t>。</w:t>
            </w:r>
          </w:p>
          <w:p>
            <w:pPr>
              <w:pStyle w:val="19"/>
              <w:widowControl w:val="0"/>
              <w:numPr>
                <w:ilvl w:val="0"/>
                <w:numId w:val="6"/>
              </w:numPr>
              <w:tabs>
                <w:tab w:val="left" w:pos="4480"/>
              </w:tabs>
              <w:spacing w:line="240" w:lineRule="auto"/>
              <w:ind w:left="0" w:right="0" w:rightChars="0" w:firstLine="0" w:firstLineChars="0"/>
              <w:jc w:val="center"/>
              <w:rPr>
                <w:b/>
                <w:sz w:val="21"/>
                <w:szCs w:val="21"/>
              </w:rPr>
            </w:pPr>
            <w:r>
              <w:rPr>
                <w:rFonts w:hint="eastAsia"/>
                <w:b/>
                <w:sz w:val="21"/>
                <w:szCs w:val="21"/>
              </w:rPr>
              <w:t xml:space="preserve">  </w:t>
            </w:r>
            <w:r>
              <w:rPr>
                <w:b/>
                <w:sz w:val="21"/>
                <w:szCs w:val="21"/>
              </w:rPr>
              <w:t>本项目运营期固体废物产生情况一览表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1065"/>
              <w:gridCol w:w="1843"/>
              <w:gridCol w:w="1701"/>
              <w:gridCol w:w="1295"/>
              <w:gridCol w:w="1176"/>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700" w:type="dxa"/>
                  <w:vAlign w:val="center"/>
                </w:tcPr>
                <w:p>
                  <w:pPr>
                    <w:pStyle w:val="51"/>
                    <w:kinsoku w:val="0"/>
                    <w:overflowPunct w:val="0"/>
                    <w:spacing w:line="240" w:lineRule="auto"/>
                    <w:contextualSpacing/>
                    <w:jc w:val="center"/>
                    <w:rPr>
                      <w:rFonts w:ascii="Times New Roman" w:hAnsi="Times New Roman"/>
                      <w:bCs/>
                      <w:spacing w:val="-1"/>
                      <w:sz w:val="21"/>
                      <w:szCs w:val="21"/>
                    </w:rPr>
                  </w:pPr>
                  <w:r>
                    <w:rPr>
                      <w:rFonts w:ascii="Times New Roman" w:hAnsi="Times New Roman"/>
                      <w:bCs/>
                      <w:spacing w:val="-1"/>
                      <w:sz w:val="21"/>
                      <w:szCs w:val="21"/>
                    </w:rPr>
                    <w:t>序号</w:t>
                  </w:r>
                </w:p>
              </w:tc>
              <w:tc>
                <w:tcPr>
                  <w:tcW w:w="1065" w:type="dxa"/>
                  <w:vAlign w:val="center"/>
                </w:tcPr>
                <w:p>
                  <w:pPr>
                    <w:pStyle w:val="51"/>
                    <w:kinsoku w:val="0"/>
                    <w:overflowPunct w:val="0"/>
                    <w:spacing w:line="240" w:lineRule="auto"/>
                    <w:contextualSpacing/>
                    <w:jc w:val="center"/>
                    <w:rPr>
                      <w:rFonts w:ascii="Times New Roman" w:hAnsi="Times New Roman"/>
                      <w:bCs/>
                      <w:spacing w:val="-1"/>
                      <w:sz w:val="21"/>
                      <w:szCs w:val="21"/>
                    </w:rPr>
                  </w:pPr>
                  <w:r>
                    <w:rPr>
                      <w:rFonts w:ascii="Times New Roman" w:hAnsi="Times New Roman"/>
                      <w:bCs/>
                      <w:spacing w:val="-1"/>
                      <w:sz w:val="21"/>
                      <w:szCs w:val="21"/>
                    </w:rPr>
                    <w:t>产生工序</w:t>
                  </w:r>
                </w:p>
              </w:tc>
              <w:tc>
                <w:tcPr>
                  <w:tcW w:w="1843" w:type="dxa"/>
                  <w:vAlign w:val="center"/>
                </w:tcPr>
                <w:p>
                  <w:pPr>
                    <w:pStyle w:val="51"/>
                    <w:kinsoku w:val="0"/>
                    <w:overflowPunct w:val="0"/>
                    <w:spacing w:line="240" w:lineRule="auto"/>
                    <w:contextualSpacing/>
                    <w:jc w:val="center"/>
                    <w:rPr>
                      <w:rFonts w:ascii="Times New Roman" w:hAnsi="Times New Roman"/>
                      <w:bCs/>
                      <w:spacing w:val="-1"/>
                      <w:sz w:val="21"/>
                      <w:szCs w:val="21"/>
                    </w:rPr>
                  </w:pPr>
                  <w:r>
                    <w:rPr>
                      <w:rFonts w:ascii="Times New Roman" w:hAnsi="Times New Roman"/>
                      <w:bCs/>
                      <w:spacing w:val="-1"/>
                      <w:sz w:val="21"/>
                      <w:szCs w:val="21"/>
                    </w:rPr>
                    <w:t>固体废物名称</w:t>
                  </w:r>
                </w:p>
              </w:tc>
              <w:tc>
                <w:tcPr>
                  <w:tcW w:w="1701" w:type="dxa"/>
                  <w:vAlign w:val="center"/>
                </w:tcPr>
                <w:p>
                  <w:pPr>
                    <w:pStyle w:val="51"/>
                    <w:kinsoku w:val="0"/>
                    <w:overflowPunct w:val="0"/>
                    <w:spacing w:line="240" w:lineRule="auto"/>
                    <w:contextualSpacing/>
                    <w:jc w:val="center"/>
                    <w:rPr>
                      <w:rFonts w:ascii="Times New Roman" w:hAnsi="Times New Roman"/>
                      <w:bCs/>
                      <w:spacing w:val="-1"/>
                      <w:sz w:val="21"/>
                      <w:szCs w:val="21"/>
                    </w:rPr>
                  </w:pPr>
                  <w:r>
                    <w:rPr>
                      <w:rFonts w:ascii="Times New Roman" w:hAnsi="Times New Roman"/>
                      <w:bCs/>
                      <w:spacing w:val="-1"/>
                      <w:sz w:val="21"/>
                      <w:szCs w:val="21"/>
                    </w:rPr>
                    <w:t>主要成分</w:t>
                  </w:r>
                </w:p>
              </w:tc>
              <w:tc>
                <w:tcPr>
                  <w:tcW w:w="1295" w:type="dxa"/>
                  <w:vAlign w:val="center"/>
                </w:tcPr>
                <w:p>
                  <w:pPr>
                    <w:pStyle w:val="51"/>
                    <w:kinsoku w:val="0"/>
                    <w:overflowPunct w:val="0"/>
                    <w:spacing w:line="240" w:lineRule="auto"/>
                    <w:contextualSpacing/>
                    <w:jc w:val="center"/>
                    <w:rPr>
                      <w:rFonts w:ascii="Times New Roman" w:hAnsi="Times New Roman"/>
                      <w:bCs/>
                      <w:spacing w:val="-1"/>
                      <w:sz w:val="21"/>
                      <w:szCs w:val="21"/>
                    </w:rPr>
                  </w:pPr>
                  <w:r>
                    <w:rPr>
                      <w:rFonts w:ascii="Times New Roman" w:hAnsi="Times New Roman"/>
                      <w:bCs/>
                      <w:spacing w:val="-1"/>
                      <w:sz w:val="21"/>
                      <w:szCs w:val="21"/>
                    </w:rPr>
                    <w:t>产生量</w:t>
                  </w:r>
                </w:p>
              </w:tc>
              <w:tc>
                <w:tcPr>
                  <w:tcW w:w="1176" w:type="dxa"/>
                  <w:vAlign w:val="center"/>
                </w:tcPr>
                <w:p>
                  <w:pPr>
                    <w:pStyle w:val="51"/>
                    <w:kinsoku w:val="0"/>
                    <w:overflowPunct w:val="0"/>
                    <w:spacing w:line="240" w:lineRule="auto"/>
                    <w:contextualSpacing/>
                    <w:jc w:val="center"/>
                    <w:rPr>
                      <w:rFonts w:ascii="Times New Roman" w:hAnsi="Times New Roman"/>
                      <w:bCs/>
                      <w:spacing w:val="-1"/>
                      <w:sz w:val="21"/>
                      <w:szCs w:val="21"/>
                    </w:rPr>
                  </w:pPr>
                  <w:r>
                    <w:rPr>
                      <w:rFonts w:ascii="Times New Roman" w:hAnsi="Times New Roman"/>
                      <w:bCs/>
                      <w:spacing w:val="-1"/>
                      <w:sz w:val="21"/>
                      <w:szCs w:val="21"/>
                    </w:rPr>
                    <w:t>属性鉴别</w:t>
                  </w:r>
                </w:p>
              </w:tc>
              <w:tc>
                <w:tcPr>
                  <w:tcW w:w="1225" w:type="dxa"/>
                  <w:vAlign w:val="center"/>
                </w:tcPr>
                <w:p>
                  <w:pPr>
                    <w:pStyle w:val="51"/>
                    <w:kinsoku w:val="0"/>
                    <w:overflowPunct w:val="0"/>
                    <w:spacing w:line="240" w:lineRule="auto"/>
                    <w:contextualSpacing/>
                    <w:jc w:val="center"/>
                    <w:rPr>
                      <w:rFonts w:ascii="Times New Roman" w:hAnsi="Times New Roman"/>
                      <w:bCs/>
                      <w:spacing w:val="-1"/>
                      <w:sz w:val="21"/>
                      <w:szCs w:val="21"/>
                    </w:rPr>
                  </w:pPr>
                  <w:r>
                    <w:rPr>
                      <w:rFonts w:ascii="Times New Roman" w:hAnsi="Times New Roman"/>
                      <w:bCs/>
                      <w:spacing w:val="-1"/>
                      <w:sz w:val="21"/>
                      <w:szCs w:val="21"/>
                    </w:rPr>
                    <w:t>废物代码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00" w:type="dxa"/>
                  <w:vAlign w:val="center"/>
                </w:tcPr>
                <w:p>
                  <w:pPr>
                    <w:pStyle w:val="51"/>
                    <w:kinsoku w:val="0"/>
                    <w:overflowPunct w:val="0"/>
                    <w:spacing w:line="240" w:lineRule="auto"/>
                    <w:contextualSpacing/>
                    <w:jc w:val="center"/>
                    <w:rPr>
                      <w:rFonts w:ascii="Times New Roman" w:hAnsi="Times New Roman"/>
                      <w:spacing w:val="-1"/>
                      <w:sz w:val="21"/>
                      <w:szCs w:val="21"/>
                    </w:rPr>
                  </w:pPr>
                  <w:r>
                    <w:rPr>
                      <w:rFonts w:ascii="Times New Roman" w:hAnsi="Times New Roman"/>
                      <w:spacing w:val="-1"/>
                      <w:sz w:val="21"/>
                      <w:szCs w:val="21"/>
                    </w:rPr>
                    <w:t>1</w:t>
                  </w:r>
                </w:p>
              </w:tc>
              <w:tc>
                <w:tcPr>
                  <w:tcW w:w="1065" w:type="dxa"/>
                  <w:vAlign w:val="center"/>
                </w:tcPr>
                <w:p>
                  <w:pPr>
                    <w:pStyle w:val="51"/>
                    <w:kinsoku w:val="0"/>
                    <w:overflowPunct w:val="0"/>
                    <w:spacing w:line="240" w:lineRule="auto"/>
                    <w:contextualSpacing/>
                    <w:jc w:val="center"/>
                    <w:rPr>
                      <w:rFonts w:ascii="Times New Roman" w:hAnsi="Times New Roman"/>
                      <w:spacing w:val="-1"/>
                      <w:sz w:val="21"/>
                      <w:szCs w:val="21"/>
                      <w:lang w:eastAsia="zh-CN"/>
                    </w:rPr>
                  </w:pPr>
                  <w:r>
                    <w:rPr>
                      <w:rFonts w:ascii="Times New Roman" w:hAnsi="Times New Roman"/>
                      <w:spacing w:val="-1"/>
                      <w:sz w:val="21"/>
                      <w:szCs w:val="21"/>
                      <w:lang w:eastAsia="zh-CN"/>
                    </w:rPr>
                    <w:t>沉淀池</w:t>
                  </w:r>
                </w:p>
              </w:tc>
              <w:tc>
                <w:tcPr>
                  <w:tcW w:w="1843" w:type="dxa"/>
                  <w:vAlign w:val="center"/>
                </w:tcPr>
                <w:p>
                  <w:pPr>
                    <w:pStyle w:val="51"/>
                    <w:kinsoku w:val="0"/>
                    <w:overflowPunct w:val="0"/>
                    <w:spacing w:line="240" w:lineRule="auto"/>
                    <w:contextualSpacing/>
                    <w:jc w:val="center"/>
                    <w:rPr>
                      <w:rFonts w:ascii="Times New Roman" w:hAnsi="Times New Roman"/>
                      <w:spacing w:val="-6"/>
                      <w:sz w:val="21"/>
                      <w:szCs w:val="21"/>
                      <w:lang w:eastAsia="zh-CN"/>
                    </w:rPr>
                  </w:pPr>
                  <w:r>
                    <w:rPr>
                      <w:rFonts w:ascii="Times New Roman" w:hAnsi="Times New Roman"/>
                      <w:bCs/>
                      <w:spacing w:val="-6"/>
                      <w:sz w:val="21"/>
                      <w:szCs w:val="21"/>
                      <w:lang w:eastAsia="zh-CN"/>
                    </w:rPr>
                    <w:t>底渣</w:t>
                  </w:r>
                </w:p>
              </w:tc>
              <w:tc>
                <w:tcPr>
                  <w:tcW w:w="1701" w:type="dxa"/>
                  <w:vAlign w:val="center"/>
                </w:tcPr>
                <w:p>
                  <w:pPr>
                    <w:pStyle w:val="51"/>
                    <w:kinsoku w:val="0"/>
                    <w:overflowPunct w:val="0"/>
                    <w:spacing w:line="240" w:lineRule="auto"/>
                    <w:contextualSpacing/>
                    <w:jc w:val="center"/>
                    <w:rPr>
                      <w:rFonts w:ascii="Times New Roman" w:hAnsi="Times New Roman"/>
                      <w:bCs/>
                      <w:spacing w:val="-6"/>
                      <w:sz w:val="21"/>
                      <w:szCs w:val="21"/>
                      <w:lang w:eastAsia="zh-CN"/>
                    </w:rPr>
                  </w:pPr>
                  <w:r>
                    <w:rPr>
                      <w:rFonts w:ascii="Times New Roman" w:hAnsi="Times New Roman"/>
                      <w:bCs/>
                      <w:spacing w:val="-6"/>
                      <w:sz w:val="21"/>
                      <w:szCs w:val="21"/>
                      <w:lang w:eastAsia="zh-CN"/>
                    </w:rPr>
                    <w:t>泥渣、砂石渣</w:t>
                  </w:r>
                </w:p>
              </w:tc>
              <w:tc>
                <w:tcPr>
                  <w:tcW w:w="1295" w:type="dxa"/>
                  <w:vAlign w:val="center"/>
                </w:tcPr>
                <w:p>
                  <w:pPr>
                    <w:pStyle w:val="51"/>
                    <w:kinsoku w:val="0"/>
                    <w:overflowPunct w:val="0"/>
                    <w:spacing w:line="240" w:lineRule="auto"/>
                    <w:contextualSpacing/>
                    <w:jc w:val="center"/>
                    <w:rPr>
                      <w:rFonts w:ascii="Times New Roman" w:hAnsi="Times New Roman"/>
                      <w:spacing w:val="-1"/>
                      <w:sz w:val="21"/>
                      <w:szCs w:val="21"/>
                    </w:rPr>
                  </w:pPr>
                  <w:r>
                    <w:rPr>
                      <w:rFonts w:ascii="Times New Roman" w:hAnsi="Times New Roman"/>
                      <w:spacing w:val="-1"/>
                      <w:sz w:val="21"/>
                      <w:szCs w:val="21"/>
                      <w:highlight w:val="green"/>
                      <w:lang w:eastAsia="zh-CN"/>
                    </w:rPr>
                    <w:t>30</w:t>
                  </w:r>
                  <w:r>
                    <w:rPr>
                      <w:rFonts w:ascii="Times New Roman" w:hAnsi="Times New Roman"/>
                      <w:spacing w:val="-1"/>
                      <w:sz w:val="21"/>
                      <w:szCs w:val="21"/>
                      <w:highlight w:val="green"/>
                    </w:rPr>
                    <w:t>t/a</w:t>
                  </w:r>
                </w:p>
              </w:tc>
              <w:tc>
                <w:tcPr>
                  <w:tcW w:w="1176" w:type="dxa"/>
                  <w:vAlign w:val="center"/>
                </w:tcPr>
                <w:p>
                  <w:pPr>
                    <w:pStyle w:val="51"/>
                    <w:kinsoku w:val="0"/>
                    <w:overflowPunct w:val="0"/>
                    <w:spacing w:line="240" w:lineRule="auto"/>
                    <w:contextualSpacing/>
                    <w:jc w:val="center"/>
                    <w:rPr>
                      <w:rFonts w:ascii="Times New Roman" w:hAnsi="Times New Roman"/>
                      <w:spacing w:val="-1"/>
                      <w:sz w:val="21"/>
                      <w:szCs w:val="21"/>
                    </w:rPr>
                  </w:pPr>
                  <w:r>
                    <w:rPr>
                      <w:rFonts w:ascii="Times New Roman" w:hAnsi="Times New Roman"/>
                      <w:spacing w:val="-1"/>
                      <w:sz w:val="21"/>
                      <w:szCs w:val="21"/>
                    </w:rPr>
                    <w:t>一般固废</w:t>
                  </w:r>
                </w:p>
              </w:tc>
              <w:tc>
                <w:tcPr>
                  <w:tcW w:w="1225" w:type="dxa"/>
                  <w:vAlign w:val="center"/>
                </w:tcPr>
                <w:p>
                  <w:pPr>
                    <w:pStyle w:val="51"/>
                    <w:kinsoku w:val="0"/>
                    <w:overflowPunct w:val="0"/>
                    <w:spacing w:line="240" w:lineRule="auto"/>
                    <w:contextualSpacing/>
                    <w:jc w:val="center"/>
                    <w:rPr>
                      <w:rFonts w:ascii="Times New Roman" w:hAnsi="Times New Roman"/>
                      <w:sz w:val="21"/>
                      <w:szCs w:val="21"/>
                    </w:rPr>
                  </w:pPr>
                  <w:r>
                    <w:rPr>
                      <w:rFonts w:ascii="Times New Roman" w:hAns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00" w:type="dxa"/>
                  <w:vMerge w:val="restart"/>
                  <w:vAlign w:val="center"/>
                </w:tcPr>
                <w:p>
                  <w:pPr>
                    <w:pStyle w:val="51"/>
                    <w:kinsoku w:val="0"/>
                    <w:overflowPunct w:val="0"/>
                    <w:spacing w:line="240" w:lineRule="auto"/>
                    <w:contextualSpacing/>
                    <w:jc w:val="center"/>
                    <w:rPr>
                      <w:rFonts w:ascii="Times New Roman" w:hAnsi="Times New Roman"/>
                      <w:spacing w:val="-1"/>
                      <w:sz w:val="21"/>
                      <w:szCs w:val="21"/>
                      <w:lang w:eastAsia="zh-CN"/>
                    </w:rPr>
                  </w:pPr>
                  <w:r>
                    <w:rPr>
                      <w:rFonts w:hint="eastAsia" w:ascii="Times New Roman" w:hAnsi="Times New Roman"/>
                      <w:spacing w:val="-1"/>
                      <w:sz w:val="21"/>
                      <w:szCs w:val="21"/>
                      <w:lang w:eastAsia="zh-CN"/>
                    </w:rPr>
                    <w:t>2</w:t>
                  </w:r>
                </w:p>
              </w:tc>
              <w:tc>
                <w:tcPr>
                  <w:tcW w:w="1065" w:type="dxa"/>
                  <w:vMerge w:val="restart"/>
                  <w:vAlign w:val="center"/>
                </w:tcPr>
                <w:p>
                  <w:pPr>
                    <w:pStyle w:val="51"/>
                    <w:kinsoku w:val="0"/>
                    <w:overflowPunct w:val="0"/>
                    <w:spacing w:line="240" w:lineRule="auto"/>
                    <w:contextualSpacing/>
                    <w:jc w:val="center"/>
                    <w:rPr>
                      <w:rFonts w:ascii="Times New Roman" w:hAnsi="Times New Roman"/>
                      <w:spacing w:val="-6"/>
                      <w:sz w:val="21"/>
                      <w:szCs w:val="21"/>
                    </w:rPr>
                  </w:pPr>
                  <w:r>
                    <w:rPr>
                      <w:rFonts w:ascii="Times New Roman" w:hAnsi="Times New Roman"/>
                      <w:spacing w:val="-6"/>
                      <w:sz w:val="21"/>
                      <w:szCs w:val="21"/>
                    </w:rPr>
                    <w:t>设备维修保养</w:t>
                  </w:r>
                </w:p>
              </w:tc>
              <w:tc>
                <w:tcPr>
                  <w:tcW w:w="1843" w:type="dxa"/>
                  <w:vAlign w:val="center"/>
                </w:tcPr>
                <w:p>
                  <w:pPr>
                    <w:pStyle w:val="51"/>
                    <w:kinsoku w:val="0"/>
                    <w:overflowPunct w:val="0"/>
                    <w:spacing w:line="240" w:lineRule="auto"/>
                    <w:contextualSpacing/>
                    <w:jc w:val="center"/>
                    <w:rPr>
                      <w:rFonts w:ascii="Times New Roman" w:hAnsi="Times New Roman"/>
                      <w:spacing w:val="-6"/>
                      <w:sz w:val="21"/>
                      <w:szCs w:val="21"/>
                    </w:rPr>
                  </w:pPr>
                  <w:r>
                    <w:rPr>
                      <w:rFonts w:ascii="Times New Roman" w:hAnsi="Times New Roman"/>
                      <w:spacing w:val="-6"/>
                      <w:sz w:val="21"/>
                      <w:szCs w:val="21"/>
                    </w:rPr>
                    <w:t>废机油</w:t>
                  </w:r>
                </w:p>
              </w:tc>
              <w:tc>
                <w:tcPr>
                  <w:tcW w:w="1701" w:type="dxa"/>
                  <w:vMerge w:val="restart"/>
                  <w:vAlign w:val="center"/>
                </w:tcPr>
                <w:p>
                  <w:pPr>
                    <w:pStyle w:val="51"/>
                    <w:kinsoku w:val="0"/>
                    <w:overflowPunct w:val="0"/>
                    <w:spacing w:line="240" w:lineRule="auto"/>
                    <w:contextualSpacing/>
                    <w:jc w:val="center"/>
                    <w:rPr>
                      <w:rFonts w:ascii="Times New Roman" w:hAnsi="Times New Roman"/>
                      <w:spacing w:val="-1"/>
                      <w:sz w:val="21"/>
                      <w:szCs w:val="21"/>
                    </w:rPr>
                  </w:pPr>
                  <w:r>
                    <w:rPr>
                      <w:rFonts w:ascii="Times New Roman" w:hAnsi="Times New Roman"/>
                      <w:spacing w:val="-1"/>
                      <w:sz w:val="21"/>
                      <w:szCs w:val="21"/>
                    </w:rPr>
                    <w:t>/</w:t>
                  </w:r>
                </w:p>
              </w:tc>
              <w:tc>
                <w:tcPr>
                  <w:tcW w:w="1295" w:type="dxa"/>
                  <w:vAlign w:val="center"/>
                </w:tcPr>
                <w:p>
                  <w:pPr>
                    <w:pStyle w:val="51"/>
                    <w:kinsoku w:val="0"/>
                    <w:overflowPunct w:val="0"/>
                    <w:spacing w:line="240" w:lineRule="auto"/>
                    <w:contextualSpacing/>
                    <w:jc w:val="center"/>
                    <w:rPr>
                      <w:rFonts w:ascii="Times New Roman" w:hAnsi="Times New Roman"/>
                      <w:spacing w:val="-1"/>
                      <w:sz w:val="21"/>
                      <w:szCs w:val="21"/>
                    </w:rPr>
                  </w:pPr>
                  <w:r>
                    <w:rPr>
                      <w:rFonts w:ascii="Times New Roman" w:hAnsi="Times New Roman"/>
                      <w:spacing w:val="-1"/>
                      <w:sz w:val="21"/>
                      <w:szCs w:val="21"/>
                    </w:rPr>
                    <w:t>0.0</w:t>
                  </w:r>
                  <w:r>
                    <w:rPr>
                      <w:rFonts w:hint="eastAsia" w:ascii="Times New Roman" w:hAnsi="Times New Roman"/>
                      <w:spacing w:val="-1"/>
                      <w:sz w:val="21"/>
                      <w:szCs w:val="21"/>
                      <w:lang w:eastAsia="zh-CN"/>
                    </w:rPr>
                    <w:t>1</w:t>
                  </w:r>
                  <w:r>
                    <w:rPr>
                      <w:rFonts w:ascii="Times New Roman" w:hAnsi="Times New Roman"/>
                      <w:spacing w:val="-1"/>
                      <w:sz w:val="21"/>
                      <w:szCs w:val="21"/>
                    </w:rPr>
                    <w:t>t/a</w:t>
                  </w:r>
                </w:p>
              </w:tc>
              <w:tc>
                <w:tcPr>
                  <w:tcW w:w="1176" w:type="dxa"/>
                  <w:vMerge w:val="restart"/>
                  <w:vAlign w:val="center"/>
                </w:tcPr>
                <w:p>
                  <w:pPr>
                    <w:kinsoku w:val="0"/>
                    <w:overflowPunct w:val="0"/>
                    <w:spacing w:line="240" w:lineRule="auto"/>
                    <w:contextualSpacing/>
                    <w:jc w:val="center"/>
                    <w:rPr>
                      <w:spacing w:val="-1"/>
                      <w:sz w:val="21"/>
                      <w:szCs w:val="21"/>
                    </w:rPr>
                  </w:pPr>
                  <w:r>
                    <w:rPr>
                      <w:spacing w:val="-1"/>
                      <w:sz w:val="21"/>
                      <w:szCs w:val="21"/>
                    </w:rPr>
                    <w:t>危险废物</w:t>
                  </w:r>
                </w:p>
              </w:tc>
              <w:tc>
                <w:tcPr>
                  <w:tcW w:w="1225" w:type="dxa"/>
                  <w:vAlign w:val="center"/>
                </w:tcPr>
                <w:p>
                  <w:pPr>
                    <w:pStyle w:val="51"/>
                    <w:kinsoku w:val="0"/>
                    <w:overflowPunct w:val="0"/>
                    <w:spacing w:line="240" w:lineRule="auto"/>
                    <w:contextualSpacing/>
                    <w:jc w:val="center"/>
                    <w:rPr>
                      <w:rFonts w:ascii="Times New Roman" w:hAnsi="Times New Roman"/>
                      <w:spacing w:val="-1"/>
                      <w:sz w:val="21"/>
                      <w:szCs w:val="21"/>
                    </w:rPr>
                  </w:pPr>
                  <w:r>
                    <w:rPr>
                      <w:rFonts w:ascii="Times New Roman" w:hAnsi="Times New Roman"/>
                    </w:rPr>
                    <w:t>HW08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00" w:type="dxa"/>
                  <w:vMerge w:val="continue"/>
                  <w:vAlign w:val="center"/>
                </w:tcPr>
                <w:p>
                  <w:pPr>
                    <w:pStyle w:val="51"/>
                    <w:kinsoku w:val="0"/>
                    <w:overflowPunct w:val="0"/>
                    <w:spacing w:line="240" w:lineRule="auto"/>
                    <w:contextualSpacing/>
                    <w:jc w:val="center"/>
                    <w:rPr>
                      <w:rFonts w:ascii="Times New Roman" w:hAnsi="Times New Roman"/>
                      <w:spacing w:val="-1"/>
                      <w:sz w:val="21"/>
                      <w:szCs w:val="21"/>
                    </w:rPr>
                  </w:pPr>
                </w:p>
              </w:tc>
              <w:tc>
                <w:tcPr>
                  <w:tcW w:w="1065" w:type="dxa"/>
                  <w:vMerge w:val="continue"/>
                  <w:vAlign w:val="center"/>
                </w:tcPr>
                <w:p>
                  <w:pPr>
                    <w:pStyle w:val="51"/>
                    <w:kinsoku w:val="0"/>
                    <w:overflowPunct w:val="0"/>
                    <w:spacing w:line="240" w:lineRule="auto"/>
                    <w:contextualSpacing/>
                    <w:jc w:val="center"/>
                    <w:rPr>
                      <w:rFonts w:ascii="Times New Roman" w:hAnsi="Times New Roman"/>
                      <w:spacing w:val="-6"/>
                      <w:sz w:val="21"/>
                      <w:szCs w:val="21"/>
                    </w:rPr>
                  </w:pPr>
                </w:p>
              </w:tc>
              <w:tc>
                <w:tcPr>
                  <w:tcW w:w="1843" w:type="dxa"/>
                  <w:vAlign w:val="center"/>
                </w:tcPr>
                <w:p>
                  <w:pPr>
                    <w:pStyle w:val="51"/>
                    <w:kinsoku w:val="0"/>
                    <w:topLinePunct/>
                    <w:spacing w:line="240" w:lineRule="auto"/>
                    <w:contextualSpacing/>
                    <w:jc w:val="center"/>
                    <w:rPr>
                      <w:rFonts w:ascii="Times New Roman" w:hAnsi="Times New Roman"/>
                      <w:spacing w:val="-6"/>
                      <w:sz w:val="21"/>
                      <w:szCs w:val="21"/>
                      <w:lang w:eastAsia="zh-CN"/>
                    </w:rPr>
                  </w:pPr>
                  <w:r>
                    <w:rPr>
                      <w:rFonts w:ascii="Times New Roman" w:hAnsi="Times New Roman"/>
                      <w:spacing w:val="-6"/>
                      <w:sz w:val="21"/>
                      <w:szCs w:val="21"/>
                      <w:lang w:eastAsia="zh-CN"/>
                    </w:rPr>
                    <w:t>废手套、含油抹布，废机油等</w:t>
                  </w:r>
                </w:p>
              </w:tc>
              <w:tc>
                <w:tcPr>
                  <w:tcW w:w="1701" w:type="dxa"/>
                  <w:vMerge w:val="continue"/>
                  <w:vAlign w:val="center"/>
                </w:tcPr>
                <w:p>
                  <w:pPr>
                    <w:pStyle w:val="51"/>
                    <w:kinsoku w:val="0"/>
                    <w:overflowPunct w:val="0"/>
                    <w:spacing w:line="240" w:lineRule="auto"/>
                    <w:contextualSpacing/>
                    <w:jc w:val="center"/>
                    <w:rPr>
                      <w:rFonts w:ascii="Times New Roman" w:hAnsi="Times New Roman"/>
                      <w:spacing w:val="-1"/>
                      <w:sz w:val="21"/>
                      <w:szCs w:val="21"/>
                      <w:lang w:eastAsia="zh-CN"/>
                    </w:rPr>
                  </w:pPr>
                </w:p>
              </w:tc>
              <w:tc>
                <w:tcPr>
                  <w:tcW w:w="1295" w:type="dxa"/>
                  <w:vAlign w:val="center"/>
                </w:tcPr>
                <w:p>
                  <w:pPr>
                    <w:pStyle w:val="51"/>
                    <w:kinsoku w:val="0"/>
                    <w:overflowPunct w:val="0"/>
                    <w:spacing w:line="240" w:lineRule="auto"/>
                    <w:contextualSpacing/>
                    <w:jc w:val="center"/>
                    <w:rPr>
                      <w:rFonts w:ascii="Times New Roman" w:hAnsi="Times New Roman"/>
                      <w:spacing w:val="-1"/>
                      <w:sz w:val="21"/>
                      <w:szCs w:val="21"/>
                      <w:lang w:eastAsia="zh-CN"/>
                    </w:rPr>
                  </w:pPr>
                  <w:r>
                    <w:rPr>
                      <w:rFonts w:ascii="Times New Roman" w:hAnsi="Times New Roman"/>
                      <w:spacing w:val="-1"/>
                      <w:sz w:val="21"/>
                      <w:szCs w:val="21"/>
                    </w:rPr>
                    <w:t>0.0</w:t>
                  </w:r>
                  <w:r>
                    <w:rPr>
                      <w:rFonts w:hint="eastAsia" w:ascii="Times New Roman" w:hAnsi="Times New Roman"/>
                      <w:spacing w:val="-1"/>
                      <w:sz w:val="21"/>
                      <w:szCs w:val="21"/>
                      <w:lang w:eastAsia="zh-CN"/>
                    </w:rPr>
                    <w:t>2</w:t>
                  </w:r>
                  <w:r>
                    <w:rPr>
                      <w:rFonts w:ascii="Times New Roman" w:hAnsi="Times New Roman"/>
                      <w:spacing w:val="-1"/>
                      <w:sz w:val="21"/>
                      <w:szCs w:val="21"/>
                    </w:rPr>
                    <w:t>t/a</w:t>
                  </w:r>
                </w:p>
              </w:tc>
              <w:tc>
                <w:tcPr>
                  <w:tcW w:w="1176" w:type="dxa"/>
                  <w:vMerge w:val="continue"/>
                  <w:vAlign w:val="center"/>
                </w:tcPr>
                <w:p>
                  <w:pPr>
                    <w:kinsoku w:val="0"/>
                    <w:overflowPunct w:val="0"/>
                    <w:spacing w:line="240" w:lineRule="auto"/>
                    <w:contextualSpacing/>
                    <w:jc w:val="center"/>
                    <w:rPr>
                      <w:spacing w:val="-1"/>
                      <w:sz w:val="21"/>
                      <w:szCs w:val="21"/>
                    </w:rPr>
                  </w:pPr>
                </w:p>
              </w:tc>
              <w:tc>
                <w:tcPr>
                  <w:tcW w:w="1225" w:type="dxa"/>
                  <w:vAlign w:val="center"/>
                </w:tcPr>
                <w:p>
                  <w:pPr>
                    <w:pStyle w:val="51"/>
                    <w:kinsoku w:val="0"/>
                    <w:overflowPunct w:val="0"/>
                    <w:spacing w:line="240" w:lineRule="auto"/>
                    <w:contextualSpacing/>
                    <w:jc w:val="center"/>
                    <w:rPr>
                      <w:rFonts w:ascii="Times New Roman" w:hAnsi="Times New Roman"/>
                      <w:sz w:val="21"/>
                      <w:szCs w:val="21"/>
                      <w:lang w:eastAsia="zh-CN"/>
                    </w:rPr>
                  </w:pPr>
                  <w:r>
                    <w:rPr>
                      <w:rFonts w:ascii="Times New Roman" w:hAnsi="Times New Roman"/>
                    </w:rPr>
                    <w:t>HW49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00" w:type="dxa"/>
                  <w:vAlign w:val="center"/>
                </w:tcPr>
                <w:p>
                  <w:pPr>
                    <w:pStyle w:val="51"/>
                    <w:kinsoku w:val="0"/>
                    <w:overflowPunct w:val="0"/>
                    <w:spacing w:line="240" w:lineRule="auto"/>
                    <w:contextualSpacing/>
                    <w:jc w:val="center"/>
                    <w:rPr>
                      <w:rFonts w:ascii="Times New Roman" w:hAnsi="Times New Roman"/>
                      <w:spacing w:val="-1"/>
                      <w:sz w:val="21"/>
                      <w:szCs w:val="21"/>
                      <w:lang w:eastAsia="zh-CN"/>
                    </w:rPr>
                  </w:pPr>
                  <w:r>
                    <w:rPr>
                      <w:rFonts w:hint="eastAsia" w:ascii="Times New Roman" w:hAnsi="Times New Roman"/>
                      <w:spacing w:val="-1"/>
                      <w:sz w:val="21"/>
                      <w:szCs w:val="21"/>
                      <w:lang w:eastAsia="zh-CN"/>
                    </w:rPr>
                    <w:t>3</w:t>
                  </w:r>
                </w:p>
              </w:tc>
              <w:tc>
                <w:tcPr>
                  <w:tcW w:w="1065" w:type="dxa"/>
                  <w:vAlign w:val="center"/>
                </w:tcPr>
                <w:p>
                  <w:pPr>
                    <w:pStyle w:val="51"/>
                    <w:kinsoku w:val="0"/>
                    <w:overflowPunct w:val="0"/>
                    <w:spacing w:line="240" w:lineRule="auto"/>
                    <w:contextualSpacing/>
                    <w:jc w:val="center"/>
                    <w:rPr>
                      <w:rFonts w:ascii="Times New Roman" w:hAnsi="Times New Roman"/>
                      <w:sz w:val="21"/>
                      <w:szCs w:val="21"/>
                    </w:rPr>
                  </w:pPr>
                  <w:r>
                    <w:rPr>
                      <w:rFonts w:ascii="Times New Roman" w:hAnsi="Times New Roman"/>
                      <w:spacing w:val="-1"/>
                      <w:sz w:val="21"/>
                      <w:szCs w:val="21"/>
                      <w:lang w:eastAsia="zh-CN"/>
                    </w:rPr>
                    <w:t>员工</w:t>
                  </w:r>
                  <w:r>
                    <w:rPr>
                      <w:rFonts w:ascii="Times New Roman" w:hAnsi="Times New Roman"/>
                      <w:spacing w:val="-1"/>
                      <w:sz w:val="21"/>
                      <w:szCs w:val="21"/>
                    </w:rPr>
                    <w:t>生活</w:t>
                  </w:r>
                </w:p>
              </w:tc>
              <w:tc>
                <w:tcPr>
                  <w:tcW w:w="1843" w:type="dxa"/>
                  <w:vAlign w:val="center"/>
                </w:tcPr>
                <w:p>
                  <w:pPr>
                    <w:pStyle w:val="51"/>
                    <w:kinsoku w:val="0"/>
                    <w:overflowPunct w:val="0"/>
                    <w:spacing w:line="240" w:lineRule="auto"/>
                    <w:contextualSpacing/>
                    <w:jc w:val="center"/>
                    <w:rPr>
                      <w:rFonts w:ascii="Times New Roman" w:hAnsi="Times New Roman"/>
                      <w:sz w:val="21"/>
                      <w:szCs w:val="21"/>
                    </w:rPr>
                  </w:pPr>
                  <w:r>
                    <w:rPr>
                      <w:rFonts w:ascii="Times New Roman" w:hAnsi="Times New Roman"/>
                      <w:sz w:val="21"/>
                      <w:szCs w:val="21"/>
                    </w:rPr>
                    <w:t>生活垃圾</w:t>
                  </w:r>
                </w:p>
              </w:tc>
              <w:tc>
                <w:tcPr>
                  <w:tcW w:w="1701" w:type="dxa"/>
                  <w:vAlign w:val="center"/>
                </w:tcPr>
                <w:p>
                  <w:pPr>
                    <w:pStyle w:val="51"/>
                    <w:kinsoku w:val="0"/>
                    <w:overflowPunct w:val="0"/>
                    <w:spacing w:line="240" w:lineRule="auto"/>
                    <w:contextualSpacing/>
                    <w:jc w:val="center"/>
                    <w:rPr>
                      <w:rFonts w:ascii="Times New Roman" w:hAnsi="Times New Roman"/>
                      <w:spacing w:val="-1"/>
                      <w:sz w:val="21"/>
                      <w:szCs w:val="21"/>
                    </w:rPr>
                  </w:pPr>
                  <w:r>
                    <w:rPr>
                      <w:rFonts w:ascii="Times New Roman" w:hAnsi="Times New Roman"/>
                      <w:spacing w:val="-1"/>
                      <w:sz w:val="21"/>
                      <w:szCs w:val="21"/>
                    </w:rPr>
                    <w:t>废纸、果皮等</w:t>
                  </w:r>
                </w:p>
              </w:tc>
              <w:tc>
                <w:tcPr>
                  <w:tcW w:w="1295" w:type="dxa"/>
                  <w:vAlign w:val="center"/>
                </w:tcPr>
                <w:p>
                  <w:pPr>
                    <w:pStyle w:val="51"/>
                    <w:kinsoku w:val="0"/>
                    <w:overflowPunct w:val="0"/>
                    <w:spacing w:line="240" w:lineRule="auto"/>
                    <w:contextualSpacing/>
                    <w:jc w:val="center"/>
                    <w:rPr>
                      <w:rFonts w:ascii="Times New Roman" w:hAnsi="Times New Roman"/>
                      <w:spacing w:val="-1"/>
                      <w:sz w:val="21"/>
                      <w:szCs w:val="21"/>
                    </w:rPr>
                  </w:pPr>
                  <w:r>
                    <w:rPr>
                      <w:rFonts w:ascii="Times New Roman" w:hAnsi="Times New Roman"/>
                      <w:spacing w:val="-1"/>
                      <w:sz w:val="21"/>
                      <w:szCs w:val="21"/>
                      <w:lang w:eastAsia="zh-CN"/>
                    </w:rPr>
                    <w:t>0.78</w:t>
                  </w:r>
                  <w:r>
                    <w:rPr>
                      <w:rFonts w:ascii="Times New Roman" w:hAnsi="Times New Roman"/>
                      <w:spacing w:val="-1"/>
                      <w:sz w:val="21"/>
                      <w:szCs w:val="21"/>
                    </w:rPr>
                    <w:t>t/a</w:t>
                  </w:r>
                </w:p>
              </w:tc>
              <w:tc>
                <w:tcPr>
                  <w:tcW w:w="1176" w:type="dxa"/>
                  <w:vAlign w:val="center"/>
                </w:tcPr>
                <w:p>
                  <w:pPr>
                    <w:kinsoku w:val="0"/>
                    <w:overflowPunct w:val="0"/>
                    <w:spacing w:line="240" w:lineRule="auto"/>
                    <w:contextualSpacing/>
                    <w:jc w:val="center"/>
                    <w:rPr>
                      <w:spacing w:val="-1"/>
                      <w:sz w:val="21"/>
                      <w:szCs w:val="21"/>
                    </w:rPr>
                  </w:pPr>
                  <w:r>
                    <w:rPr>
                      <w:spacing w:val="-1"/>
                      <w:sz w:val="21"/>
                      <w:szCs w:val="21"/>
                    </w:rPr>
                    <w:t>一般固废</w:t>
                  </w:r>
                </w:p>
              </w:tc>
              <w:tc>
                <w:tcPr>
                  <w:tcW w:w="1225" w:type="dxa"/>
                  <w:vAlign w:val="center"/>
                </w:tcPr>
                <w:p>
                  <w:pPr>
                    <w:pStyle w:val="51"/>
                    <w:kinsoku w:val="0"/>
                    <w:overflowPunct w:val="0"/>
                    <w:spacing w:line="240" w:lineRule="auto"/>
                    <w:contextualSpacing/>
                    <w:jc w:val="center"/>
                    <w:rPr>
                      <w:rFonts w:ascii="Times New Roman" w:hAnsi="Times New Roman"/>
                      <w:sz w:val="21"/>
                      <w:szCs w:val="21"/>
                    </w:rPr>
                  </w:pPr>
                  <w:r>
                    <w:rPr>
                      <w:rFonts w:ascii="Times New Roman" w:hAnsi="Times New Roman"/>
                      <w:sz w:val="21"/>
                      <w:szCs w:val="21"/>
                    </w:rPr>
                    <w:t>/</w:t>
                  </w:r>
                </w:p>
              </w:tc>
            </w:tr>
          </w:tbl>
          <w:p>
            <w:pPr>
              <w:pStyle w:val="2"/>
              <w:widowControl w:val="0"/>
              <w:outlineLvl w:val="1"/>
            </w:pPr>
          </w:p>
        </w:tc>
      </w:tr>
    </w:tbl>
    <w:p>
      <w:pPr>
        <w:sectPr>
          <w:pgSz w:w="11906" w:h="16838"/>
          <w:pgMar w:top="1440" w:right="1797" w:bottom="1440" w:left="1797" w:header="1191" w:footer="1191" w:gutter="0"/>
          <w:cols w:space="425" w:num="1"/>
          <w:docGrid w:type="linesAndChars" w:linePitch="312" w:charSpace="0"/>
        </w:sectPr>
      </w:pPr>
    </w:p>
    <w:p>
      <w:pPr>
        <w:keepNext/>
        <w:keepLines/>
        <w:outlineLvl w:val="0"/>
        <w:rPr>
          <w:rFonts w:asciiTheme="minorEastAsia" w:hAnsiTheme="minorEastAsia" w:eastAsiaTheme="minorEastAsia"/>
          <w:b/>
          <w:bCs/>
          <w:kern w:val="44"/>
        </w:rPr>
      </w:pPr>
      <w:bookmarkStart w:id="62" w:name="_Toc8611"/>
      <w:r>
        <w:rPr>
          <w:rFonts w:asciiTheme="minorEastAsia" w:hAnsiTheme="minorEastAsia" w:eastAsiaTheme="minorEastAsia"/>
          <w:b/>
          <w:bCs/>
          <w:kern w:val="44"/>
        </w:rPr>
        <w:t>项目主要污染物产生及预计排放情况</w:t>
      </w:r>
      <w:bookmarkEnd w:id="62"/>
    </w:p>
    <w:tbl>
      <w:tblPr>
        <w:tblStyle w:val="33"/>
        <w:tblW w:w="9498"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978"/>
        <w:gridCol w:w="6"/>
        <w:gridCol w:w="1418"/>
        <w:gridCol w:w="2551"/>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135" w:type="dxa"/>
            <w:vAlign w:val="center"/>
          </w:tcPr>
          <w:p>
            <w:pPr>
              <w:widowControl w:val="0"/>
              <w:spacing w:line="240" w:lineRule="auto"/>
              <w:jc w:val="center"/>
              <w:rPr>
                <w:rFonts w:eastAsiaTheme="minorEastAsia"/>
              </w:rPr>
            </w:pPr>
            <w:r>
              <w:rPr>
                <w:rFonts w:eastAsiaTheme="minorEastAsia"/>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10160</wp:posOffset>
                      </wp:positionV>
                      <wp:extent cx="692150" cy="457200"/>
                      <wp:effectExtent l="0" t="0" r="31750" b="19050"/>
                      <wp:wrapNone/>
                      <wp:docPr id="5"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692150" cy="457200"/>
                              </a:xfrm>
                              <a:prstGeom prst="line">
                                <a:avLst/>
                              </a:prstGeom>
                              <a:noFill/>
                              <a:ln w="9525">
                                <a:solidFill>
                                  <a:srgbClr val="000000"/>
                                </a:solidFill>
                                <a:round/>
                              </a:ln>
                            </wps:spPr>
                            <wps:bodyPr/>
                          </wps:wsp>
                        </a:graphicData>
                      </a:graphic>
                    </wp:anchor>
                  </w:drawing>
                </mc:Choice>
                <mc:Fallback>
                  <w:pict>
                    <v:line id="直接连接符 4" o:spid="_x0000_s1026" o:spt="20" style="position:absolute;left:0pt;margin-left:-4.5pt;margin-top:0.8pt;height:36pt;width:54.5pt;z-index:251660288;mso-width-relative:page;mso-height-relative:page;" filled="f" stroked="t" coordsize="21600,21600" o:gfxdata="UEsDBAoAAAAAAIdO4kAAAAAAAAAAAAAAAAAEAAAAZHJzL1BLAwQUAAAACACHTuJAXeTJ2NUAAAAH&#10;AQAADwAAAGRycy9kb3ducmV2LnhtbE2PzU7DMBCE70i8g7VIXKrWbiuFEuL0AOTGhQLqdRsvSUS8&#10;TmP3B56e7QmOs7Oa+aZYn32vjjTGLrCF+cyAIq6D67ix8P5WTVegYkJ22AcmC98UYV1eXxWYu3Di&#10;VzpuUqMkhGOOFtqUhlzrWLfkMc7CQCzeZxg9JpFjo92IJwn3vV4Yk2mPHUtDiwM9tlR/bQ7eQqw+&#10;aF/9TOqJ2S6bQIv908szWnt7MzcPoBKd098zXPAFHUph2oUDu6h6C9N7mZLknoG62MaI3lm4W2ag&#10;y0L/5y9/AVBLAwQUAAAACACHTuJAh/fRj80BAABgAwAADgAAAGRycy9lMm9Eb2MueG1srVPNbhMx&#10;EL4j8Q6W72STqFvoKpseUpVLgUgtDzCxvVkLr8eynezmJXgBJG5w4sidt6E8BmPnh7bcEDmMYs/M&#10;N/N9n3d2OXSGbZUPGm3NJ6MxZ8oKlNqua/7+7vrFK85CBCvBoFU136nAL+fPn816V6kptmik8oxA&#10;bKh6V/M2RlcVRRCt6iCM0ClLyQZ9B5GOfl1IDz2hd6aYjsfnRY9eOo9ChUC3V/skn2f8plEivmua&#10;oCIzNafdYo4+x1WKxXwG1dqDa7U4rAH/sEUH2tLQE9QVRGAbr/+C6rTwGLCJI4FdgU2jhcociM1k&#10;/ITNbQtOZS4kTnAnmcL/gxVvt0vPtKx5yZmFjiy6//T958cvv358pnj/7Ss7SyL1LlRUu7BLn2iK&#10;wd66GxQfArO4aMGuVV72bucIYZI6ikct6RAcjVr1b1BSDWwiZsWGxncJkrRgQzZmdzJGDZEJujy/&#10;mE5Ksk9Q6qx8ScbnCVAdm50P8bXCjqU/NTfaJt2ggu1NiGkZqI4l6dritTYme28s62t+UU7L3BDQ&#10;aJmSqSz49WphPNtCej35d5j7qMzjxsr9EGMPxBPXvWorlLulPwpCNuZtDk8uvZOH59z958OY/w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d5MnY1QAAAAcBAAAPAAAAAAAAAAEAIAAAACIAAABkcnMv&#10;ZG93bnJldi54bWxQSwECFAAUAAAACACHTuJAh/fRj80BAABgAwAADgAAAAAAAAABACAAAAAkAQAA&#10;ZHJzL2Uyb0RvYy54bWxQSwUGAAAAAAYABgBZAQAAYwUAAAAA&#10;">
                      <v:fill on="f" focussize="0,0"/>
                      <v:stroke color="#000000" joinstyle="round"/>
                      <v:imagedata o:title=""/>
                      <o:lock v:ext="edit" aspectratio="f"/>
                    </v:line>
                  </w:pict>
                </mc:Fallback>
              </mc:AlternateContent>
            </w:r>
            <w:r>
              <w:rPr>
                <w:rFonts w:eastAsiaTheme="minorEastAsia"/>
              </w:rPr>
              <w:t>内容</w:t>
            </w:r>
          </w:p>
          <w:p>
            <w:pPr>
              <w:widowControl w:val="0"/>
              <w:spacing w:line="240" w:lineRule="auto"/>
              <w:rPr>
                <w:rFonts w:eastAsiaTheme="minorEastAsia"/>
              </w:rPr>
            </w:pPr>
            <w:r>
              <w:rPr>
                <w:rFonts w:eastAsiaTheme="minorEastAsia"/>
              </w:rPr>
              <w:t>类型</w:t>
            </w:r>
          </w:p>
        </w:tc>
        <w:tc>
          <w:tcPr>
            <w:tcW w:w="1984" w:type="dxa"/>
            <w:gridSpan w:val="2"/>
            <w:vAlign w:val="center"/>
          </w:tcPr>
          <w:p>
            <w:pPr>
              <w:widowControl w:val="0"/>
              <w:spacing w:line="240" w:lineRule="auto"/>
              <w:jc w:val="center"/>
              <w:rPr>
                <w:rFonts w:eastAsiaTheme="minorEastAsia"/>
              </w:rPr>
            </w:pPr>
            <w:r>
              <w:rPr>
                <w:rFonts w:eastAsiaTheme="minorEastAsia"/>
              </w:rPr>
              <w:t>排放源</w:t>
            </w:r>
          </w:p>
        </w:tc>
        <w:tc>
          <w:tcPr>
            <w:tcW w:w="1418" w:type="dxa"/>
            <w:vAlign w:val="center"/>
          </w:tcPr>
          <w:p>
            <w:pPr>
              <w:widowControl w:val="0"/>
              <w:spacing w:line="240" w:lineRule="auto"/>
              <w:jc w:val="center"/>
              <w:rPr>
                <w:rFonts w:eastAsiaTheme="minorEastAsia"/>
              </w:rPr>
            </w:pPr>
            <w:r>
              <w:rPr>
                <w:rFonts w:eastAsiaTheme="minorEastAsia"/>
              </w:rPr>
              <w:t>污染物名称</w:t>
            </w:r>
          </w:p>
        </w:tc>
        <w:tc>
          <w:tcPr>
            <w:tcW w:w="2551" w:type="dxa"/>
            <w:vAlign w:val="center"/>
          </w:tcPr>
          <w:p>
            <w:pPr>
              <w:widowControl w:val="0"/>
              <w:spacing w:line="240" w:lineRule="auto"/>
              <w:jc w:val="center"/>
              <w:rPr>
                <w:rFonts w:eastAsiaTheme="minorEastAsia"/>
              </w:rPr>
            </w:pPr>
            <w:r>
              <w:rPr>
                <w:rFonts w:eastAsiaTheme="minorEastAsia"/>
              </w:rPr>
              <w:t>处理前产生浓度及产生量</w:t>
            </w:r>
          </w:p>
        </w:tc>
        <w:tc>
          <w:tcPr>
            <w:tcW w:w="2410" w:type="dxa"/>
            <w:vAlign w:val="center"/>
          </w:tcPr>
          <w:p>
            <w:pPr>
              <w:widowControl w:val="0"/>
              <w:spacing w:line="240" w:lineRule="auto"/>
              <w:jc w:val="center"/>
              <w:rPr>
                <w:rFonts w:eastAsiaTheme="minorEastAsia"/>
              </w:rPr>
            </w:pPr>
            <w:r>
              <w:rPr>
                <w:rFonts w:eastAsiaTheme="minorEastAsia"/>
              </w:rPr>
              <w:t>排放浓度及排放量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restart"/>
            <w:vAlign w:val="center"/>
          </w:tcPr>
          <w:p>
            <w:pPr>
              <w:widowControl w:val="0"/>
              <w:spacing w:line="240" w:lineRule="auto"/>
              <w:jc w:val="center"/>
              <w:rPr>
                <w:rFonts w:eastAsiaTheme="minorEastAsia"/>
              </w:rPr>
            </w:pPr>
            <w:r>
              <w:rPr>
                <w:rFonts w:eastAsiaTheme="minorEastAsia"/>
              </w:rPr>
              <w:t>大</w:t>
            </w:r>
          </w:p>
          <w:p>
            <w:pPr>
              <w:widowControl w:val="0"/>
              <w:spacing w:line="240" w:lineRule="auto"/>
              <w:jc w:val="center"/>
              <w:rPr>
                <w:rFonts w:eastAsiaTheme="minorEastAsia"/>
              </w:rPr>
            </w:pPr>
            <w:r>
              <w:rPr>
                <w:rFonts w:eastAsiaTheme="minorEastAsia"/>
              </w:rPr>
              <w:t>气</w:t>
            </w:r>
          </w:p>
          <w:p>
            <w:pPr>
              <w:widowControl w:val="0"/>
              <w:spacing w:line="240" w:lineRule="auto"/>
              <w:jc w:val="center"/>
              <w:rPr>
                <w:rFonts w:eastAsiaTheme="minorEastAsia"/>
              </w:rPr>
            </w:pPr>
            <w:r>
              <w:rPr>
                <w:rFonts w:eastAsiaTheme="minorEastAsia"/>
              </w:rPr>
              <w:t>污</w:t>
            </w:r>
          </w:p>
          <w:p>
            <w:pPr>
              <w:widowControl w:val="0"/>
              <w:spacing w:line="240" w:lineRule="auto"/>
              <w:jc w:val="center"/>
              <w:rPr>
                <w:rFonts w:eastAsiaTheme="minorEastAsia"/>
              </w:rPr>
            </w:pPr>
            <w:r>
              <w:rPr>
                <w:rFonts w:eastAsiaTheme="minorEastAsia"/>
              </w:rPr>
              <w:t>染</w:t>
            </w:r>
          </w:p>
          <w:p>
            <w:pPr>
              <w:widowControl w:val="0"/>
              <w:spacing w:line="240" w:lineRule="auto"/>
              <w:jc w:val="center"/>
              <w:rPr>
                <w:rFonts w:eastAsiaTheme="minorEastAsia"/>
              </w:rPr>
            </w:pPr>
            <w:r>
              <w:rPr>
                <w:rFonts w:eastAsiaTheme="minorEastAsia"/>
              </w:rPr>
              <w:t>物</w:t>
            </w:r>
          </w:p>
        </w:tc>
        <w:tc>
          <w:tcPr>
            <w:tcW w:w="1984" w:type="dxa"/>
            <w:gridSpan w:val="2"/>
            <w:vAlign w:val="center"/>
          </w:tcPr>
          <w:p>
            <w:pPr>
              <w:widowControl w:val="0"/>
              <w:spacing w:line="240" w:lineRule="auto"/>
              <w:jc w:val="center"/>
            </w:pPr>
            <w:r>
              <w:t>破碎筛分工序</w:t>
            </w:r>
          </w:p>
        </w:tc>
        <w:tc>
          <w:tcPr>
            <w:tcW w:w="1418" w:type="dxa"/>
            <w:vAlign w:val="center"/>
          </w:tcPr>
          <w:p>
            <w:pPr>
              <w:widowControl w:val="0"/>
              <w:spacing w:line="240" w:lineRule="auto"/>
              <w:jc w:val="center"/>
              <w:rPr>
                <w:rFonts w:eastAsiaTheme="minorEastAsia"/>
              </w:rPr>
            </w:pPr>
            <w:r>
              <w:rPr>
                <w:rFonts w:eastAsiaTheme="minorEastAsia"/>
              </w:rPr>
              <w:t>粉尘</w:t>
            </w:r>
          </w:p>
        </w:tc>
        <w:tc>
          <w:tcPr>
            <w:tcW w:w="2551" w:type="dxa"/>
            <w:vAlign w:val="center"/>
          </w:tcPr>
          <w:p>
            <w:pPr>
              <w:widowControl w:val="0"/>
              <w:spacing w:line="240" w:lineRule="auto"/>
              <w:jc w:val="center"/>
              <w:rPr>
                <w:rFonts w:eastAsiaTheme="minorEastAsia"/>
              </w:rPr>
            </w:pPr>
            <w:r>
              <w:rPr>
                <w:rFonts w:hint="eastAsia" w:eastAsiaTheme="minorEastAsia"/>
              </w:rPr>
              <w:t>1.5</w:t>
            </w:r>
            <w:r>
              <w:rPr>
                <w:rFonts w:eastAsiaTheme="minorEastAsia"/>
              </w:rPr>
              <w:t>t/a</w:t>
            </w:r>
          </w:p>
        </w:tc>
        <w:tc>
          <w:tcPr>
            <w:tcW w:w="2410" w:type="dxa"/>
            <w:vAlign w:val="center"/>
          </w:tcPr>
          <w:p>
            <w:pPr>
              <w:widowControl w:val="0"/>
              <w:spacing w:line="240" w:lineRule="auto"/>
              <w:jc w:val="center"/>
              <w:rPr>
                <w:rFonts w:eastAsiaTheme="minorEastAsia"/>
              </w:rPr>
            </w:pPr>
            <w:r>
              <w:rPr>
                <w:rFonts w:eastAsiaTheme="minorEastAsia"/>
              </w:rPr>
              <w:t>0.045t/a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widowControl w:val="0"/>
              <w:spacing w:line="240" w:lineRule="auto"/>
              <w:jc w:val="center"/>
              <w:rPr>
                <w:rFonts w:eastAsiaTheme="minorEastAsia"/>
              </w:rPr>
            </w:pPr>
          </w:p>
        </w:tc>
        <w:tc>
          <w:tcPr>
            <w:tcW w:w="1984" w:type="dxa"/>
            <w:gridSpan w:val="2"/>
            <w:vAlign w:val="center"/>
          </w:tcPr>
          <w:p>
            <w:pPr>
              <w:widowControl w:val="0"/>
              <w:spacing w:line="240" w:lineRule="auto"/>
              <w:jc w:val="center"/>
            </w:pPr>
            <w:r>
              <w:t>制砂</w:t>
            </w:r>
            <w:r>
              <w:rPr>
                <w:rFonts w:hint="eastAsia"/>
              </w:rPr>
              <w:t>工序</w:t>
            </w:r>
          </w:p>
        </w:tc>
        <w:tc>
          <w:tcPr>
            <w:tcW w:w="1418" w:type="dxa"/>
            <w:vAlign w:val="center"/>
          </w:tcPr>
          <w:p>
            <w:pPr>
              <w:widowControl w:val="0"/>
              <w:spacing w:line="240" w:lineRule="auto"/>
              <w:jc w:val="center"/>
              <w:rPr>
                <w:rFonts w:eastAsiaTheme="minorEastAsia"/>
              </w:rPr>
            </w:pPr>
            <w:r>
              <w:rPr>
                <w:rFonts w:eastAsiaTheme="minorEastAsia"/>
              </w:rPr>
              <w:t>粉尘</w:t>
            </w:r>
          </w:p>
        </w:tc>
        <w:tc>
          <w:tcPr>
            <w:tcW w:w="2551" w:type="dxa"/>
            <w:vAlign w:val="center"/>
          </w:tcPr>
          <w:p>
            <w:pPr>
              <w:widowControl w:val="0"/>
              <w:spacing w:line="240" w:lineRule="auto"/>
              <w:jc w:val="center"/>
              <w:rPr>
                <w:rFonts w:eastAsiaTheme="minorEastAsia"/>
              </w:rPr>
            </w:pPr>
            <w:r>
              <w:rPr>
                <w:rFonts w:hint="eastAsia" w:eastAsiaTheme="minorEastAsia"/>
              </w:rPr>
              <w:t>3.0t/a</w:t>
            </w:r>
          </w:p>
        </w:tc>
        <w:tc>
          <w:tcPr>
            <w:tcW w:w="2410" w:type="dxa"/>
            <w:vAlign w:val="center"/>
          </w:tcPr>
          <w:p>
            <w:pPr>
              <w:widowControl w:val="0"/>
              <w:spacing w:line="240" w:lineRule="auto"/>
              <w:jc w:val="center"/>
              <w:rPr>
                <w:rFonts w:eastAsiaTheme="minorEastAsia"/>
              </w:rPr>
            </w:pPr>
            <w:r>
              <w:rPr>
                <w:rFonts w:hint="eastAsia" w:eastAsiaTheme="minorEastAsia"/>
              </w:rPr>
              <w:t>0.</w:t>
            </w:r>
            <w:r>
              <w:rPr>
                <w:rFonts w:eastAsiaTheme="minorEastAsia"/>
              </w:rPr>
              <w:t>12</w:t>
            </w:r>
            <w:r>
              <w:rPr>
                <w:rFonts w:hint="eastAsia" w:eastAsiaTheme="minorEastAsia"/>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widowControl w:val="0"/>
              <w:spacing w:line="240" w:lineRule="auto"/>
              <w:jc w:val="center"/>
              <w:rPr>
                <w:rFonts w:eastAsiaTheme="minorEastAsia"/>
              </w:rPr>
            </w:pPr>
          </w:p>
        </w:tc>
        <w:tc>
          <w:tcPr>
            <w:tcW w:w="1984" w:type="dxa"/>
            <w:gridSpan w:val="2"/>
            <w:vAlign w:val="center"/>
          </w:tcPr>
          <w:p>
            <w:pPr>
              <w:widowControl w:val="0"/>
              <w:spacing w:line="240" w:lineRule="auto"/>
              <w:jc w:val="center"/>
            </w:pPr>
            <w:r>
              <w:rPr>
                <w:rFonts w:hint="eastAsia"/>
              </w:rPr>
              <w:t>产品区</w:t>
            </w:r>
            <w:r>
              <w:t>装卸粉尘</w:t>
            </w:r>
          </w:p>
        </w:tc>
        <w:tc>
          <w:tcPr>
            <w:tcW w:w="1418" w:type="dxa"/>
            <w:vAlign w:val="center"/>
          </w:tcPr>
          <w:p>
            <w:pPr>
              <w:widowControl w:val="0"/>
              <w:spacing w:line="240" w:lineRule="auto"/>
              <w:jc w:val="center"/>
              <w:rPr>
                <w:rFonts w:eastAsiaTheme="minorEastAsia"/>
              </w:rPr>
            </w:pPr>
            <w:r>
              <w:rPr>
                <w:rFonts w:eastAsiaTheme="minorEastAsia"/>
              </w:rPr>
              <w:t>粉尘</w:t>
            </w:r>
          </w:p>
        </w:tc>
        <w:tc>
          <w:tcPr>
            <w:tcW w:w="2551" w:type="dxa"/>
            <w:vAlign w:val="center"/>
          </w:tcPr>
          <w:p>
            <w:pPr>
              <w:widowControl w:val="0"/>
              <w:spacing w:line="240" w:lineRule="auto"/>
              <w:jc w:val="center"/>
              <w:rPr>
                <w:rFonts w:eastAsiaTheme="minorEastAsia"/>
              </w:rPr>
            </w:pPr>
            <w:r>
              <w:rPr>
                <w:rFonts w:hint="eastAsia" w:eastAsiaTheme="minorEastAsia"/>
              </w:rPr>
              <w:t>0.3</w:t>
            </w:r>
            <w:r>
              <w:rPr>
                <w:rFonts w:eastAsiaTheme="minorEastAsia"/>
              </w:rPr>
              <w:t>t/a</w:t>
            </w:r>
          </w:p>
        </w:tc>
        <w:tc>
          <w:tcPr>
            <w:tcW w:w="2410" w:type="dxa"/>
            <w:vAlign w:val="center"/>
          </w:tcPr>
          <w:p>
            <w:pPr>
              <w:widowControl w:val="0"/>
              <w:spacing w:line="240" w:lineRule="auto"/>
              <w:jc w:val="center"/>
              <w:rPr>
                <w:rFonts w:eastAsiaTheme="minorEastAsia"/>
              </w:rPr>
            </w:pPr>
            <w:r>
              <w:rPr>
                <w:rFonts w:hint="eastAsia" w:eastAsiaTheme="minorEastAsia"/>
              </w:rPr>
              <w:t>0.0</w:t>
            </w:r>
            <w:r>
              <w:rPr>
                <w:rFonts w:eastAsiaTheme="minorEastAsia"/>
              </w:rPr>
              <w:t>12t/a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widowControl w:val="0"/>
              <w:spacing w:line="240" w:lineRule="auto"/>
              <w:jc w:val="center"/>
              <w:rPr>
                <w:rFonts w:eastAsiaTheme="minorEastAsia"/>
              </w:rPr>
            </w:pPr>
          </w:p>
        </w:tc>
        <w:tc>
          <w:tcPr>
            <w:tcW w:w="1984" w:type="dxa"/>
            <w:gridSpan w:val="2"/>
            <w:vAlign w:val="center"/>
          </w:tcPr>
          <w:p>
            <w:pPr>
              <w:widowControl w:val="0"/>
              <w:spacing w:line="240" w:lineRule="auto"/>
              <w:jc w:val="center"/>
            </w:pPr>
            <w:r>
              <w:t>原料区</w:t>
            </w:r>
            <w:r>
              <w:rPr>
                <w:rFonts w:hint="eastAsia"/>
              </w:rPr>
              <w:t>装卸</w:t>
            </w:r>
            <w:r>
              <w:t>粉尘</w:t>
            </w:r>
          </w:p>
        </w:tc>
        <w:tc>
          <w:tcPr>
            <w:tcW w:w="1418" w:type="dxa"/>
            <w:vAlign w:val="center"/>
          </w:tcPr>
          <w:p>
            <w:pPr>
              <w:widowControl w:val="0"/>
              <w:spacing w:line="240" w:lineRule="auto"/>
              <w:jc w:val="center"/>
              <w:rPr>
                <w:rFonts w:eastAsiaTheme="minorEastAsia"/>
              </w:rPr>
            </w:pPr>
            <w:r>
              <w:rPr>
                <w:rFonts w:eastAsiaTheme="minorEastAsia"/>
              </w:rPr>
              <w:t>粉尘</w:t>
            </w:r>
          </w:p>
        </w:tc>
        <w:tc>
          <w:tcPr>
            <w:tcW w:w="2551" w:type="dxa"/>
            <w:vAlign w:val="center"/>
          </w:tcPr>
          <w:p>
            <w:pPr>
              <w:widowControl w:val="0"/>
              <w:spacing w:line="240" w:lineRule="auto"/>
              <w:jc w:val="center"/>
              <w:rPr>
                <w:rFonts w:eastAsiaTheme="minorEastAsia"/>
              </w:rPr>
            </w:pPr>
            <w:r>
              <w:rPr>
                <w:rFonts w:hint="eastAsia" w:eastAsiaTheme="minorEastAsia"/>
              </w:rPr>
              <w:t>0.15</w:t>
            </w:r>
            <w:r>
              <w:rPr>
                <w:rFonts w:eastAsiaTheme="minorEastAsia"/>
              </w:rPr>
              <w:t>t/a</w:t>
            </w:r>
          </w:p>
        </w:tc>
        <w:tc>
          <w:tcPr>
            <w:tcW w:w="2410" w:type="dxa"/>
            <w:vAlign w:val="center"/>
          </w:tcPr>
          <w:p>
            <w:pPr>
              <w:widowControl w:val="0"/>
              <w:spacing w:line="240" w:lineRule="auto"/>
              <w:jc w:val="center"/>
              <w:rPr>
                <w:rFonts w:eastAsiaTheme="minorEastAsia"/>
              </w:rPr>
            </w:pPr>
            <w:r>
              <w:rPr>
                <w:rFonts w:hint="eastAsia" w:eastAsiaTheme="minorEastAsia"/>
              </w:rPr>
              <w:t>0.0</w:t>
            </w:r>
            <w:r>
              <w:rPr>
                <w:rFonts w:eastAsiaTheme="minorEastAsia"/>
              </w:rPr>
              <w:t>03t/a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widowControl w:val="0"/>
              <w:spacing w:line="240" w:lineRule="auto"/>
              <w:jc w:val="center"/>
              <w:rPr>
                <w:rFonts w:eastAsiaTheme="minorEastAsia"/>
              </w:rPr>
            </w:pPr>
          </w:p>
        </w:tc>
        <w:tc>
          <w:tcPr>
            <w:tcW w:w="1984" w:type="dxa"/>
            <w:gridSpan w:val="2"/>
            <w:vAlign w:val="center"/>
          </w:tcPr>
          <w:p>
            <w:pPr>
              <w:widowControl w:val="0"/>
              <w:spacing w:line="240" w:lineRule="auto"/>
              <w:jc w:val="center"/>
            </w:pPr>
            <w:r>
              <w:t>车辆运输扬尘</w:t>
            </w:r>
          </w:p>
        </w:tc>
        <w:tc>
          <w:tcPr>
            <w:tcW w:w="1418" w:type="dxa"/>
            <w:vAlign w:val="center"/>
          </w:tcPr>
          <w:p>
            <w:pPr>
              <w:widowControl w:val="0"/>
              <w:spacing w:line="240" w:lineRule="auto"/>
              <w:jc w:val="center"/>
              <w:rPr>
                <w:rFonts w:eastAsiaTheme="minorEastAsia"/>
              </w:rPr>
            </w:pPr>
            <w:r>
              <w:rPr>
                <w:rFonts w:eastAsiaTheme="minorEastAsia"/>
              </w:rPr>
              <w:t>粉尘</w:t>
            </w:r>
          </w:p>
        </w:tc>
        <w:tc>
          <w:tcPr>
            <w:tcW w:w="2551" w:type="dxa"/>
            <w:vAlign w:val="center"/>
          </w:tcPr>
          <w:p>
            <w:pPr>
              <w:widowControl w:val="0"/>
              <w:spacing w:line="240" w:lineRule="auto"/>
              <w:jc w:val="center"/>
              <w:rPr>
                <w:rFonts w:eastAsiaTheme="minorEastAsia"/>
              </w:rPr>
            </w:pPr>
            <w:r>
              <w:rPr>
                <w:rFonts w:hint="eastAsia" w:eastAsiaTheme="minorEastAsia"/>
              </w:rPr>
              <w:t>0.125</w:t>
            </w:r>
            <w:r>
              <w:rPr>
                <w:rFonts w:eastAsiaTheme="minorEastAsia"/>
              </w:rPr>
              <w:t>t/a</w:t>
            </w:r>
          </w:p>
        </w:tc>
        <w:tc>
          <w:tcPr>
            <w:tcW w:w="2410" w:type="dxa"/>
            <w:vAlign w:val="center"/>
          </w:tcPr>
          <w:p>
            <w:pPr>
              <w:widowControl w:val="0"/>
              <w:spacing w:line="240" w:lineRule="auto"/>
              <w:jc w:val="center"/>
              <w:rPr>
                <w:rFonts w:eastAsiaTheme="minorEastAsia"/>
              </w:rPr>
            </w:pPr>
            <w:r>
              <w:rPr>
                <w:rFonts w:hint="eastAsia" w:eastAsiaTheme="minorEastAsia"/>
              </w:rPr>
              <w:t>0.0</w:t>
            </w:r>
            <w:r>
              <w:rPr>
                <w:rFonts w:eastAsiaTheme="minorEastAsia"/>
              </w:rPr>
              <w:t>19t/a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widowControl w:val="0"/>
              <w:spacing w:line="240" w:lineRule="auto"/>
              <w:jc w:val="center"/>
              <w:rPr>
                <w:rFonts w:eastAsiaTheme="minorEastAsia"/>
              </w:rPr>
            </w:pPr>
          </w:p>
        </w:tc>
        <w:tc>
          <w:tcPr>
            <w:tcW w:w="1984" w:type="dxa"/>
            <w:gridSpan w:val="2"/>
            <w:vAlign w:val="center"/>
          </w:tcPr>
          <w:p>
            <w:pPr>
              <w:widowControl w:val="0"/>
              <w:spacing w:line="240" w:lineRule="auto"/>
              <w:jc w:val="center"/>
            </w:pPr>
            <w:r>
              <w:t>食堂油烟</w:t>
            </w:r>
          </w:p>
        </w:tc>
        <w:tc>
          <w:tcPr>
            <w:tcW w:w="1418" w:type="dxa"/>
            <w:vAlign w:val="center"/>
          </w:tcPr>
          <w:p>
            <w:pPr>
              <w:widowControl w:val="0"/>
              <w:spacing w:line="240" w:lineRule="auto"/>
              <w:jc w:val="center"/>
              <w:rPr>
                <w:rFonts w:eastAsiaTheme="minorEastAsia"/>
              </w:rPr>
            </w:pPr>
            <w:r>
              <w:rPr>
                <w:rFonts w:eastAsiaTheme="minorEastAsia"/>
              </w:rPr>
              <w:t>油烟</w:t>
            </w:r>
          </w:p>
        </w:tc>
        <w:tc>
          <w:tcPr>
            <w:tcW w:w="2551" w:type="dxa"/>
            <w:vAlign w:val="center"/>
          </w:tcPr>
          <w:p>
            <w:pPr>
              <w:widowControl w:val="0"/>
              <w:spacing w:line="240" w:lineRule="auto"/>
              <w:jc w:val="center"/>
              <w:rPr>
                <w:rFonts w:eastAsiaTheme="minorEastAsia"/>
              </w:rPr>
            </w:pPr>
            <w:r>
              <w:rPr>
                <w:rFonts w:hint="eastAsia" w:eastAsiaTheme="minorEastAsia"/>
              </w:rPr>
              <w:t>0.625</w:t>
            </w:r>
            <w:r>
              <w:rPr>
                <w:rFonts w:eastAsiaTheme="minorEastAsia"/>
              </w:rPr>
              <w:t>mg/m</w:t>
            </w:r>
            <w:r>
              <w:rPr>
                <w:rFonts w:eastAsiaTheme="minorEastAsia"/>
                <w:vertAlign w:val="superscript"/>
              </w:rPr>
              <w:t>3</w:t>
            </w:r>
            <w:r>
              <w:rPr>
                <w:rFonts w:hint="eastAsia" w:eastAsiaTheme="minorEastAsia"/>
              </w:rPr>
              <w:t>，1.3</w:t>
            </w:r>
            <w:r>
              <w:rPr>
                <w:rFonts w:eastAsiaTheme="minorEastAsia"/>
              </w:rPr>
              <w:t>kg/a</w:t>
            </w:r>
          </w:p>
        </w:tc>
        <w:tc>
          <w:tcPr>
            <w:tcW w:w="2410" w:type="dxa"/>
            <w:vAlign w:val="center"/>
          </w:tcPr>
          <w:p>
            <w:pPr>
              <w:widowControl w:val="0"/>
              <w:spacing w:line="240" w:lineRule="auto"/>
              <w:jc w:val="center"/>
              <w:rPr>
                <w:rFonts w:eastAsiaTheme="minorEastAsia"/>
              </w:rPr>
            </w:pPr>
            <w:r>
              <w:rPr>
                <w:rFonts w:eastAsiaTheme="minorEastAsia"/>
              </w:rPr>
              <w:t>0.</w:t>
            </w:r>
            <w:r>
              <w:rPr>
                <w:rFonts w:hint="eastAsia" w:eastAsiaTheme="minorEastAsia"/>
              </w:rPr>
              <w:t>25</w:t>
            </w:r>
            <w:r>
              <w:rPr>
                <w:rFonts w:eastAsiaTheme="minorEastAsia"/>
              </w:rPr>
              <w:t>mg/m</w:t>
            </w:r>
            <w:r>
              <w:rPr>
                <w:rFonts w:eastAsiaTheme="minorEastAsia"/>
                <w:vertAlign w:val="superscript"/>
              </w:rPr>
              <w:t>3</w:t>
            </w:r>
            <w:r>
              <w:rPr>
                <w:rFonts w:eastAsiaTheme="minorEastAsia"/>
              </w:rPr>
              <w:t>，</w:t>
            </w:r>
            <w:r>
              <w:rPr>
                <w:rFonts w:hint="eastAsia" w:eastAsiaTheme="minorEastAsia"/>
              </w:rPr>
              <w:t>0.52</w:t>
            </w:r>
            <w:r>
              <w:rPr>
                <w:rFonts w:eastAsiaTheme="minorEastAsia"/>
              </w:rPr>
              <w:t>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restart"/>
            <w:vAlign w:val="center"/>
          </w:tcPr>
          <w:p>
            <w:pPr>
              <w:widowControl w:val="0"/>
              <w:spacing w:line="240" w:lineRule="auto"/>
              <w:jc w:val="center"/>
              <w:rPr>
                <w:rFonts w:eastAsiaTheme="minorEastAsia"/>
              </w:rPr>
            </w:pPr>
            <w:r>
              <w:rPr>
                <w:rFonts w:eastAsiaTheme="minorEastAsia"/>
              </w:rPr>
              <w:t>水</w:t>
            </w:r>
          </w:p>
          <w:p>
            <w:pPr>
              <w:widowControl w:val="0"/>
              <w:spacing w:line="240" w:lineRule="auto"/>
              <w:jc w:val="center"/>
              <w:rPr>
                <w:rFonts w:eastAsiaTheme="minorEastAsia"/>
              </w:rPr>
            </w:pPr>
            <w:r>
              <w:rPr>
                <w:rFonts w:eastAsiaTheme="minorEastAsia"/>
              </w:rPr>
              <w:t>污</w:t>
            </w:r>
          </w:p>
          <w:p>
            <w:pPr>
              <w:widowControl w:val="0"/>
              <w:spacing w:line="240" w:lineRule="auto"/>
              <w:jc w:val="center"/>
              <w:rPr>
                <w:rFonts w:eastAsiaTheme="minorEastAsia"/>
              </w:rPr>
            </w:pPr>
            <w:r>
              <w:rPr>
                <w:rFonts w:eastAsiaTheme="minorEastAsia"/>
              </w:rPr>
              <w:t>染</w:t>
            </w:r>
          </w:p>
          <w:p>
            <w:pPr>
              <w:widowControl w:val="0"/>
              <w:spacing w:line="240" w:lineRule="auto"/>
              <w:jc w:val="center"/>
              <w:rPr>
                <w:rFonts w:eastAsiaTheme="minorEastAsia"/>
              </w:rPr>
            </w:pPr>
            <w:r>
              <w:rPr>
                <w:rFonts w:eastAsiaTheme="minorEastAsia"/>
              </w:rPr>
              <w:t>物</w:t>
            </w:r>
          </w:p>
        </w:tc>
        <w:tc>
          <w:tcPr>
            <w:tcW w:w="1978" w:type="dxa"/>
            <w:vMerge w:val="restart"/>
            <w:vAlign w:val="center"/>
          </w:tcPr>
          <w:p>
            <w:pPr>
              <w:widowControl w:val="0"/>
              <w:spacing w:line="240" w:lineRule="auto"/>
              <w:jc w:val="center"/>
              <w:rPr>
                <w:rFonts w:eastAsiaTheme="minorEastAsia"/>
              </w:rPr>
            </w:pPr>
            <w:r>
              <w:rPr>
                <w:rFonts w:eastAsiaTheme="minorEastAsia"/>
              </w:rPr>
              <w:t>生活污水</w:t>
            </w:r>
            <w:r>
              <w:rPr>
                <w:rFonts w:hint="eastAsia" w:eastAsiaTheme="minorEastAsia"/>
              </w:rPr>
              <w:t>（99.84</w:t>
            </w:r>
            <w:r>
              <w:rPr>
                <w:rFonts w:eastAsiaTheme="minorEastAsia"/>
              </w:rPr>
              <w:t>m</w:t>
            </w:r>
            <w:r>
              <w:rPr>
                <w:rFonts w:eastAsiaTheme="minorEastAsia"/>
                <w:vertAlign w:val="superscript"/>
              </w:rPr>
              <w:t>3</w:t>
            </w:r>
            <w:r>
              <w:rPr>
                <w:rFonts w:eastAsiaTheme="minorEastAsia"/>
              </w:rPr>
              <w:t>/a</w:t>
            </w:r>
            <w:r>
              <w:rPr>
                <w:rFonts w:hint="eastAsia" w:eastAsiaTheme="minorEastAsia"/>
              </w:rPr>
              <w:t>）</w:t>
            </w:r>
          </w:p>
        </w:tc>
        <w:tc>
          <w:tcPr>
            <w:tcW w:w="1424" w:type="dxa"/>
            <w:gridSpan w:val="2"/>
            <w:vAlign w:val="center"/>
          </w:tcPr>
          <w:p>
            <w:pPr>
              <w:widowControl w:val="0"/>
              <w:spacing w:line="240" w:lineRule="auto"/>
              <w:jc w:val="center"/>
              <w:rPr>
                <w:rFonts w:eastAsiaTheme="minorEastAsia"/>
              </w:rPr>
            </w:pPr>
            <w:r>
              <w:rPr>
                <w:rFonts w:hint="eastAsia" w:eastAsiaTheme="minorEastAsia"/>
              </w:rPr>
              <w:t>COD</w:t>
            </w:r>
          </w:p>
        </w:tc>
        <w:tc>
          <w:tcPr>
            <w:tcW w:w="2551" w:type="dxa"/>
            <w:vAlign w:val="center"/>
          </w:tcPr>
          <w:p>
            <w:pPr>
              <w:widowControl w:val="0"/>
              <w:spacing w:line="240" w:lineRule="auto"/>
              <w:jc w:val="center"/>
              <w:rPr>
                <w:rFonts w:eastAsiaTheme="minorEastAsia"/>
              </w:rPr>
            </w:pPr>
            <w:r>
              <w:rPr>
                <w:rFonts w:hint="eastAsia"/>
              </w:rPr>
              <w:t>350</w:t>
            </w:r>
            <w:r>
              <w:t>mg/L  0.035t/a</w:t>
            </w:r>
          </w:p>
        </w:tc>
        <w:tc>
          <w:tcPr>
            <w:tcW w:w="2410" w:type="dxa"/>
            <w:vAlign w:val="center"/>
          </w:tcPr>
          <w:p>
            <w:pPr>
              <w:widowControl w:val="0"/>
              <w:spacing w:line="280" w:lineRule="exact"/>
              <w:ind w:left="-23"/>
              <w:jc w:val="center"/>
            </w:pPr>
            <w:r>
              <w:t>315</w:t>
            </w:r>
            <w:r>
              <w:rPr>
                <w:rFonts w:hint="eastAsia"/>
              </w:rPr>
              <w:t>mg/L  0.</w:t>
            </w:r>
            <w:r>
              <w:t>031</w:t>
            </w:r>
            <w:r>
              <w:rPr>
                <w:rFonts w:hint="eastAsia"/>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widowControl w:val="0"/>
              <w:spacing w:line="240" w:lineRule="auto"/>
              <w:jc w:val="center"/>
              <w:rPr>
                <w:rFonts w:eastAsiaTheme="minorEastAsia"/>
              </w:rPr>
            </w:pPr>
          </w:p>
        </w:tc>
        <w:tc>
          <w:tcPr>
            <w:tcW w:w="1978" w:type="dxa"/>
            <w:vMerge w:val="continue"/>
            <w:vAlign w:val="center"/>
          </w:tcPr>
          <w:p>
            <w:pPr>
              <w:widowControl w:val="0"/>
              <w:spacing w:line="240" w:lineRule="auto"/>
              <w:jc w:val="center"/>
              <w:rPr>
                <w:rFonts w:eastAsiaTheme="minorEastAsia"/>
              </w:rPr>
            </w:pPr>
          </w:p>
        </w:tc>
        <w:tc>
          <w:tcPr>
            <w:tcW w:w="1424" w:type="dxa"/>
            <w:gridSpan w:val="2"/>
            <w:vAlign w:val="center"/>
          </w:tcPr>
          <w:p>
            <w:pPr>
              <w:widowControl w:val="0"/>
              <w:spacing w:line="240" w:lineRule="auto"/>
              <w:jc w:val="center"/>
              <w:rPr>
                <w:rFonts w:eastAsiaTheme="minorEastAsia"/>
              </w:rPr>
            </w:pPr>
            <w:r>
              <w:t>BOD</w:t>
            </w:r>
            <w:r>
              <w:rPr>
                <w:vertAlign w:val="subscript"/>
              </w:rPr>
              <w:t>5</w:t>
            </w:r>
          </w:p>
        </w:tc>
        <w:tc>
          <w:tcPr>
            <w:tcW w:w="2551" w:type="dxa"/>
            <w:vAlign w:val="center"/>
          </w:tcPr>
          <w:p>
            <w:pPr>
              <w:widowControl w:val="0"/>
              <w:spacing w:line="240" w:lineRule="auto"/>
              <w:jc w:val="center"/>
              <w:rPr>
                <w:rFonts w:eastAsiaTheme="minorEastAsia"/>
              </w:rPr>
            </w:pPr>
            <w:r>
              <w:rPr>
                <w:rFonts w:hint="eastAsia"/>
              </w:rPr>
              <w:t>200</w:t>
            </w:r>
            <w:r>
              <w:t>mg/L  0.020t/a</w:t>
            </w:r>
          </w:p>
        </w:tc>
        <w:tc>
          <w:tcPr>
            <w:tcW w:w="2410" w:type="dxa"/>
            <w:vAlign w:val="center"/>
          </w:tcPr>
          <w:p>
            <w:pPr>
              <w:widowControl w:val="0"/>
              <w:spacing w:line="280" w:lineRule="exact"/>
              <w:ind w:left="-23"/>
              <w:jc w:val="center"/>
              <w:rPr>
                <w:lang w:val="zh-CN"/>
              </w:rPr>
            </w:pPr>
            <w:r>
              <w:t>170</w:t>
            </w:r>
            <w:r>
              <w:rPr>
                <w:rFonts w:hint="eastAsia"/>
              </w:rPr>
              <w:t>mg/L  0.</w:t>
            </w:r>
            <w:r>
              <w:t>017</w:t>
            </w:r>
            <w:r>
              <w:rPr>
                <w:rFonts w:hint="eastAsia"/>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widowControl w:val="0"/>
              <w:spacing w:line="240" w:lineRule="auto"/>
              <w:jc w:val="center"/>
              <w:rPr>
                <w:rFonts w:eastAsiaTheme="minorEastAsia"/>
              </w:rPr>
            </w:pPr>
          </w:p>
        </w:tc>
        <w:tc>
          <w:tcPr>
            <w:tcW w:w="1978" w:type="dxa"/>
            <w:vMerge w:val="continue"/>
            <w:vAlign w:val="center"/>
          </w:tcPr>
          <w:p>
            <w:pPr>
              <w:widowControl w:val="0"/>
              <w:spacing w:line="240" w:lineRule="auto"/>
              <w:jc w:val="center"/>
              <w:rPr>
                <w:rFonts w:eastAsiaTheme="minorEastAsia"/>
              </w:rPr>
            </w:pPr>
          </w:p>
        </w:tc>
        <w:tc>
          <w:tcPr>
            <w:tcW w:w="1424" w:type="dxa"/>
            <w:gridSpan w:val="2"/>
            <w:vAlign w:val="center"/>
          </w:tcPr>
          <w:p>
            <w:pPr>
              <w:widowControl w:val="0"/>
              <w:spacing w:line="240" w:lineRule="auto"/>
              <w:jc w:val="center"/>
              <w:rPr>
                <w:rFonts w:eastAsiaTheme="minorEastAsia"/>
              </w:rPr>
            </w:pPr>
            <w:r>
              <w:rPr>
                <w:rFonts w:hint="eastAsia" w:eastAsiaTheme="minorEastAsia"/>
              </w:rPr>
              <w:t>SS</w:t>
            </w:r>
          </w:p>
        </w:tc>
        <w:tc>
          <w:tcPr>
            <w:tcW w:w="2551" w:type="dxa"/>
            <w:vAlign w:val="center"/>
          </w:tcPr>
          <w:p>
            <w:pPr>
              <w:widowControl w:val="0"/>
              <w:spacing w:line="240" w:lineRule="auto"/>
              <w:jc w:val="center"/>
              <w:rPr>
                <w:rFonts w:eastAsiaTheme="minorEastAsia"/>
              </w:rPr>
            </w:pPr>
            <w:r>
              <w:rPr>
                <w:rFonts w:hint="eastAsia"/>
              </w:rPr>
              <w:t>250</w:t>
            </w:r>
            <w:r>
              <w:t>mg/L  0.025t/a</w:t>
            </w:r>
          </w:p>
        </w:tc>
        <w:tc>
          <w:tcPr>
            <w:tcW w:w="2410" w:type="dxa"/>
            <w:vAlign w:val="center"/>
          </w:tcPr>
          <w:p>
            <w:pPr>
              <w:widowControl w:val="0"/>
              <w:spacing w:line="280" w:lineRule="exact"/>
              <w:ind w:left="-23"/>
              <w:jc w:val="center"/>
              <w:rPr>
                <w:lang w:val="zh-CN"/>
              </w:rPr>
            </w:pPr>
            <w:r>
              <w:t>175</w:t>
            </w:r>
            <w:r>
              <w:rPr>
                <w:rFonts w:hint="eastAsia"/>
              </w:rPr>
              <w:t>mg/L  0.</w:t>
            </w:r>
            <w:r>
              <w:t>017</w:t>
            </w:r>
            <w:r>
              <w:rPr>
                <w:rFonts w:hint="eastAsia"/>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widowControl w:val="0"/>
              <w:spacing w:line="240" w:lineRule="auto"/>
              <w:jc w:val="center"/>
              <w:rPr>
                <w:rFonts w:eastAsiaTheme="minorEastAsia"/>
              </w:rPr>
            </w:pPr>
          </w:p>
        </w:tc>
        <w:tc>
          <w:tcPr>
            <w:tcW w:w="1978" w:type="dxa"/>
            <w:vMerge w:val="continue"/>
            <w:vAlign w:val="center"/>
          </w:tcPr>
          <w:p>
            <w:pPr>
              <w:widowControl w:val="0"/>
              <w:spacing w:line="240" w:lineRule="auto"/>
              <w:jc w:val="center"/>
              <w:rPr>
                <w:rFonts w:eastAsiaTheme="minorEastAsia"/>
              </w:rPr>
            </w:pPr>
          </w:p>
        </w:tc>
        <w:tc>
          <w:tcPr>
            <w:tcW w:w="1424" w:type="dxa"/>
            <w:gridSpan w:val="2"/>
            <w:vAlign w:val="center"/>
          </w:tcPr>
          <w:p>
            <w:pPr>
              <w:widowControl w:val="0"/>
              <w:spacing w:line="240" w:lineRule="auto"/>
              <w:jc w:val="center"/>
              <w:rPr>
                <w:rFonts w:eastAsiaTheme="minorEastAsia"/>
              </w:rPr>
            </w:pPr>
            <w:r>
              <w:t>氨氮</w:t>
            </w:r>
          </w:p>
        </w:tc>
        <w:tc>
          <w:tcPr>
            <w:tcW w:w="2551" w:type="dxa"/>
            <w:vAlign w:val="center"/>
          </w:tcPr>
          <w:p>
            <w:pPr>
              <w:widowControl w:val="0"/>
              <w:spacing w:line="240" w:lineRule="auto"/>
              <w:jc w:val="center"/>
              <w:rPr>
                <w:rFonts w:eastAsiaTheme="minorEastAsia"/>
              </w:rPr>
            </w:pPr>
            <w:r>
              <w:t>30mg/L  0.003t/a</w:t>
            </w:r>
          </w:p>
        </w:tc>
        <w:tc>
          <w:tcPr>
            <w:tcW w:w="2410" w:type="dxa"/>
            <w:vAlign w:val="center"/>
          </w:tcPr>
          <w:p>
            <w:pPr>
              <w:widowControl w:val="0"/>
              <w:spacing w:line="280" w:lineRule="exact"/>
              <w:ind w:left="-23"/>
              <w:jc w:val="center"/>
            </w:pPr>
            <w:r>
              <w:rPr>
                <w:rFonts w:hint="eastAsia"/>
              </w:rPr>
              <w:t>30mg/L  0.0</w:t>
            </w:r>
            <w:r>
              <w:t>03</w:t>
            </w:r>
            <w:r>
              <w:rPr>
                <w:rFonts w:hint="eastAsia"/>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widowControl w:val="0"/>
              <w:spacing w:line="240" w:lineRule="auto"/>
              <w:jc w:val="center"/>
              <w:rPr>
                <w:rFonts w:eastAsiaTheme="minorEastAsia"/>
              </w:rPr>
            </w:pPr>
          </w:p>
        </w:tc>
        <w:tc>
          <w:tcPr>
            <w:tcW w:w="1978" w:type="dxa"/>
            <w:vMerge w:val="continue"/>
            <w:vAlign w:val="center"/>
          </w:tcPr>
          <w:p>
            <w:pPr>
              <w:widowControl w:val="0"/>
              <w:spacing w:line="240" w:lineRule="auto"/>
              <w:jc w:val="center"/>
              <w:rPr>
                <w:rFonts w:eastAsiaTheme="minorEastAsia"/>
              </w:rPr>
            </w:pPr>
          </w:p>
        </w:tc>
        <w:tc>
          <w:tcPr>
            <w:tcW w:w="1424" w:type="dxa"/>
            <w:gridSpan w:val="2"/>
            <w:vAlign w:val="center"/>
          </w:tcPr>
          <w:p>
            <w:pPr>
              <w:widowControl w:val="0"/>
              <w:spacing w:line="240" w:lineRule="auto"/>
              <w:jc w:val="center"/>
              <w:rPr>
                <w:rFonts w:eastAsiaTheme="minorEastAsia"/>
              </w:rPr>
            </w:pPr>
            <w:r>
              <w:t>动植物油</w:t>
            </w:r>
          </w:p>
        </w:tc>
        <w:tc>
          <w:tcPr>
            <w:tcW w:w="2551" w:type="dxa"/>
            <w:vAlign w:val="center"/>
          </w:tcPr>
          <w:p>
            <w:pPr>
              <w:widowControl w:val="0"/>
              <w:spacing w:line="240" w:lineRule="auto"/>
              <w:jc w:val="center"/>
              <w:rPr>
                <w:rFonts w:eastAsiaTheme="minorEastAsia"/>
              </w:rPr>
            </w:pPr>
            <w:r>
              <w:rPr>
                <w:rFonts w:hint="eastAsia"/>
              </w:rPr>
              <w:t>5</w:t>
            </w:r>
            <w:r>
              <w:t>0mg/L  0.005t/a</w:t>
            </w:r>
          </w:p>
        </w:tc>
        <w:tc>
          <w:tcPr>
            <w:tcW w:w="2410" w:type="dxa"/>
            <w:vAlign w:val="center"/>
          </w:tcPr>
          <w:p>
            <w:pPr>
              <w:widowControl w:val="0"/>
              <w:spacing w:line="240" w:lineRule="auto"/>
              <w:jc w:val="center"/>
            </w:pPr>
            <w:r>
              <w:t>50</w:t>
            </w:r>
            <w:r>
              <w:rPr>
                <w:rFonts w:hint="eastAsia"/>
              </w:rPr>
              <w:t>mg/L  0.</w:t>
            </w:r>
            <w:r>
              <w:t>005</w:t>
            </w:r>
            <w:r>
              <w:rPr>
                <w:rFonts w:hint="eastAsia"/>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widowControl w:val="0"/>
              <w:spacing w:line="240" w:lineRule="auto"/>
              <w:jc w:val="center"/>
              <w:rPr>
                <w:rFonts w:eastAsiaTheme="minorEastAsia"/>
              </w:rPr>
            </w:pPr>
          </w:p>
        </w:tc>
        <w:tc>
          <w:tcPr>
            <w:tcW w:w="1978" w:type="dxa"/>
            <w:vAlign w:val="center"/>
          </w:tcPr>
          <w:p>
            <w:pPr>
              <w:widowControl w:val="0"/>
              <w:spacing w:line="240" w:lineRule="auto"/>
              <w:jc w:val="center"/>
              <w:rPr>
                <w:rFonts w:eastAsiaTheme="minorEastAsia"/>
              </w:rPr>
            </w:pPr>
            <w:r>
              <w:rPr>
                <w:rFonts w:hint="eastAsia" w:eastAsiaTheme="minorEastAsia"/>
              </w:rPr>
              <w:t>洗砂废水</w:t>
            </w:r>
          </w:p>
        </w:tc>
        <w:tc>
          <w:tcPr>
            <w:tcW w:w="1424" w:type="dxa"/>
            <w:gridSpan w:val="2"/>
            <w:vMerge w:val="restart"/>
            <w:vAlign w:val="center"/>
          </w:tcPr>
          <w:p>
            <w:pPr>
              <w:widowControl w:val="0"/>
              <w:spacing w:line="240" w:lineRule="auto"/>
              <w:jc w:val="center"/>
              <w:rPr>
                <w:rFonts w:eastAsiaTheme="minorEastAsia"/>
              </w:rPr>
            </w:pPr>
            <w:r>
              <w:rPr>
                <w:rFonts w:eastAsiaTheme="minorEastAsia"/>
              </w:rPr>
              <w:t>SS</w:t>
            </w:r>
          </w:p>
        </w:tc>
        <w:tc>
          <w:tcPr>
            <w:tcW w:w="2551" w:type="dxa"/>
            <w:vAlign w:val="center"/>
          </w:tcPr>
          <w:p>
            <w:pPr>
              <w:widowControl w:val="0"/>
              <w:spacing w:line="240" w:lineRule="auto"/>
              <w:jc w:val="center"/>
              <w:rPr>
                <w:rFonts w:eastAsiaTheme="minorEastAsia"/>
              </w:rPr>
            </w:pPr>
            <w:r>
              <w:rPr>
                <w:rFonts w:hint="eastAsia" w:eastAsiaTheme="minorEastAsia"/>
              </w:rPr>
              <w:t>2400</w:t>
            </w:r>
            <w:r>
              <w:rPr>
                <w:rFonts w:eastAsiaTheme="minorEastAsia"/>
              </w:rPr>
              <w:t>m</w:t>
            </w:r>
            <w:r>
              <w:rPr>
                <w:rFonts w:eastAsiaTheme="minorEastAsia"/>
                <w:vertAlign w:val="superscript"/>
              </w:rPr>
              <w:t>3</w:t>
            </w:r>
            <w:r>
              <w:rPr>
                <w:rFonts w:eastAsiaTheme="minorEastAsia"/>
              </w:rPr>
              <w:t>/a</w:t>
            </w:r>
          </w:p>
        </w:tc>
        <w:tc>
          <w:tcPr>
            <w:tcW w:w="2410" w:type="dxa"/>
            <w:vAlign w:val="center"/>
          </w:tcPr>
          <w:p>
            <w:pPr>
              <w:widowControl w:val="0"/>
              <w:spacing w:line="240" w:lineRule="auto"/>
              <w:jc w:val="center"/>
              <w:rPr>
                <w:rFonts w:eastAsiaTheme="minorEastAsia"/>
              </w:rPr>
            </w:pPr>
            <w:r>
              <w:rPr>
                <w:rFonts w:hint="eastAsia" w:eastAsiaTheme="minorEastAsia"/>
              </w:rPr>
              <w:t>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35" w:type="dxa"/>
            <w:vMerge w:val="continue"/>
            <w:vAlign w:val="center"/>
          </w:tcPr>
          <w:p>
            <w:pPr>
              <w:widowControl w:val="0"/>
              <w:spacing w:line="240" w:lineRule="auto"/>
              <w:jc w:val="center"/>
              <w:rPr>
                <w:rFonts w:eastAsiaTheme="minorEastAsia"/>
              </w:rPr>
            </w:pPr>
          </w:p>
        </w:tc>
        <w:tc>
          <w:tcPr>
            <w:tcW w:w="1978" w:type="dxa"/>
            <w:vAlign w:val="center"/>
          </w:tcPr>
          <w:p>
            <w:pPr>
              <w:widowControl w:val="0"/>
              <w:spacing w:line="240" w:lineRule="auto"/>
              <w:jc w:val="center"/>
              <w:rPr>
                <w:rFonts w:eastAsiaTheme="minorEastAsia"/>
              </w:rPr>
            </w:pPr>
            <w:r>
              <w:rPr>
                <w:rFonts w:hint="eastAsia" w:eastAsiaTheme="minorEastAsia"/>
              </w:rPr>
              <w:t>车辆冲洗废水</w:t>
            </w:r>
          </w:p>
        </w:tc>
        <w:tc>
          <w:tcPr>
            <w:tcW w:w="1424" w:type="dxa"/>
            <w:gridSpan w:val="2"/>
            <w:vMerge w:val="continue"/>
            <w:vAlign w:val="center"/>
          </w:tcPr>
          <w:p>
            <w:pPr>
              <w:widowControl w:val="0"/>
              <w:spacing w:line="240" w:lineRule="auto"/>
              <w:jc w:val="center"/>
              <w:rPr>
                <w:rFonts w:eastAsiaTheme="minorEastAsia"/>
              </w:rPr>
            </w:pPr>
          </w:p>
        </w:tc>
        <w:tc>
          <w:tcPr>
            <w:tcW w:w="2551" w:type="dxa"/>
            <w:vAlign w:val="center"/>
          </w:tcPr>
          <w:p>
            <w:pPr>
              <w:widowControl w:val="0"/>
              <w:spacing w:line="240" w:lineRule="auto"/>
              <w:jc w:val="center"/>
              <w:rPr>
                <w:rFonts w:eastAsiaTheme="minorEastAsia"/>
              </w:rPr>
            </w:pPr>
            <w:r>
              <w:rPr>
                <w:rFonts w:hint="eastAsia" w:eastAsiaTheme="minorEastAsia"/>
              </w:rPr>
              <w:t>140.4</w:t>
            </w:r>
            <w:r>
              <w:rPr>
                <w:rFonts w:eastAsiaTheme="minorEastAsia"/>
              </w:rPr>
              <w:t>m</w:t>
            </w:r>
            <w:r>
              <w:rPr>
                <w:rFonts w:eastAsiaTheme="minorEastAsia"/>
                <w:vertAlign w:val="superscript"/>
              </w:rPr>
              <w:t>3</w:t>
            </w:r>
            <w:r>
              <w:rPr>
                <w:rFonts w:eastAsiaTheme="minorEastAsia"/>
              </w:rPr>
              <w:t>/a</w:t>
            </w:r>
          </w:p>
        </w:tc>
        <w:tc>
          <w:tcPr>
            <w:tcW w:w="2410" w:type="dxa"/>
            <w:vAlign w:val="center"/>
          </w:tcPr>
          <w:p>
            <w:pPr>
              <w:widowControl w:val="0"/>
              <w:spacing w:line="240" w:lineRule="auto"/>
              <w:jc w:val="center"/>
              <w:rPr>
                <w:rFonts w:eastAsiaTheme="minorEastAsia"/>
              </w:rPr>
            </w:pPr>
            <w:r>
              <w:rPr>
                <w:rFonts w:eastAsiaTheme="minorEastAsia"/>
              </w:rPr>
              <w:t>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5" w:type="dxa"/>
            <w:vMerge w:val="restart"/>
            <w:vAlign w:val="center"/>
          </w:tcPr>
          <w:p>
            <w:pPr>
              <w:widowControl w:val="0"/>
              <w:spacing w:line="240" w:lineRule="auto"/>
              <w:jc w:val="center"/>
              <w:rPr>
                <w:rFonts w:eastAsiaTheme="minorEastAsia"/>
              </w:rPr>
            </w:pPr>
            <w:r>
              <w:rPr>
                <w:rFonts w:eastAsiaTheme="minorEastAsia"/>
              </w:rPr>
              <w:t>固</w:t>
            </w:r>
          </w:p>
          <w:p>
            <w:pPr>
              <w:widowControl w:val="0"/>
              <w:spacing w:line="240" w:lineRule="auto"/>
              <w:jc w:val="center"/>
              <w:rPr>
                <w:rFonts w:eastAsiaTheme="minorEastAsia"/>
              </w:rPr>
            </w:pPr>
            <w:r>
              <w:rPr>
                <w:rFonts w:eastAsiaTheme="minorEastAsia"/>
              </w:rPr>
              <w:t>体</w:t>
            </w:r>
          </w:p>
          <w:p>
            <w:pPr>
              <w:widowControl w:val="0"/>
              <w:spacing w:line="240" w:lineRule="auto"/>
              <w:jc w:val="center"/>
              <w:rPr>
                <w:rFonts w:eastAsiaTheme="minorEastAsia"/>
              </w:rPr>
            </w:pPr>
            <w:r>
              <w:rPr>
                <w:rFonts w:eastAsiaTheme="minorEastAsia"/>
              </w:rPr>
              <w:t>废</w:t>
            </w:r>
          </w:p>
          <w:p>
            <w:pPr>
              <w:widowControl w:val="0"/>
              <w:spacing w:line="240" w:lineRule="auto"/>
              <w:jc w:val="center"/>
              <w:rPr>
                <w:rFonts w:eastAsiaTheme="minorEastAsia"/>
              </w:rPr>
            </w:pPr>
            <w:r>
              <w:rPr>
                <w:rFonts w:eastAsiaTheme="minorEastAsia"/>
              </w:rPr>
              <w:t>物</w:t>
            </w:r>
          </w:p>
        </w:tc>
        <w:tc>
          <w:tcPr>
            <w:tcW w:w="1984" w:type="dxa"/>
            <w:gridSpan w:val="2"/>
            <w:vAlign w:val="center"/>
          </w:tcPr>
          <w:p>
            <w:pPr>
              <w:widowControl w:val="0"/>
              <w:spacing w:line="240" w:lineRule="auto"/>
              <w:jc w:val="center"/>
              <w:rPr>
                <w:rFonts w:eastAsiaTheme="minorEastAsia"/>
              </w:rPr>
            </w:pPr>
            <w:r>
              <w:rPr>
                <w:rFonts w:eastAsiaTheme="minorEastAsia"/>
              </w:rPr>
              <w:t>沉淀池</w:t>
            </w:r>
          </w:p>
        </w:tc>
        <w:tc>
          <w:tcPr>
            <w:tcW w:w="1418" w:type="dxa"/>
            <w:vAlign w:val="center"/>
          </w:tcPr>
          <w:p>
            <w:pPr>
              <w:widowControl w:val="0"/>
              <w:spacing w:line="240" w:lineRule="auto"/>
              <w:jc w:val="center"/>
              <w:rPr>
                <w:rFonts w:eastAsiaTheme="minorEastAsia"/>
              </w:rPr>
            </w:pPr>
            <w:r>
              <w:rPr>
                <w:rFonts w:hint="eastAsia" w:eastAsiaTheme="minorEastAsia"/>
              </w:rPr>
              <w:t>底渣</w:t>
            </w:r>
          </w:p>
        </w:tc>
        <w:tc>
          <w:tcPr>
            <w:tcW w:w="2551" w:type="dxa"/>
            <w:vAlign w:val="center"/>
          </w:tcPr>
          <w:p>
            <w:pPr>
              <w:widowControl w:val="0"/>
              <w:spacing w:line="240" w:lineRule="auto"/>
              <w:jc w:val="center"/>
              <w:rPr>
                <w:rFonts w:eastAsiaTheme="minorEastAsia"/>
              </w:rPr>
            </w:pPr>
            <w:r>
              <w:rPr>
                <w:rFonts w:eastAsiaTheme="minorEastAsia"/>
                <w:highlight w:val="green"/>
              </w:rPr>
              <w:t>30t/a</w:t>
            </w:r>
          </w:p>
        </w:tc>
        <w:tc>
          <w:tcPr>
            <w:tcW w:w="2410" w:type="dxa"/>
            <w:vAlign w:val="center"/>
          </w:tcPr>
          <w:p>
            <w:pPr>
              <w:widowControl w:val="0"/>
              <w:spacing w:line="240" w:lineRule="auto"/>
              <w:jc w:val="center"/>
              <w:rPr>
                <w:rFonts w:eastAsiaTheme="minorEastAsia"/>
              </w:rPr>
            </w:pPr>
            <w:r>
              <w:rPr>
                <w:rFonts w:eastAsiaTheme="minorEastAsia"/>
              </w:rPr>
              <w:t>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5" w:type="dxa"/>
            <w:vMerge w:val="continue"/>
            <w:vAlign w:val="center"/>
          </w:tcPr>
          <w:p>
            <w:pPr>
              <w:widowControl w:val="0"/>
              <w:spacing w:line="240" w:lineRule="auto"/>
              <w:jc w:val="center"/>
              <w:rPr>
                <w:rFonts w:eastAsiaTheme="minorEastAsia"/>
              </w:rPr>
            </w:pPr>
          </w:p>
        </w:tc>
        <w:tc>
          <w:tcPr>
            <w:tcW w:w="1984" w:type="dxa"/>
            <w:gridSpan w:val="2"/>
            <w:vMerge w:val="restart"/>
            <w:vAlign w:val="center"/>
          </w:tcPr>
          <w:p>
            <w:pPr>
              <w:widowControl w:val="0"/>
              <w:spacing w:line="240" w:lineRule="auto"/>
              <w:jc w:val="center"/>
              <w:rPr>
                <w:rFonts w:eastAsiaTheme="minorEastAsia"/>
              </w:rPr>
            </w:pPr>
            <w:r>
              <w:rPr>
                <w:spacing w:val="-6"/>
                <w:sz w:val="21"/>
                <w:szCs w:val="21"/>
              </w:rPr>
              <w:t>设备维修保养</w:t>
            </w:r>
          </w:p>
        </w:tc>
        <w:tc>
          <w:tcPr>
            <w:tcW w:w="1418" w:type="dxa"/>
            <w:vAlign w:val="center"/>
          </w:tcPr>
          <w:p>
            <w:pPr>
              <w:widowControl w:val="0"/>
              <w:spacing w:line="240" w:lineRule="auto"/>
              <w:jc w:val="center"/>
              <w:rPr>
                <w:rFonts w:eastAsiaTheme="minorEastAsia"/>
              </w:rPr>
            </w:pPr>
            <w:r>
              <w:rPr>
                <w:rFonts w:eastAsiaTheme="minorEastAsia"/>
              </w:rPr>
              <w:t>废机油</w:t>
            </w:r>
          </w:p>
        </w:tc>
        <w:tc>
          <w:tcPr>
            <w:tcW w:w="2551" w:type="dxa"/>
            <w:vAlign w:val="center"/>
          </w:tcPr>
          <w:p>
            <w:pPr>
              <w:widowControl w:val="0"/>
              <w:spacing w:line="240" w:lineRule="auto"/>
              <w:jc w:val="center"/>
              <w:rPr>
                <w:rFonts w:eastAsiaTheme="minorEastAsia"/>
              </w:rPr>
            </w:pPr>
            <w:r>
              <w:rPr>
                <w:rFonts w:eastAsiaTheme="minorEastAsia"/>
              </w:rPr>
              <w:t>0.</w:t>
            </w:r>
            <w:r>
              <w:rPr>
                <w:rFonts w:hint="eastAsia" w:eastAsiaTheme="minorEastAsia"/>
              </w:rPr>
              <w:t>01</w:t>
            </w:r>
            <w:r>
              <w:rPr>
                <w:rFonts w:eastAsiaTheme="minorEastAsia"/>
              </w:rPr>
              <w:t>t/a</w:t>
            </w:r>
          </w:p>
        </w:tc>
        <w:tc>
          <w:tcPr>
            <w:tcW w:w="2410" w:type="dxa"/>
            <w:vAlign w:val="center"/>
          </w:tcPr>
          <w:p>
            <w:pPr>
              <w:widowControl w:val="0"/>
              <w:spacing w:line="240" w:lineRule="auto"/>
              <w:jc w:val="center"/>
              <w:rPr>
                <w:rFonts w:eastAsiaTheme="minorEastAsia"/>
              </w:rPr>
            </w:pPr>
            <w:r>
              <w:rPr>
                <w:rFonts w:eastAsiaTheme="minorEastAsia"/>
              </w:rPr>
              <w:t>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35" w:type="dxa"/>
            <w:vMerge w:val="continue"/>
            <w:vAlign w:val="center"/>
          </w:tcPr>
          <w:p>
            <w:pPr>
              <w:widowControl w:val="0"/>
              <w:spacing w:line="240" w:lineRule="auto"/>
              <w:jc w:val="center"/>
              <w:rPr>
                <w:rFonts w:eastAsiaTheme="minorEastAsia"/>
              </w:rPr>
            </w:pPr>
          </w:p>
        </w:tc>
        <w:tc>
          <w:tcPr>
            <w:tcW w:w="1984" w:type="dxa"/>
            <w:gridSpan w:val="2"/>
            <w:vMerge w:val="continue"/>
            <w:vAlign w:val="center"/>
          </w:tcPr>
          <w:p>
            <w:pPr>
              <w:widowControl w:val="0"/>
              <w:spacing w:line="240" w:lineRule="auto"/>
              <w:jc w:val="center"/>
              <w:rPr>
                <w:spacing w:val="-6"/>
                <w:sz w:val="21"/>
                <w:szCs w:val="21"/>
              </w:rPr>
            </w:pPr>
          </w:p>
        </w:tc>
        <w:tc>
          <w:tcPr>
            <w:tcW w:w="1418" w:type="dxa"/>
            <w:vAlign w:val="center"/>
          </w:tcPr>
          <w:p>
            <w:pPr>
              <w:widowControl w:val="0"/>
              <w:spacing w:line="240" w:lineRule="auto"/>
              <w:jc w:val="center"/>
              <w:rPr>
                <w:rFonts w:eastAsiaTheme="minorEastAsia"/>
              </w:rPr>
            </w:pPr>
            <w:r>
              <w:rPr>
                <w:rFonts w:eastAsiaTheme="minorEastAsia"/>
              </w:rPr>
              <w:t>含油废弃物（废手套、废机油桶）</w:t>
            </w:r>
          </w:p>
        </w:tc>
        <w:tc>
          <w:tcPr>
            <w:tcW w:w="2551" w:type="dxa"/>
            <w:vAlign w:val="center"/>
          </w:tcPr>
          <w:p>
            <w:pPr>
              <w:widowControl w:val="0"/>
              <w:spacing w:line="240" w:lineRule="auto"/>
              <w:jc w:val="center"/>
              <w:rPr>
                <w:rFonts w:eastAsiaTheme="minorEastAsia"/>
              </w:rPr>
            </w:pPr>
            <w:r>
              <w:rPr>
                <w:rFonts w:hint="eastAsia" w:eastAsiaTheme="minorEastAsia"/>
              </w:rPr>
              <w:t>0.02</w:t>
            </w:r>
            <w:r>
              <w:rPr>
                <w:rFonts w:eastAsiaTheme="minorEastAsia"/>
              </w:rPr>
              <w:t>t/a</w:t>
            </w:r>
          </w:p>
        </w:tc>
        <w:tc>
          <w:tcPr>
            <w:tcW w:w="2410" w:type="dxa"/>
            <w:vAlign w:val="center"/>
          </w:tcPr>
          <w:p>
            <w:pPr>
              <w:widowControl w:val="0"/>
              <w:spacing w:line="240" w:lineRule="auto"/>
              <w:jc w:val="center"/>
              <w:rPr>
                <w:rFonts w:eastAsiaTheme="minorEastAsia"/>
              </w:rPr>
            </w:pPr>
            <w:r>
              <w:rPr>
                <w:rFonts w:eastAsiaTheme="minorEastAsia"/>
              </w:rPr>
              <w:t>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35" w:type="dxa"/>
            <w:vMerge w:val="continue"/>
            <w:vAlign w:val="center"/>
          </w:tcPr>
          <w:p>
            <w:pPr>
              <w:widowControl w:val="0"/>
              <w:spacing w:line="240" w:lineRule="auto"/>
              <w:jc w:val="center"/>
              <w:rPr>
                <w:rFonts w:eastAsiaTheme="minorEastAsia"/>
              </w:rPr>
            </w:pPr>
          </w:p>
        </w:tc>
        <w:tc>
          <w:tcPr>
            <w:tcW w:w="1984" w:type="dxa"/>
            <w:gridSpan w:val="2"/>
            <w:vAlign w:val="center"/>
          </w:tcPr>
          <w:p>
            <w:pPr>
              <w:widowControl w:val="0"/>
              <w:spacing w:line="240" w:lineRule="auto"/>
              <w:jc w:val="center"/>
              <w:rPr>
                <w:rFonts w:eastAsiaTheme="minorEastAsia"/>
              </w:rPr>
            </w:pPr>
            <w:r>
              <w:rPr>
                <w:spacing w:val="-1"/>
                <w:sz w:val="21"/>
                <w:szCs w:val="21"/>
              </w:rPr>
              <w:t>员工生活</w:t>
            </w:r>
          </w:p>
        </w:tc>
        <w:tc>
          <w:tcPr>
            <w:tcW w:w="1418" w:type="dxa"/>
            <w:vAlign w:val="center"/>
          </w:tcPr>
          <w:p>
            <w:pPr>
              <w:widowControl w:val="0"/>
              <w:spacing w:line="240" w:lineRule="auto"/>
              <w:jc w:val="center"/>
              <w:rPr>
                <w:rFonts w:eastAsiaTheme="minorEastAsia"/>
              </w:rPr>
            </w:pPr>
            <w:r>
              <w:rPr>
                <w:rFonts w:eastAsiaTheme="minorEastAsia"/>
              </w:rPr>
              <w:t>生活垃圾</w:t>
            </w:r>
          </w:p>
        </w:tc>
        <w:tc>
          <w:tcPr>
            <w:tcW w:w="2551" w:type="dxa"/>
            <w:vAlign w:val="center"/>
          </w:tcPr>
          <w:p>
            <w:pPr>
              <w:widowControl w:val="0"/>
              <w:spacing w:line="240" w:lineRule="auto"/>
              <w:jc w:val="center"/>
              <w:rPr>
                <w:rFonts w:eastAsiaTheme="minorEastAsia"/>
              </w:rPr>
            </w:pPr>
            <w:r>
              <w:rPr>
                <w:rFonts w:hint="eastAsia" w:eastAsiaTheme="minorEastAsia"/>
              </w:rPr>
              <w:t>0.78</w:t>
            </w:r>
            <w:r>
              <w:rPr>
                <w:rFonts w:eastAsiaTheme="minorEastAsia"/>
              </w:rPr>
              <w:t>t/a</w:t>
            </w:r>
          </w:p>
        </w:tc>
        <w:tc>
          <w:tcPr>
            <w:tcW w:w="2410" w:type="dxa"/>
            <w:vAlign w:val="center"/>
          </w:tcPr>
          <w:p>
            <w:pPr>
              <w:widowControl w:val="0"/>
              <w:spacing w:line="240" w:lineRule="auto"/>
              <w:jc w:val="center"/>
              <w:rPr>
                <w:rFonts w:eastAsiaTheme="minorEastAsia"/>
              </w:rPr>
            </w:pPr>
            <w:r>
              <w:rPr>
                <w:rFonts w:eastAsiaTheme="minorEastAsia"/>
              </w:rPr>
              <w:t>0t/a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135" w:type="dxa"/>
            <w:vAlign w:val="center"/>
          </w:tcPr>
          <w:p>
            <w:pPr>
              <w:widowControl w:val="0"/>
              <w:spacing w:line="240" w:lineRule="auto"/>
              <w:jc w:val="center"/>
              <w:rPr>
                <w:rFonts w:eastAsiaTheme="minorEastAsia"/>
              </w:rPr>
            </w:pPr>
            <w:r>
              <w:rPr>
                <w:rFonts w:eastAsiaTheme="minorEastAsia"/>
              </w:rPr>
              <w:t>噪声</w:t>
            </w:r>
          </w:p>
        </w:tc>
        <w:tc>
          <w:tcPr>
            <w:tcW w:w="8363" w:type="dxa"/>
            <w:gridSpan w:val="5"/>
            <w:vAlign w:val="center"/>
          </w:tcPr>
          <w:p>
            <w:pPr>
              <w:widowControl w:val="0"/>
              <w:spacing w:line="240" w:lineRule="auto"/>
              <w:rPr>
                <w:rFonts w:eastAsiaTheme="minorEastAsia"/>
              </w:rPr>
            </w:pPr>
            <w:r>
              <w:rPr>
                <w:rFonts w:eastAsiaTheme="minorEastAsia"/>
              </w:rPr>
              <w:t>项目噪声主要为</w:t>
            </w:r>
            <w:r>
              <w:rPr>
                <w:rFonts w:hint="eastAsia"/>
              </w:rPr>
              <w:t>给料机、碎石机、滚筛、制砂机和洗砂机</w:t>
            </w:r>
            <w:r>
              <w:t>等设备工作时产生的机械噪声，噪声级</w:t>
            </w:r>
            <w:r>
              <w:rPr>
                <w:rFonts w:eastAsiaTheme="minorEastAsia"/>
              </w:rPr>
              <w:t>在</w:t>
            </w:r>
            <w:r>
              <w:rPr>
                <w:rFonts w:hint="eastAsia" w:eastAsiaTheme="minorEastAsia"/>
              </w:rPr>
              <w:t>85</w:t>
            </w:r>
            <w:r>
              <w:rPr>
                <w:rFonts w:eastAsiaTheme="minorEastAsia"/>
              </w:rPr>
              <w:t>-100dB（A）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9498" w:type="dxa"/>
            <w:gridSpan w:val="6"/>
            <w:vAlign w:val="center"/>
          </w:tcPr>
          <w:p>
            <w:pPr>
              <w:widowControl w:val="0"/>
              <w:spacing w:line="240" w:lineRule="auto"/>
              <w:rPr>
                <w:rFonts w:eastAsiaTheme="minorEastAsia"/>
              </w:rPr>
            </w:pPr>
            <w:r>
              <w:rPr>
                <w:rFonts w:eastAsiaTheme="minorEastAsia"/>
              </w:rPr>
              <w:t>备注</w:t>
            </w:r>
            <w:r>
              <w:rPr>
                <w:rFonts w:hint="eastAsia" w:eastAsiaTheme="minorEastAsia"/>
              </w:rPr>
              <w:t>：表中生活污水排放浓度为</w:t>
            </w:r>
            <w:r>
              <w:rPr>
                <w:rFonts w:hint="eastAsia"/>
              </w:rPr>
              <w:t>化粪池处理后的水污染物浓度，化粪池定期进行清掏作为农肥用于林地浇灌，生活污水</w:t>
            </w:r>
            <w:r>
              <w:rPr>
                <w:rFonts w:hint="eastAsia" w:eastAsiaTheme="minorEastAsia"/>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3" w:hRule="atLeast"/>
        </w:trPr>
        <w:tc>
          <w:tcPr>
            <w:tcW w:w="9498" w:type="dxa"/>
            <w:gridSpan w:val="6"/>
          </w:tcPr>
          <w:p>
            <w:pPr>
              <w:widowControl w:val="0"/>
              <w:adjustRightInd w:val="0"/>
              <w:snapToGrid w:val="0"/>
              <w:spacing w:before="156" w:beforeLines="50"/>
              <w:rPr>
                <w:b/>
                <w:bCs/>
              </w:rPr>
            </w:pPr>
            <w:r>
              <w:rPr>
                <w:b/>
                <w:bCs/>
              </w:rPr>
              <w:t>主要生态影响：</w:t>
            </w:r>
          </w:p>
          <w:p>
            <w:pPr>
              <w:widowControl w:val="0"/>
              <w:ind w:firstLine="480" w:firstLineChars="200"/>
            </w:pPr>
            <w:r>
              <w:t>项目建设不会对周围生态环境产生明显的破坏和影响。项目</w:t>
            </w:r>
            <w:r>
              <w:rPr>
                <w:rFonts w:hint="eastAsia"/>
              </w:rPr>
              <w:t>所在地为高速公路配套渣石场</w:t>
            </w:r>
            <w:r>
              <w:t>，待</w:t>
            </w:r>
            <w:r>
              <w:rPr>
                <w:rFonts w:hint="eastAsia"/>
              </w:rPr>
              <w:t>公路施工完成，项目拆除之后，将对厂区进行植被修复，</w:t>
            </w:r>
            <w:r>
              <w:t>使区域生态环境得到一定的补偿，生态环境破坏能够减至最低程度。</w:t>
            </w:r>
          </w:p>
        </w:tc>
      </w:tr>
    </w:tbl>
    <w:p>
      <w:pPr>
        <w:sectPr>
          <w:pgSz w:w="11906" w:h="16838"/>
          <w:pgMar w:top="1440" w:right="1797" w:bottom="1440" w:left="1797" w:header="1191" w:footer="1191" w:gutter="0"/>
          <w:cols w:space="425" w:num="1"/>
          <w:docGrid w:type="linesAndChars" w:linePitch="312" w:charSpace="0"/>
        </w:sectPr>
      </w:pPr>
      <w:bookmarkStart w:id="63" w:name="_Toc32213"/>
    </w:p>
    <w:p>
      <w:pPr>
        <w:keepNext/>
        <w:keepLines/>
        <w:outlineLvl w:val="0"/>
        <w:rPr>
          <w:rFonts w:asciiTheme="minorEastAsia" w:hAnsiTheme="minorEastAsia" w:eastAsiaTheme="minorEastAsia"/>
          <w:b/>
          <w:bCs/>
          <w:kern w:val="44"/>
          <w:sz w:val="28"/>
          <w:szCs w:val="28"/>
        </w:rPr>
      </w:pPr>
      <w:r>
        <w:rPr>
          <w:rFonts w:asciiTheme="minorEastAsia" w:hAnsiTheme="minorEastAsia" w:eastAsiaTheme="minorEastAsia"/>
          <w:b/>
          <w:bCs/>
          <w:kern w:val="44"/>
          <w:sz w:val="28"/>
          <w:szCs w:val="28"/>
        </w:rPr>
        <w:t>环境影响分析</w:t>
      </w:r>
      <w:bookmarkEnd w:id="63"/>
    </w:p>
    <w:tbl>
      <w:tblPr>
        <w:tblStyle w:val="25"/>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7" w:hRule="atLeast"/>
        </w:trPr>
        <w:tc>
          <w:tcPr>
            <w:tcW w:w="9215" w:type="dxa"/>
          </w:tcPr>
          <w:p>
            <w:pPr>
              <w:widowControl w:val="0"/>
              <w:tabs>
                <w:tab w:val="left" w:pos="11"/>
              </w:tabs>
              <w:rPr>
                <w:rFonts w:asciiTheme="minorEastAsia" w:hAnsiTheme="minorEastAsia" w:eastAsiaTheme="minorEastAsia"/>
                <w:b/>
                <w:kern w:val="0"/>
              </w:rPr>
            </w:pPr>
            <w:r>
              <w:rPr>
                <w:rFonts w:asciiTheme="minorEastAsia" w:hAnsiTheme="minorEastAsia" w:eastAsiaTheme="minorEastAsia"/>
                <w:b/>
                <w:kern w:val="0"/>
              </w:rPr>
              <w:t>施工期环境影响分析</w:t>
            </w:r>
          </w:p>
          <w:p>
            <w:pPr>
              <w:widowControl w:val="0"/>
              <w:tabs>
                <w:tab w:val="left" w:pos="11"/>
              </w:tabs>
              <w:ind w:firstLine="480" w:firstLineChars="200"/>
              <w:rPr>
                <w:kern w:val="0"/>
              </w:rPr>
            </w:pPr>
            <w:r>
              <w:rPr>
                <w:kern w:val="0"/>
              </w:rPr>
              <w:t>一、废气</w:t>
            </w:r>
          </w:p>
          <w:p>
            <w:pPr>
              <w:widowControl w:val="0"/>
              <w:tabs>
                <w:tab w:val="left" w:pos="11"/>
              </w:tabs>
              <w:ind w:firstLine="480" w:firstLineChars="200"/>
              <w:rPr>
                <w:kern w:val="0"/>
              </w:rPr>
            </w:pPr>
            <w:r>
              <w:rPr>
                <w:rFonts w:hint="eastAsia"/>
                <w:kern w:val="0"/>
              </w:rPr>
              <w:t>1、</w:t>
            </w:r>
            <w:r>
              <w:rPr>
                <w:kern w:val="0"/>
              </w:rPr>
              <w:t>道路扬尘</w:t>
            </w:r>
          </w:p>
          <w:p>
            <w:pPr>
              <w:widowControl w:val="0"/>
              <w:tabs>
                <w:tab w:val="left" w:pos="11"/>
              </w:tabs>
              <w:ind w:firstLine="480" w:firstLineChars="200"/>
              <w:rPr>
                <w:kern w:val="0"/>
              </w:rPr>
            </w:pPr>
            <w:r>
              <w:rPr>
                <w:kern w:val="0"/>
              </w:rPr>
              <w:t>施工运输车辆行驶过程产生道路扬尘，一辆10t卡车通过一段长度为1km路面时，不同路面清洁程度，不同行驶速度下的扬尘量按经验公式计算后的路表粉尘量见表</w:t>
            </w:r>
            <w:r>
              <w:rPr>
                <w:rFonts w:hint="eastAsia"/>
                <w:kern w:val="0"/>
              </w:rPr>
              <w:t>7-</w:t>
            </w:r>
            <w:r>
              <w:rPr>
                <w:kern w:val="0"/>
              </w:rPr>
              <w:t>1</w:t>
            </w:r>
            <w:r>
              <w:rPr>
                <w:rFonts w:hint="eastAsia"/>
                <w:kern w:val="0"/>
              </w:rPr>
              <w:t>。</w:t>
            </w:r>
          </w:p>
          <w:p>
            <w:pPr>
              <w:pStyle w:val="44"/>
              <w:widowControl w:val="0"/>
              <w:numPr>
                <w:ilvl w:val="0"/>
                <w:numId w:val="7"/>
              </w:numPr>
              <w:tabs>
                <w:tab w:val="left" w:pos="11"/>
              </w:tabs>
              <w:spacing w:line="240" w:lineRule="auto"/>
              <w:ind w:left="0" w:firstLine="0" w:firstLineChars="0"/>
              <w:jc w:val="center"/>
              <w:rPr>
                <w:kern w:val="0"/>
              </w:rPr>
            </w:pPr>
            <w:r>
              <w:rPr>
                <w:b/>
                <w:bCs/>
                <w:kern w:val="0"/>
                <w:sz w:val="21"/>
                <w:szCs w:val="21"/>
              </w:rPr>
              <w:t>不同车速和地面清洁程度的汽车扬尘   单位：kg/辆·km</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1"/>
              <w:gridCol w:w="1228"/>
              <w:gridCol w:w="1228"/>
              <w:gridCol w:w="1228"/>
              <w:gridCol w:w="1228"/>
              <w:gridCol w:w="1228"/>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991" w:type="pct"/>
                  <w:tcBorders>
                    <w:top w:val="single" w:color="auto" w:sz="4" w:space="0"/>
                    <w:left w:val="single" w:color="auto" w:sz="4" w:space="0"/>
                    <w:bottom w:val="single" w:color="auto" w:sz="4" w:space="0"/>
                    <w:right w:val="single" w:color="auto" w:sz="4" w:space="0"/>
                    <w:tl2br w:val="single" w:color="auto" w:sz="4" w:space="0"/>
                  </w:tcBorders>
                  <w:vAlign w:val="center"/>
                </w:tcPr>
                <w:p>
                  <w:pPr>
                    <w:widowControl w:val="0"/>
                    <w:tabs>
                      <w:tab w:val="left" w:pos="11"/>
                    </w:tabs>
                    <w:snapToGrid w:val="0"/>
                    <w:spacing w:line="240" w:lineRule="auto"/>
                    <w:jc w:val="right"/>
                    <w:rPr>
                      <w:bCs/>
                      <w:kern w:val="0"/>
                      <w:sz w:val="18"/>
                      <w:szCs w:val="18"/>
                    </w:rPr>
                  </w:pPr>
                  <w:r>
                    <w:rPr>
                      <w:bCs/>
                      <w:kern w:val="0"/>
                      <w:sz w:val="18"/>
                      <w:szCs w:val="18"/>
                    </w:rPr>
                    <w:t xml:space="preserve"> 车速</w:t>
                  </w:r>
                </w:p>
                <w:p>
                  <w:pPr>
                    <w:widowControl w:val="0"/>
                    <w:tabs>
                      <w:tab w:val="left" w:pos="11"/>
                    </w:tabs>
                    <w:spacing w:line="240" w:lineRule="auto"/>
                    <w:jc w:val="left"/>
                    <w:rPr>
                      <w:bCs/>
                      <w:kern w:val="0"/>
                      <w:sz w:val="18"/>
                      <w:szCs w:val="18"/>
                    </w:rPr>
                  </w:pPr>
                  <w:r>
                    <w:rPr>
                      <w:bCs/>
                      <w:kern w:val="0"/>
                      <w:sz w:val="18"/>
                      <w:szCs w:val="18"/>
                    </w:rPr>
                    <w:t>路表粉尘量</w:t>
                  </w:r>
                </w:p>
              </w:tc>
              <w:tc>
                <w:tcPr>
                  <w:tcW w:w="668" w:type="pct"/>
                  <w:tcBorders>
                    <w:top w:val="single" w:color="auto" w:sz="4" w:space="0"/>
                    <w:left w:val="single" w:color="auto" w:sz="4" w:space="0"/>
                    <w:bottom w:val="single" w:color="auto" w:sz="4" w:space="0"/>
                    <w:right w:val="single" w:color="auto" w:sz="4" w:space="0"/>
                  </w:tcBorders>
                  <w:vAlign w:val="center"/>
                </w:tcPr>
                <w:p>
                  <w:pPr>
                    <w:widowControl w:val="0"/>
                    <w:tabs>
                      <w:tab w:val="left" w:pos="11"/>
                    </w:tabs>
                    <w:spacing w:line="240" w:lineRule="auto"/>
                    <w:jc w:val="center"/>
                    <w:rPr>
                      <w:bCs/>
                      <w:kern w:val="0"/>
                      <w:sz w:val="21"/>
                      <w:szCs w:val="21"/>
                    </w:rPr>
                  </w:pPr>
                  <w:r>
                    <w:rPr>
                      <w:bCs/>
                      <w:kern w:val="0"/>
                      <w:sz w:val="21"/>
                      <w:szCs w:val="21"/>
                    </w:rPr>
                    <w:t>0.1(kg/m</w:t>
                  </w:r>
                  <w:r>
                    <w:rPr>
                      <w:bCs/>
                      <w:kern w:val="0"/>
                      <w:sz w:val="21"/>
                      <w:szCs w:val="21"/>
                      <w:vertAlign w:val="superscript"/>
                    </w:rPr>
                    <w:t>2</w:t>
                  </w:r>
                  <w:r>
                    <w:rPr>
                      <w:bCs/>
                      <w:kern w:val="0"/>
                      <w:sz w:val="21"/>
                      <w:szCs w:val="21"/>
                    </w:rPr>
                    <w:t>)</w:t>
                  </w:r>
                </w:p>
              </w:tc>
              <w:tc>
                <w:tcPr>
                  <w:tcW w:w="668" w:type="pct"/>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bCs/>
                      <w:kern w:val="0"/>
                      <w:sz w:val="21"/>
                      <w:szCs w:val="21"/>
                    </w:rPr>
                  </w:pPr>
                  <w:r>
                    <w:rPr>
                      <w:bCs/>
                      <w:kern w:val="0"/>
                      <w:sz w:val="21"/>
                      <w:szCs w:val="21"/>
                    </w:rPr>
                    <w:t>0.2(kg/m</w:t>
                  </w:r>
                  <w:r>
                    <w:rPr>
                      <w:bCs/>
                      <w:kern w:val="0"/>
                      <w:sz w:val="21"/>
                      <w:szCs w:val="21"/>
                      <w:vertAlign w:val="superscript"/>
                    </w:rPr>
                    <w:t>2</w:t>
                  </w:r>
                  <w:r>
                    <w:rPr>
                      <w:bCs/>
                      <w:kern w:val="0"/>
                      <w:sz w:val="21"/>
                      <w:szCs w:val="21"/>
                    </w:rPr>
                    <w:t>)</w:t>
                  </w:r>
                </w:p>
              </w:tc>
              <w:tc>
                <w:tcPr>
                  <w:tcW w:w="668" w:type="pct"/>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bCs/>
                      <w:kern w:val="0"/>
                      <w:sz w:val="21"/>
                      <w:szCs w:val="21"/>
                    </w:rPr>
                  </w:pPr>
                  <w:r>
                    <w:rPr>
                      <w:bCs/>
                      <w:kern w:val="0"/>
                      <w:sz w:val="21"/>
                      <w:szCs w:val="21"/>
                    </w:rPr>
                    <w:t>0.3(kg/m</w:t>
                  </w:r>
                  <w:r>
                    <w:rPr>
                      <w:bCs/>
                      <w:kern w:val="0"/>
                      <w:sz w:val="21"/>
                      <w:szCs w:val="21"/>
                      <w:vertAlign w:val="superscript"/>
                    </w:rPr>
                    <w:t>2</w:t>
                  </w:r>
                  <w:r>
                    <w:rPr>
                      <w:bCs/>
                      <w:kern w:val="0"/>
                      <w:sz w:val="21"/>
                      <w:szCs w:val="21"/>
                    </w:rPr>
                    <w:t>)</w:t>
                  </w:r>
                </w:p>
              </w:tc>
              <w:tc>
                <w:tcPr>
                  <w:tcW w:w="668" w:type="pct"/>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bCs/>
                      <w:kern w:val="0"/>
                      <w:sz w:val="21"/>
                      <w:szCs w:val="21"/>
                    </w:rPr>
                  </w:pPr>
                  <w:r>
                    <w:rPr>
                      <w:bCs/>
                      <w:kern w:val="0"/>
                      <w:sz w:val="21"/>
                      <w:szCs w:val="21"/>
                    </w:rPr>
                    <w:t>0.4(kg/m</w:t>
                  </w:r>
                  <w:r>
                    <w:rPr>
                      <w:bCs/>
                      <w:kern w:val="0"/>
                      <w:sz w:val="21"/>
                      <w:szCs w:val="21"/>
                      <w:vertAlign w:val="superscript"/>
                    </w:rPr>
                    <w:t>2</w:t>
                  </w:r>
                  <w:r>
                    <w:rPr>
                      <w:bCs/>
                      <w:kern w:val="0"/>
                      <w:sz w:val="21"/>
                      <w:szCs w:val="21"/>
                    </w:rPr>
                    <w:t>)</w:t>
                  </w:r>
                </w:p>
              </w:tc>
              <w:tc>
                <w:tcPr>
                  <w:tcW w:w="668" w:type="pct"/>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bCs/>
                      <w:kern w:val="0"/>
                      <w:sz w:val="21"/>
                      <w:szCs w:val="21"/>
                    </w:rPr>
                  </w:pPr>
                  <w:r>
                    <w:rPr>
                      <w:bCs/>
                      <w:kern w:val="0"/>
                      <w:sz w:val="21"/>
                      <w:szCs w:val="21"/>
                    </w:rPr>
                    <w:t>0.5(kg/m</w:t>
                  </w:r>
                  <w:r>
                    <w:rPr>
                      <w:bCs/>
                      <w:kern w:val="0"/>
                      <w:sz w:val="21"/>
                      <w:szCs w:val="21"/>
                      <w:vertAlign w:val="superscript"/>
                    </w:rPr>
                    <w:t>2</w:t>
                  </w:r>
                  <w:r>
                    <w:rPr>
                      <w:bCs/>
                      <w:kern w:val="0"/>
                      <w:sz w:val="21"/>
                      <w:szCs w:val="21"/>
                    </w:rPr>
                    <w:t>)</w:t>
                  </w:r>
                </w:p>
              </w:tc>
              <w:tc>
                <w:tcPr>
                  <w:tcW w:w="669" w:type="pct"/>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bCs/>
                      <w:kern w:val="0"/>
                      <w:sz w:val="21"/>
                      <w:szCs w:val="21"/>
                    </w:rPr>
                  </w:pPr>
                  <w:r>
                    <w:rPr>
                      <w:bCs/>
                      <w:kern w:val="0"/>
                      <w:sz w:val="21"/>
                      <w:szCs w:val="21"/>
                    </w:rPr>
                    <w:t>1.0(kg/m</w:t>
                  </w:r>
                  <w:r>
                    <w:rPr>
                      <w:bCs/>
                      <w:kern w:val="0"/>
                      <w:sz w:val="21"/>
                      <w:szCs w:val="21"/>
                      <w:vertAlign w:val="superscript"/>
                    </w:rPr>
                    <w:t>2</w:t>
                  </w:r>
                  <w:r>
                    <w:rPr>
                      <w:bCs/>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91" w:type="pct"/>
                  <w:tcBorders>
                    <w:top w:val="single" w:color="auto" w:sz="4" w:space="0"/>
                    <w:left w:val="single" w:color="auto" w:sz="4" w:space="0"/>
                    <w:bottom w:val="single" w:color="auto" w:sz="4" w:space="0"/>
                    <w:right w:val="single" w:color="auto" w:sz="4" w:space="0"/>
                  </w:tcBorders>
                  <w:vAlign w:val="center"/>
                </w:tcPr>
                <w:p>
                  <w:pPr>
                    <w:widowControl w:val="0"/>
                    <w:tabs>
                      <w:tab w:val="left" w:pos="11"/>
                    </w:tabs>
                    <w:spacing w:line="240" w:lineRule="auto"/>
                    <w:jc w:val="center"/>
                    <w:rPr>
                      <w:kern w:val="0"/>
                      <w:sz w:val="21"/>
                      <w:szCs w:val="21"/>
                    </w:rPr>
                  </w:pPr>
                  <w:r>
                    <w:rPr>
                      <w:kern w:val="0"/>
                      <w:sz w:val="21"/>
                      <w:szCs w:val="21"/>
                    </w:rPr>
                    <w:t>5(km/h)</w:t>
                  </w:r>
                </w:p>
              </w:tc>
              <w:tc>
                <w:tcPr>
                  <w:tcW w:w="668" w:type="pct"/>
                  <w:tcBorders>
                    <w:top w:val="single" w:color="auto" w:sz="4" w:space="0"/>
                    <w:left w:val="single" w:color="auto" w:sz="4" w:space="0"/>
                    <w:bottom w:val="single" w:color="auto" w:sz="4" w:space="0"/>
                    <w:right w:val="single" w:color="auto" w:sz="4" w:space="0"/>
                  </w:tcBorders>
                  <w:vAlign w:val="center"/>
                </w:tcPr>
                <w:p>
                  <w:pPr>
                    <w:widowControl w:val="0"/>
                    <w:tabs>
                      <w:tab w:val="left" w:pos="11"/>
                    </w:tabs>
                    <w:spacing w:line="240" w:lineRule="auto"/>
                    <w:jc w:val="center"/>
                    <w:rPr>
                      <w:kern w:val="0"/>
                      <w:sz w:val="21"/>
                      <w:szCs w:val="21"/>
                    </w:rPr>
                  </w:pPr>
                  <w:r>
                    <w:rPr>
                      <w:kern w:val="0"/>
                      <w:sz w:val="21"/>
                      <w:szCs w:val="21"/>
                    </w:rPr>
                    <w:t>0.051</w:t>
                  </w:r>
                </w:p>
              </w:tc>
              <w:tc>
                <w:tcPr>
                  <w:tcW w:w="668" w:type="pct"/>
                  <w:tcBorders>
                    <w:top w:val="single" w:color="auto" w:sz="4" w:space="0"/>
                    <w:left w:val="single" w:color="auto" w:sz="4" w:space="0"/>
                    <w:bottom w:val="single" w:color="auto" w:sz="4" w:space="0"/>
                    <w:right w:val="single" w:color="auto" w:sz="4" w:space="0"/>
                  </w:tcBorders>
                  <w:vAlign w:val="center"/>
                </w:tcPr>
                <w:p>
                  <w:pPr>
                    <w:widowControl w:val="0"/>
                    <w:tabs>
                      <w:tab w:val="left" w:pos="11"/>
                    </w:tabs>
                    <w:spacing w:line="240" w:lineRule="auto"/>
                    <w:jc w:val="center"/>
                    <w:rPr>
                      <w:kern w:val="0"/>
                      <w:sz w:val="21"/>
                      <w:szCs w:val="21"/>
                    </w:rPr>
                  </w:pPr>
                  <w:r>
                    <w:rPr>
                      <w:kern w:val="0"/>
                      <w:sz w:val="21"/>
                      <w:szCs w:val="21"/>
                    </w:rPr>
                    <w:t>0.086</w:t>
                  </w:r>
                </w:p>
              </w:tc>
              <w:tc>
                <w:tcPr>
                  <w:tcW w:w="668" w:type="pct"/>
                  <w:tcBorders>
                    <w:top w:val="single" w:color="auto" w:sz="4" w:space="0"/>
                    <w:left w:val="single" w:color="auto" w:sz="4" w:space="0"/>
                    <w:bottom w:val="single" w:color="auto" w:sz="4" w:space="0"/>
                    <w:right w:val="single" w:color="auto" w:sz="4" w:space="0"/>
                  </w:tcBorders>
                  <w:vAlign w:val="center"/>
                </w:tcPr>
                <w:p>
                  <w:pPr>
                    <w:widowControl w:val="0"/>
                    <w:tabs>
                      <w:tab w:val="left" w:pos="11"/>
                    </w:tabs>
                    <w:spacing w:line="240" w:lineRule="auto"/>
                    <w:jc w:val="center"/>
                    <w:rPr>
                      <w:kern w:val="0"/>
                      <w:sz w:val="21"/>
                      <w:szCs w:val="21"/>
                    </w:rPr>
                  </w:pPr>
                  <w:r>
                    <w:rPr>
                      <w:kern w:val="0"/>
                      <w:sz w:val="21"/>
                      <w:szCs w:val="21"/>
                    </w:rPr>
                    <w:t>0.116</w:t>
                  </w:r>
                </w:p>
              </w:tc>
              <w:tc>
                <w:tcPr>
                  <w:tcW w:w="668" w:type="pct"/>
                  <w:tcBorders>
                    <w:top w:val="single" w:color="auto" w:sz="4" w:space="0"/>
                    <w:left w:val="single" w:color="auto" w:sz="4" w:space="0"/>
                    <w:bottom w:val="single" w:color="auto" w:sz="4" w:space="0"/>
                    <w:right w:val="single" w:color="auto" w:sz="4" w:space="0"/>
                  </w:tcBorders>
                  <w:vAlign w:val="center"/>
                </w:tcPr>
                <w:p>
                  <w:pPr>
                    <w:widowControl w:val="0"/>
                    <w:tabs>
                      <w:tab w:val="left" w:pos="11"/>
                    </w:tabs>
                    <w:spacing w:line="240" w:lineRule="auto"/>
                    <w:jc w:val="center"/>
                    <w:rPr>
                      <w:kern w:val="0"/>
                      <w:sz w:val="21"/>
                      <w:szCs w:val="21"/>
                    </w:rPr>
                  </w:pPr>
                  <w:r>
                    <w:rPr>
                      <w:kern w:val="0"/>
                      <w:sz w:val="21"/>
                      <w:szCs w:val="21"/>
                    </w:rPr>
                    <w:t>0.144</w:t>
                  </w:r>
                </w:p>
              </w:tc>
              <w:tc>
                <w:tcPr>
                  <w:tcW w:w="668" w:type="pct"/>
                  <w:tcBorders>
                    <w:top w:val="single" w:color="auto" w:sz="4" w:space="0"/>
                    <w:left w:val="single" w:color="auto" w:sz="4" w:space="0"/>
                    <w:bottom w:val="single" w:color="auto" w:sz="4" w:space="0"/>
                    <w:right w:val="single" w:color="auto" w:sz="4" w:space="0"/>
                  </w:tcBorders>
                  <w:vAlign w:val="center"/>
                </w:tcPr>
                <w:p>
                  <w:pPr>
                    <w:widowControl w:val="0"/>
                    <w:tabs>
                      <w:tab w:val="left" w:pos="11"/>
                    </w:tabs>
                    <w:spacing w:line="240" w:lineRule="auto"/>
                    <w:jc w:val="center"/>
                    <w:rPr>
                      <w:kern w:val="0"/>
                      <w:sz w:val="21"/>
                      <w:szCs w:val="21"/>
                    </w:rPr>
                  </w:pPr>
                  <w:r>
                    <w:rPr>
                      <w:kern w:val="0"/>
                      <w:sz w:val="21"/>
                      <w:szCs w:val="21"/>
                    </w:rPr>
                    <w:t>0.171</w:t>
                  </w:r>
                </w:p>
              </w:tc>
              <w:tc>
                <w:tcPr>
                  <w:tcW w:w="669" w:type="pct"/>
                  <w:tcBorders>
                    <w:top w:val="single" w:color="auto" w:sz="4" w:space="0"/>
                    <w:left w:val="single" w:color="auto" w:sz="4" w:space="0"/>
                    <w:bottom w:val="single" w:color="auto" w:sz="4" w:space="0"/>
                    <w:right w:val="single" w:color="auto" w:sz="4" w:space="0"/>
                  </w:tcBorders>
                  <w:vAlign w:val="center"/>
                </w:tcPr>
                <w:p>
                  <w:pPr>
                    <w:widowControl w:val="0"/>
                    <w:tabs>
                      <w:tab w:val="left" w:pos="11"/>
                    </w:tabs>
                    <w:spacing w:line="240" w:lineRule="auto"/>
                    <w:jc w:val="center"/>
                    <w:rPr>
                      <w:kern w:val="0"/>
                      <w:sz w:val="21"/>
                      <w:szCs w:val="21"/>
                    </w:rPr>
                  </w:pPr>
                  <w:r>
                    <w:rPr>
                      <w:kern w:val="0"/>
                      <w:sz w:val="21"/>
                      <w:szCs w:val="21"/>
                    </w:rPr>
                    <w:t>0.287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91" w:type="pct"/>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kern w:val="0"/>
                      <w:sz w:val="21"/>
                      <w:szCs w:val="21"/>
                    </w:rPr>
                  </w:pPr>
                  <w:r>
                    <w:rPr>
                      <w:kern w:val="0"/>
                      <w:sz w:val="21"/>
                      <w:szCs w:val="21"/>
                    </w:rPr>
                    <w:t>10(km/h)</w:t>
                  </w:r>
                </w:p>
              </w:tc>
              <w:tc>
                <w:tcPr>
                  <w:tcW w:w="668" w:type="pct"/>
                  <w:tcBorders>
                    <w:top w:val="single" w:color="auto" w:sz="4" w:space="0"/>
                    <w:left w:val="single" w:color="auto" w:sz="4" w:space="0"/>
                    <w:bottom w:val="single" w:color="auto" w:sz="4" w:space="0"/>
                    <w:right w:val="single" w:color="auto" w:sz="4" w:space="0"/>
                  </w:tcBorders>
                  <w:vAlign w:val="center"/>
                </w:tcPr>
                <w:p>
                  <w:pPr>
                    <w:widowControl w:val="0"/>
                    <w:tabs>
                      <w:tab w:val="left" w:pos="11"/>
                    </w:tabs>
                    <w:spacing w:line="240" w:lineRule="auto"/>
                    <w:jc w:val="center"/>
                    <w:rPr>
                      <w:kern w:val="0"/>
                      <w:sz w:val="21"/>
                      <w:szCs w:val="21"/>
                    </w:rPr>
                  </w:pPr>
                  <w:r>
                    <w:rPr>
                      <w:kern w:val="0"/>
                      <w:sz w:val="21"/>
                      <w:szCs w:val="21"/>
                    </w:rPr>
                    <w:t>0.102</w:t>
                  </w:r>
                </w:p>
              </w:tc>
              <w:tc>
                <w:tcPr>
                  <w:tcW w:w="668" w:type="pct"/>
                  <w:tcBorders>
                    <w:top w:val="single" w:color="auto" w:sz="4" w:space="0"/>
                    <w:left w:val="single" w:color="auto" w:sz="4" w:space="0"/>
                    <w:bottom w:val="single" w:color="auto" w:sz="4" w:space="0"/>
                    <w:right w:val="single" w:color="auto" w:sz="4" w:space="0"/>
                  </w:tcBorders>
                  <w:vAlign w:val="center"/>
                </w:tcPr>
                <w:p>
                  <w:pPr>
                    <w:widowControl w:val="0"/>
                    <w:tabs>
                      <w:tab w:val="left" w:pos="11"/>
                    </w:tabs>
                    <w:spacing w:line="240" w:lineRule="auto"/>
                    <w:jc w:val="center"/>
                    <w:rPr>
                      <w:kern w:val="0"/>
                      <w:sz w:val="21"/>
                      <w:szCs w:val="21"/>
                    </w:rPr>
                  </w:pPr>
                  <w:r>
                    <w:rPr>
                      <w:kern w:val="0"/>
                      <w:sz w:val="21"/>
                      <w:szCs w:val="21"/>
                    </w:rPr>
                    <w:t>0.172</w:t>
                  </w:r>
                </w:p>
              </w:tc>
              <w:tc>
                <w:tcPr>
                  <w:tcW w:w="668" w:type="pct"/>
                  <w:tcBorders>
                    <w:top w:val="single" w:color="auto" w:sz="4" w:space="0"/>
                    <w:left w:val="single" w:color="auto" w:sz="4" w:space="0"/>
                    <w:bottom w:val="single" w:color="auto" w:sz="4" w:space="0"/>
                    <w:right w:val="single" w:color="auto" w:sz="4" w:space="0"/>
                  </w:tcBorders>
                  <w:vAlign w:val="center"/>
                </w:tcPr>
                <w:p>
                  <w:pPr>
                    <w:widowControl w:val="0"/>
                    <w:tabs>
                      <w:tab w:val="left" w:pos="11"/>
                    </w:tabs>
                    <w:spacing w:line="240" w:lineRule="auto"/>
                    <w:jc w:val="center"/>
                    <w:rPr>
                      <w:kern w:val="0"/>
                      <w:sz w:val="21"/>
                      <w:szCs w:val="21"/>
                    </w:rPr>
                  </w:pPr>
                  <w:r>
                    <w:rPr>
                      <w:kern w:val="0"/>
                      <w:sz w:val="21"/>
                      <w:szCs w:val="21"/>
                    </w:rPr>
                    <w:t>0.233</w:t>
                  </w:r>
                </w:p>
              </w:tc>
              <w:tc>
                <w:tcPr>
                  <w:tcW w:w="668" w:type="pct"/>
                  <w:tcBorders>
                    <w:top w:val="single" w:color="auto" w:sz="4" w:space="0"/>
                    <w:left w:val="single" w:color="auto" w:sz="4" w:space="0"/>
                    <w:bottom w:val="single" w:color="auto" w:sz="4" w:space="0"/>
                    <w:right w:val="single" w:color="auto" w:sz="4" w:space="0"/>
                  </w:tcBorders>
                  <w:vAlign w:val="center"/>
                </w:tcPr>
                <w:p>
                  <w:pPr>
                    <w:widowControl w:val="0"/>
                    <w:tabs>
                      <w:tab w:val="left" w:pos="11"/>
                    </w:tabs>
                    <w:spacing w:line="240" w:lineRule="auto"/>
                    <w:jc w:val="center"/>
                    <w:rPr>
                      <w:kern w:val="0"/>
                      <w:sz w:val="21"/>
                      <w:szCs w:val="21"/>
                    </w:rPr>
                  </w:pPr>
                  <w:r>
                    <w:rPr>
                      <w:kern w:val="0"/>
                      <w:sz w:val="21"/>
                      <w:szCs w:val="21"/>
                    </w:rPr>
                    <w:t>0.289</w:t>
                  </w:r>
                </w:p>
              </w:tc>
              <w:tc>
                <w:tcPr>
                  <w:tcW w:w="668" w:type="pct"/>
                  <w:tcBorders>
                    <w:top w:val="single" w:color="auto" w:sz="4" w:space="0"/>
                    <w:left w:val="single" w:color="auto" w:sz="4" w:space="0"/>
                    <w:bottom w:val="single" w:color="auto" w:sz="4" w:space="0"/>
                    <w:right w:val="single" w:color="auto" w:sz="4" w:space="0"/>
                  </w:tcBorders>
                  <w:vAlign w:val="center"/>
                </w:tcPr>
                <w:p>
                  <w:pPr>
                    <w:widowControl w:val="0"/>
                    <w:tabs>
                      <w:tab w:val="left" w:pos="11"/>
                    </w:tabs>
                    <w:spacing w:line="240" w:lineRule="auto"/>
                    <w:jc w:val="center"/>
                    <w:rPr>
                      <w:kern w:val="0"/>
                      <w:sz w:val="21"/>
                      <w:szCs w:val="21"/>
                    </w:rPr>
                  </w:pPr>
                  <w:r>
                    <w:rPr>
                      <w:kern w:val="0"/>
                      <w:sz w:val="21"/>
                      <w:szCs w:val="21"/>
                    </w:rPr>
                    <w:t>0.341</w:t>
                  </w:r>
                </w:p>
              </w:tc>
              <w:tc>
                <w:tcPr>
                  <w:tcW w:w="669" w:type="pct"/>
                  <w:tcBorders>
                    <w:top w:val="single" w:color="auto" w:sz="4" w:space="0"/>
                    <w:left w:val="single" w:color="auto" w:sz="4" w:space="0"/>
                    <w:bottom w:val="single" w:color="auto" w:sz="4" w:space="0"/>
                    <w:right w:val="single" w:color="auto" w:sz="4" w:space="0"/>
                  </w:tcBorders>
                  <w:vAlign w:val="center"/>
                </w:tcPr>
                <w:p>
                  <w:pPr>
                    <w:widowControl w:val="0"/>
                    <w:tabs>
                      <w:tab w:val="left" w:pos="11"/>
                    </w:tabs>
                    <w:spacing w:line="240" w:lineRule="auto"/>
                    <w:jc w:val="center"/>
                    <w:rPr>
                      <w:kern w:val="0"/>
                      <w:sz w:val="21"/>
                      <w:szCs w:val="21"/>
                    </w:rPr>
                  </w:pPr>
                  <w:r>
                    <w:rPr>
                      <w:kern w:val="0"/>
                      <w:sz w:val="21"/>
                      <w:szCs w:val="21"/>
                    </w:rPr>
                    <w:t>0.574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991" w:type="pct"/>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kern w:val="0"/>
                      <w:sz w:val="21"/>
                      <w:szCs w:val="21"/>
                    </w:rPr>
                  </w:pPr>
                  <w:r>
                    <w:rPr>
                      <w:kern w:val="0"/>
                      <w:sz w:val="21"/>
                      <w:szCs w:val="21"/>
                    </w:rPr>
                    <w:t>15(km/h)</w:t>
                  </w:r>
                </w:p>
              </w:tc>
              <w:tc>
                <w:tcPr>
                  <w:tcW w:w="668" w:type="pct"/>
                  <w:tcBorders>
                    <w:top w:val="single" w:color="auto" w:sz="4" w:space="0"/>
                    <w:left w:val="single" w:color="auto" w:sz="4" w:space="0"/>
                    <w:bottom w:val="single" w:color="auto" w:sz="4" w:space="0"/>
                    <w:right w:val="single" w:color="auto" w:sz="4" w:space="0"/>
                  </w:tcBorders>
                  <w:vAlign w:val="center"/>
                </w:tcPr>
                <w:p>
                  <w:pPr>
                    <w:widowControl w:val="0"/>
                    <w:tabs>
                      <w:tab w:val="left" w:pos="11"/>
                    </w:tabs>
                    <w:spacing w:line="240" w:lineRule="auto"/>
                    <w:jc w:val="center"/>
                    <w:rPr>
                      <w:kern w:val="0"/>
                      <w:sz w:val="21"/>
                      <w:szCs w:val="21"/>
                    </w:rPr>
                  </w:pPr>
                  <w:r>
                    <w:rPr>
                      <w:kern w:val="0"/>
                      <w:sz w:val="21"/>
                      <w:szCs w:val="21"/>
                    </w:rPr>
                    <w:t>0.153</w:t>
                  </w:r>
                </w:p>
              </w:tc>
              <w:tc>
                <w:tcPr>
                  <w:tcW w:w="668" w:type="pct"/>
                  <w:tcBorders>
                    <w:top w:val="single" w:color="auto" w:sz="4" w:space="0"/>
                    <w:left w:val="single" w:color="auto" w:sz="4" w:space="0"/>
                    <w:bottom w:val="single" w:color="auto" w:sz="4" w:space="0"/>
                    <w:right w:val="single" w:color="auto" w:sz="4" w:space="0"/>
                  </w:tcBorders>
                  <w:vAlign w:val="center"/>
                </w:tcPr>
                <w:p>
                  <w:pPr>
                    <w:widowControl w:val="0"/>
                    <w:tabs>
                      <w:tab w:val="left" w:pos="11"/>
                    </w:tabs>
                    <w:spacing w:line="240" w:lineRule="auto"/>
                    <w:jc w:val="center"/>
                    <w:rPr>
                      <w:kern w:val="0"/>
                      <w:sz w:val="21"/>
                      <w:szCs w:val="21"/>
                    </w:rPr>
                  </w:pPr>
                  <w:r>
                    <w:rPr>
                      <w:kern w:val="0"/>
                      <w:sz w:val="21"/>
                      <w:szCs w:val="21"/>
                    </w:rPr>
                    <w:t>0.258</w:t>
                  </w:r>
                </w:p>
              </w:tc>
              <w:tc>
                <w:tcPr>
                  <w:tcW w:w="668" w:type="pct"/>
                  <w:tcBorders>
                    <w:top w:val="single" w:color="auto" w:sz="4" w:space="0"/>
                    <w:left w:val="single" w:color="auto" w:sz="4" w:space="0"/>
                    <w:bottom w:val="single" w:color="auto" w:sz="4" w:space="0"/>
                    <w:right w:val="single" w:color="auto" w:sz="4" w:space="0"/>
                  </w:tcBorders>
                  <w:vAlign w:val="center"/>
                </w:tcPr>
                <w:p>
                  <w:pPr>
                    <w:widowControl w:val="0"/>
                    <w:tabs>
                      <w:tab w:val="left" w:pos="11"/>
                    </w:tabs>
                    <w:spacing w:line="240" w:lineRule="auto"/>
                    <w:jc w:val="center"/>
                    <w:rPr>
                      <w:kern w:val="0"/>
                      <w:sz w:val="21"/>
                      <w:szCs w:val="21"/>
                    </w:rPr>
                  </w:pPr>
                  <w:r>
                    <w:rPr>
                      <w:kern w:val="0"/>
                      <w:sz w:val="21"/>
                      <w:szCs w:val="21"/>
                    </w:rPr>
                    <w:t>0.349</w:t>
                  </w:r>
                </w:p>
              </w:tc>
              <w:tc>
                <w:tcPr>
                  <w:tcW w:w="668" w:type="pct"/>
                  <w:tcBorders>
                    <w:top w:val="single" w:color="auto" w:sz="4" w:space="0"/>
                    <w:left w:val="single" w:color="auto" w:sz="4" w:space="0"/>
                    <w:bottom w:val="single" w:color="auto" w:sz="4" w:space="0"/>
                    <w:right w:val="single" w:color="auto" w:sz="4" w:space="0"/>
                  </w:tcBorders>
                  <w:vAlign w:val="center"/>
                </w:tcPr>
                <w:p>
                  <w:pPr>
                    <w:widowControl w:val="0"/>
                    <w:tabs>
                      <w:tab w:val="left" w:pos="11"/>
                    </w:tabs>
                    <w:spacing w:line="240" w:lineRule="auto"/>
                    <w:jc w:val="center"/>
                    <w:rPr>
                      <w:kern w:val="0"/>
                      <w:sz w:val="21"/>
                      <w:szCs w:val="21"/>
                    </w:rPr>
                  </w:pPr>
                  <w:r>
                    <w:rPr>
                      <w:kern w:val="0"/>
                      <w:sz w:val="21"/>
                      <w:szCs w:val="21"/>
                    </w:rPr>
                    <w:t>0.433</w:t>
                  </w:r>
                </w:p>
              </w:tc>
              <w:tc>
                <w:tcPr>
                  <w:tcW w:w="668" w:type="pct"/>
                  <w:tcBorders>
                    <w:top w:val="single" w:color="auto" w:sz="4" w:space="0"/>
                    <w:left w:val="single" w:color="auto" w:sz="4" w:space="0"/>
                    <w:bottom w:val="single" w:color="auto" w:sz="4" w:space="0"/>
                    <w:right w:val="single" w:color="auto" w:sz="4" w:space="0"/>
                  </w:tcBorders>
                  <w:vAlign w:val="center"/>
                </w:tcPr>
                <w:p>
                  <w:pPr>
                    <w:widowControl w:val="0"/>
                    <w:tabs>
                      <w:tab w:val="left" w:pos="11"/>
                    </w:tabs>
                    <w:spacing w:line="240" w:lineRule="auto"/>
                    <w:jc w:val="center"/>
                    <w:rPr>
                      <w:kern w:val="0"/>
                      <w:sz w:val="21"/>
                      <w:szCs w:val="21"/>
                    </w:rPr>
                  </w:pPr>
                  <w:r>
                    <w:rPr>
                      <w:kern w:val="0"/>
                      <w:sz w:val="21"/>
                      <w:szCs w:val="21"/>
                    </w:rPr>
                    <w:t>0.512</w:t>
                  </w:r>
                </w:p>
              </w:tc>
              <w:tc>
                <w:tcPr>
                  <w:tcW w:w="669" w:type="pct"/>
                  <w:tcBorders>
                    <w:top w:val="single" w:color="auto" w:sz="4" w:space="0"/>
                    <w:left w:val="single" w:color="auto" w:sz="4" w:space="0"/>
                    <w:bottom w:val="single" w:color="auto" w:sz="4" w:space="0"/>
                    <w:right w:val="single" w:color="auto" w:sz="4" w:space="0"/>
                  </w:tcBorders>
                  <w:vAlign w:val="center"/>
                </w:tcPr>
                <w:p>
                  <w:pPr>
                    <w:widowControl w:val="0"/>
                    <w:tabs>
                      <w:tab w:val="left" w:pos="11"/>
                    </w:tabs>
                    <w:spacing w:line="240" w:lineRule="auto"/>
                    <w:jc w:val="center"/>
                    <w:rPr>
                      <w:kern w:val="0"/>
                      <w:sz w:val="21"/>
                      <w:szCs w:val="21"/>
                    </w:rPr>
                  </w:pPr>
                  <w:r>
                    <w:rPr>
                      <w:kern w:val="0"/>
                      <w:sz w:val="21"/>
                      <w:szCs w:val="21"/>
                    </w:rPr>
                    <w:t>0.861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991" w:type="pct"/>
                  <w:tcBorders>
                    <w:top w:val="single" w:color="auto" w:sz="4" w:space="0"/>
                    <w:left w:val="single" w:color="auto" w:sz="4" w:space="0"/>
                    <w:bottom w:val="single" w:color="auto" w:sz="4" w:space="0"/>
                    <w:right w:val="single" w:color="auto" w:sz="4" w:space="0"/>
                  </w:tcBorders>
                  <w:vAlign w:val="center"/>
                </w:tcPr>
                <w:p>
                  <w:pPr>
                    <w:widowControl w:val="0"/>
                    <w:spacing w:line="240" w:lineRule="auto"/>
                    <w:jc w:val="center"/>
                    <w:rPr>
                      <w:kern w:val="0"/>
                      <w:sz w:val="21"/>
                      <w:szCs w:val="21"/>
                    </w:rPr>
                  </w:pPr>
                  <w:r>
                    <w:rPr>
                      <w:kern w:val="0"/>
                      <w:sz w:val="21"/>
                      <w:szCs w:val="21"/>
                    </w:rPr>
                    <w:t>25(km/h)</w:t>
                  </w:r>
                </w:p>
              </w:tc>
              <w:tc>
                <w:tcPr>
                  <w:tcW w:w="668" w:type="pct"/>
                  <w:tcBorders>
                    <w:top w:val="single" w:color="auto" w:sz="4" w:space="0"/>
                    <w:left w:val="single" w:color="auto" w:sz="4" w:space="0"/>
                    <w:bottom w:val="single" w:color="auto" w:sz="4" w:space="0"/>
                    <w:right w:val="single" w:color="auto" w:sz="4" w:space="0"/>
                  </w:tcBorders>
                  <w:vAlign w:val="center"/>
                </w:tcPr>
                <w:p>
                  <w:pPr>
                    <w:widowControl w:val="0"/>
                    <w:tabs>
                      <w:tab w:val="left" w:pos="11"/>
                    </w:tabs>
                    <w:spacing w:line="240" w:lineRule="auto"/>
                    <w:jc w:val="center"/>
                    <w:rPr>
                      <w:kern w:val="0"/>
                      <w:sz w:val="21"/>
                      <w:szCs w:val="21"/>
                    </w:rPr>
                  </w:pPr>
                  <w:r>
                    <w:rPr>
                      <w:kern w:val="0"/>
                      <w:sz w:val="21"/>
                      <w:szCs w:val="21"/>
                    </w:rPr>
                    <w:t>0.255</w:t>
                  </w:r>
                </w:p>
              </w:tc>
              <w:tc>
                <w:tcPr>
                  <w:tcW w:w="668" w:type="pct"/>
                  <w:tcBorders>
                    <w:top w:val="single" w:color="auto" w:sz="4" w:space="0"/>
                    <w:left w:val="single" w:color="auto" w:sz="4" w:space="0"/>
                    <w:bottom w:val="single" w:color="auto" w:sz="4" w:space="0"/>
                    <w:right w:val="single" w:color="auto" w:sz="4" w:space="0"/>
                  </w:tcBorders>
                  <w:vAlign w:val="center"/>
                </w:tcPr>
                <w:p>
                  <w:pPr>
                    <w:widowControl w:val="0"/>
                    <w:tabs>
                      <w:tab w:val="left" w:pos="11"/>
                    </w:tabs>
                    <w:spacing w:line="240" w:lineRule="auto"/>
                    <w:jc w:val="center"/>
                    <w:rPr>
                      <w:kern w:val="0"/>
                      <w:sz w:val="21"/>
                      <w:szCs w:val="21"/>
                    </w:rPr>
                  </w:pPr>
                  <w:r>
                    <w:rPr>
                      <w:kern w:val="0"/>
                      <w:sz w:val="21"/>
                      <w:szCs w:val="21"/>
                    </w:rPr>
                    <w:t>0.429</w:t>
                  </w:r>
                </w:p>
              </w:tc>
              <w:tc>
                <w:tcPr>
                  <w:tcW w:w="668" w:type="pct"/>
                  <w:tcBorders>
                    <w:top w:val="single" w:color="auto" w:sz="4" w:space="0"/>
                    <w:left w:val="single" w:color="auto" w:sz="4" w:space="0"/>
                    <w:bottom w:val="single" w:color="auto" w:sz="4" w:space="0"/>
                    <w:right w:val="single" w:color="auto" w:sz="4" w:space="0"/>
                  </w:tcBorders>
                  <w:vAlign w:val="center"/>
                </w:tcPr>
                <w:p>
                  <w:pPr>
                    <w:widowControl w:val="0"/>
                    <w:tabs>
                      <w:tab w:val="left" w:pos="11"/>
                    </w:tabs>
                    <w:spacing w:line="240" w:lineRule="auto"/>
                    <w:jc w:val="center"/>
                    <w:rPr>
                      <w:kern w:val="0"/>
                      <w:sz w:val="21"/>
                      <w:szCs w:val="21"/>
                    </w:rPr>
                  </w:pPr>
                  <w:r>
                    <w:rPr>
                      <w:kern w:val="0"/>
                      <w:sz w:val="21"/>
                      <w:szCs w:val="21"/>
                    </w:rPr>
                    <w:t>0.582</w:t>
                  </w:r>
                </w:p>
              </w:tc>
              <w:tc>
                <w:tcPr>
                  <w:tcW w:w="668" w:type="pct"/>
                  <w:tcBorders>
                    <w:top w:val="single" w:color="auto" w:sz="4" w:space="0"/>
                    <w:left w:val="single" w:color="auto" w:sz="4" w:space="0"/>
                    <w:bottom w:val="single" w:color="auto" w:sz="4" w:space="0"/>
                    <w:right w:val="single" w:color="auto" w:sz="4" w:space="0"/>
                  </w:tcBorders>
                  <w:vAlign w:val="center"/>
                </w:tcPr>
                <w:p>
                  <w:pPr>
                    <w:widowControl w:val="0"/>
                    <w:tabs>
                      <w:tab w:val="left" w:pos="11"/>
                    </w:tabs>
                    <w:spacing w:line="240" w:lineRule="auto"/>
                    <w:jc w:val="center"/>
                    <w:rPr>
                      <w:kern w:val="0"/>
                      <w:sz w:val="21"/>
                      <w:szCs w:val="21"/>
                    </w:rPr>
                  </w:pPr>
                  <w:r>
                    <w:rPr>
                      <w:kern w:val="0"/>
                      <w:sz w:val="21"/>
                      <w:szCs w:val="21"/>
                    </w:rPr>
                    <w:t>0.722</w:t>
                  </w:r>
                </w:p>
              </w:tc>
              <w:tc>
                <w:tcPr>
                  <w:tcW w:w="668" w:type="pct"/>
                  <w:tcBorders>
                    <w:top w:val="single" w:color="auto" w:sz="4" w:space="0"/>
                    <w:left w:val="single" w:color="auto" w:sz="4" w:space="0"/>
                    <w:bottom w:val="single" w:color="auto" w:sz="4" w:space="0"/>
                    <w:right w:val="single" w:color="auto" w:sz="4" w:space="0"/>
                  </w:tcBorders>
                  <w:vAlign w:val="center"/>
                </w:tcPr>
                <w:p>
                  <w:pPr>
                    <w:widowControl w:val="0"/>
                    <w:tabs>
                      <w:tab w:val="left" w:pos="11"/>
                    </w:tabs>
                    <w:spacing w:line="240" w:lineRule="auto"/>
                    <w:jc w:val="center"/>
                    <w:rPr>
                      <w:kern w:val="0"/>
                      <w:sz w:val="21"/>
                      <w:szCs w:val="21"/>
                    </w:rPr>
                  </w:pPr>
                  <w:r>
                    <w:rPr>
                      <w:kern w:val="0"/>
                      <w:sz w:val="21"/>
                      <w:szCs w:val="21"/>
                    </w:rPr>
                    <w:t>0.854</w:t>
                  </w:r>
                </w:p>
              </w:tc>
              <w:tc>
                <w:tcPr>
                  <w:tcW w:w="669" w:type="pct"/>
                  <w:tcBorders>
                    <w:top w:val="single" w:color="auto" w:sz="4" w:space="0"/>
                    <w:left w:val="single" w:color="auto" w:sz="4" w:space="0"/>
                    <w:bottom w:val="single" w:color="auto" w:sz="4" w:space="0"/>
                    <w:right w:val="single" w:color="auto" w:sz="4" w:space="0"/>
                  </w:tcBorders>
                  <w:vAlign w:val="center"/>
                </w:tcPr>
                <w:p>
                  <w:pPr>
                    <w:widowControl w:val="0"/>
                    <w:tabs>
                      <w:tab w:val="left" w:pos="11"/>
                    </w:tabs>
                    <w:spacing w:line="240" w:lineRule="auto"/>
                    <w:jc w:val="center"/>
                    <w:rPr>
                      <w:kern w:val="0"/>
                      <w:sz w:val="21"/>
                      <w:szCs w:val="21"/>
                    </w:rPr>
                  </w:pPr>
                  <w:r>
                    <w:rPr>
                      <w:kern w:val="0"/>
                      <w:sz w:val="21"/>
                      <w:szCs w:val="21"/>
                    </w:rPr>
                    <w:t>1.436</w:t>
                  </w:r>
                </w:p>
              </w:tc>
            </w:tr>
          </w:tbl>
          <w:p>
            <w:pPr>
              <w:widowControl w:val="0"/>
              <w:tabs>
                <w:tab w:val="left" w:pos="11"/>
              </w:tabs>
              <w:ind w:firstLine="480" w:firstLineChars="200"/>
              <w:rPr>
                <w:kern w:val="0"/>
              </w:rPr>
            </w:pPr>
            <w:r>
              <w:rPr>
                <w:kern w:val="0"/>
              </w:rPr>
              <w:t>由此可见，在同样路面清洁程度条件下，车速越快，扬尘量越大；而在同样车速情况下，路面越脏，则扬尘量更大。</w:t>
            </w:r>
          </w:p>
          <w:p>
            <w:pPr>
              <w:widowControl w:val="0"/>
              <w:tabs>
                <w:tab w:val="left" w:pos="11"/>
              </w:tabs>
              <w:ind w:firstLine="480" w:firstLineChars="200"/>
              <w:rPr>
                <w:kern w:val="0"/>
              </w:rPr>
            </w:pPr>
            <w:r>
              <w:rPr>
                <w:rFonts w:hint="eastAsia"/>
                <w:kern w:val="0"/>
              </w:rPr>
              <w:t>2、</w:t>
            </w:r>
            <w:r>
              <w:rPr>
                <w:kern w:val="0"/>
              </w:rPr>
              <w:t>裸露地面扬尘</w:t>
            </w:r>
          </w:p>
          <w:p>
            <w:pPr>
              <w:widowControl w:val="0"/>
              <w:tabs>
                <w:tab w:val="left" w:pos="11"/>
              </w:tabs>
              <w:ind w:firstLine="480" w:firstLineChars="200"/>
              <w:rPr>
                <w:kern w:val="0"/>
              </w:rPr>
            </w:pPr>
            <w:r>
              <w:rPr>
                <w:kern w:val="0"/>
              </w:rPr>
              <w:t>项目施工阶段地基平整、开挖、回填土方会形成大面积裸露地面，使各种沉降在地表上的气溶胶粒子等成为扬尘的天然来源，在进行施工建设时极易形成扬尘颗粒物并进入大气环境中，对周围环境空气质量造成影响。</w:t>
            </w:r>
          </w:p>
          <w:p>
            <w:pPr>
              <w:widowControl w:val="0"/>
              <w:tabs>
                <w:tab w:val="left" w:pos="11"/>
              </w:tabs>
              <w:ind w:firstLine="480" w:firstLineChars="200"/>
              <w:rPr>
                <w:kern w:val="0"/>
              </w:rPr>
            </w:pPr>
            <w:r>
              <w:rPr>
                <w:rFonts w:hint="eastAsia"/>
                <w:kern w:val="0"/>
              </w:rPr>
              <w:t>3、</w:t>
            </w:r>
            <w:r>
              <w:rPr>
                <w:kern w:val="0"/>
              </w:rPr>
              <w:t>粗放施工造成的建筑扬尘</w:t>
            </w:r>
          </w:p>
          <w:p>
            <w:pPr>
              <w:widowControl w:val="0"/>
              <w:tabs>
                <w:tab w:val="left" w:pos="11"/>
              </w:tabs>
              <w:ind w:firstLine="480" w:firstLineChars="200"/>
              <w:rPr>
                <w:kern w:val="0"/>
              </w:rPr>
            </w:pPr>
            <w:r>
              <w:rPr>
                <w:kern w:val="0"/>
              </w:rPr>
              <w:t>施工场地建筑堆料及运输抛洒等建筑扬尘在施工高峰期会不断增多，是造成扬尘污染的主要原因之一。施工扬尘粒径较大、沉降快，一般影响范围较小。对无组织排放施工扬尘，本环评采用类比法，表7-</w:t>
            </w:r>
            <w:r>
              <w:rPr>
                <w:rFonts w:hint="eastAsia"/>
                <w:kern w:val="0"/>
              </w:rPr>
              <w:t>2</w:t>
            </w:r>
            <w:r>
              <w:rPr>
                <w:kern w:val="0"/>
              </w:rPr>
              <w:t>为某施工场地实测资料。</w:t>
            </w:r>
          </w:p>
          <w:p>
            <w:pPr>
              <w:pStyle w:val="44"/>
              <w:widowControl w:val="0"/>
              <w:numPr>
                <w:ilvl w:val="0"/>
                <w:numId w:val="7"/>
              </w:numPr>
              <w:tabs>
                <w:tab w:val="left" w:pos="11"/>
              </w:tabs>
              <w:spacing w:line="240" w:lineRule="auto"/>
              <w:ind w:left="0" w:firstLine="0" w:firstLineChars="0"/>
              <w:jc w:val="center"/>
              <w:rPr>
                <w:b/>
                <w:bCs/>
                <w:kern w:val="0"/>
                <w:sz w:val="21"/>
                <w:szCs w:val="21"/>
              </w:rPr>
            </w:pPr>
            <w:r>
              <w:rPr>
                <w:b/>
                <w:bCs/>
                <w:kern w:val="0"/>
                <w:sz w:val="21"/>
                <w:szCs w:val="21"/>
              </w:rPr>
              <w:t>施工期环境空气中TSP监测结果</w:t>
            </w:r>
          </w:p>
          <w:tbl>
            <w:tblPr>
              <w:tblStyle w:val="24"/>
              <w:tblW w:w="8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8"/>
              <w:gridCol w:w="1488"/>
              <w:gridCol w:w="1489"/>
              <w:gridCol w:w="1491"/>
              <w:gridCol w:w="1491"/>
              <w:gridCol w:w="1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3" w:type="pct"/>
                  <w:vMerge w:val="restart"/>
                  <w:vAlign w:val="center"/>
                </w:tcPr>
                <w:p>
                  <w:pPr>
                    <w:widowControl w:val="0"/>
                    <w:tabs>
                      <w:tab w:val="left" w:pos="11"/>
                    </w:tabs>
                    <w:spacing w:line="240" w:lineRule="auto"/>
                    <w:jc w:val="center"/>
                    <w:rPr>
                      <w:bCs/>
                      <w:kern w:val="0"/>
                      <w:sz w:val="21"/>
                      <w:szCs w:val="21"/>
                    </w:rPr>
                  </w:pPr>
                  <w:r>
                    <w:rPr>
                      <w:bCs/>
                      <w:kern w:val="0"/>
                      <w:sz w:val="21"/>
                      <w:szCs w:val="21"/>
                    </w:rPr>
                    <w:t>监测点位</w:t>
                  </w:r>
                </w:p>
              </w:tc>
              <w:tc>
                <w:tcPr>
                  <w:tcW w:w="833" w:type="pct"/>
                  <w:vAlign w:val="center"/>
                </w:tcPr>
                <w:p>
                  <w:pPr>
                    <w:widowControl w:val="0"/>
                    <w:tabs>
                      <w:tab w:val="left" w:pos="11"/>
                    </w:tabs>
                    <w:spacing w:line="240" w:lineRule="auto"/>
                    <w:jc w:val="center"/>
                    <w:rPr>
                      <w:kern w:val="0"/>
                      <w:sz w:val="21"/>
                      <w:szCs w:val="21"/>
                    </w:rPr>
                  </w:pPr>
                  <w:r>
                    <w:rPr>
                      <w:kern w:val="0"/>
                      <w:sz w:val="21"/>
                      <w:szCs w:val="21"/>
                    </w:rPr>
                    <w:t>上风向</w:t>
                  </w:r>
                </w:p>
              </w:tc>
              <w:tc>
                <w:tcPr>
                  <w:tcW w:w="3333" w:type="pct"/>
                  <w:gridSpan w:val="4"/>
                  <w:vAlign w:val="center"/>
                </w:tcPr>
                <w:p>
                  <w:pPr>
                    <w:widowControl w:val="0"/>
                    <w:tabs>
                      <w:tab w:val="left" w:pos="11"/>
                    </w:tabs>
                    <w:spacing w:line="240" w:lineRule="auto"/>
                    <w:jc w:val="center"/>
                    <w:rPr>
                      <w:kern w:val="0"/>
                      <w:sz w:val="21"/>
                      <w:szCs w:val="21"/>
                    </w:rPr>
                  </w:pPr>
                  <w:r>
                    <w:rPr>
                      <w:kern w:val="0"/>
                      <w:sz w:val="21"/>
                      <w:szCs w:val="21"/>
                    </w:rPr>
                    <w:t>下风向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3" w:type="pct"/>
                  <w:vMerge w:val="continue"/>
                  <w:vAlign w:val="center"/>
                </w:tcPr>
                <w:p>
                  <w:pPr>
                    <w:widowControl w:val="0"/>
                    <w:tabs>
                      <w:tab w:val="left" w:pos="11"/>
                    </w:tabs>
                    <w:spacing w:line="240" w:lineRule="auto"/>
                    <w:jc w:val="center"/>
                    <w:rPr>
                      <w:bCs/>
                      <w:kern w:val="0"/>
                      <w:sz w:val="21"/>
                      <w:szCs w:val="21"/>
                    </w:rPr>
                  </w:pPr>
                </w:p>
              </w:tc>
              <w:tc>
                <w:tcPr>
                  <w:tcW w:w="833" w:type="pct"/>
                  <w:vAlign w:val="center"/>
                </w:tcPr>
                <w:p>
                  <w:pPr>
                    <w:widowControl w:val="0"/>
                    <w:tabs>
                      <w:tab w:val="left" w:pos="11"/>
                    </w:tabs>
                    <w:spacing w:line="240" w:lineRule="auto"/>
                    <w:jc w:val="center"/>
                    <w:rPr>
                      <w:kern w:val="0"/>
                      <w:sz w:val="21"/>
                      <w:szCs w:val="21"/>
                    </w:rPr>
                  </w:pPr>
                  <w:r>
                    <w:rPr>
                      <w:kern w:val="0"/>
                      <w:sz w:val="21"/>
                      <w:szCs w:val="21"/>
                    </w:rPr>
                    <w:t>1号点</w:t>
                  </w:r>
                </w:p>
              </w:tc>
              <w:tc>
                <w:tcPr>
                  <w:tcW w:w="833" w:type="pct"/>
                  <w:vAlign w:val="center"/>
                </w:tcPr>
                <w:p>
                  <w:pPr>
                    <w:widowControl w:val="0"/>
                    <w:spacing w:line="240" w:lineRule="auto"/>
                    <w:jc w:val="center"/>
                    <w:rPr>
                      <w:kern w:val="0"/>
                      <w:sz w:val="21"/>
                      <w:szCs w:val="21"/>
                    </w:rPr>
                  </w:pPr>
                  <w:r>
                    <w:rPr>
                      <w:kern w:val="0"/>
                      <w:sz w:val="21"/>
                      <w:szCs w:val="21"/>
                    </w:rPr>
                    <w:t>2号点</w:t>
                  </w:r>
                </w:p>
              </w:tc>
              <w:tc>
                <w:tcPr>
                  <w:tcW w:w="834" w:type="pct"/>
                  <w:vAlign w:val="center"/>
                </w:tcPr>
                <w:p>
                  <w:pPr>
                    <w:widowControl w:val="0"/>
                    <w:spacing w:line="240" w:lineRule="auto"/>
                    <w:jc w:val="center"/>
                    <w:rPr>
                      <w:kern w:val="0"/>
                      <w:sz w:val="21"/>
                      <w:szCs w:val="21"/>
                    </w:rPr>
                  </w:pPr>
                  <w:r>
                    <w:rPr>
                      <w:kern w:val="0"/>
                      <w:sz w:val="21"/>
                      <w:szCs w:val="21"/>
                    </w:rPr>
                    <w:t>3号点</w:t>
                  </w:r>
                </w:p>
              </w:tc>
              <w:tc>
                <w:tcPr>
                  <w:tcW w:w="834" w:type="pct"/>
                  <w:vAlign w:val="center"/>
                </w:tcPr>
                <w:p>
                  <w:pPr>
                    <w:widowControl w:val="0"/>
                    <w:spacing w:line="240" w:lineRule="auto"/>
                    <w:jc w:val="center"/>
                    <w:rPr>
                      <w:kern w:val="0"/>
                      <w:sz w:val="21"/>
                      <w:szCs w:val="21"/>
                    </w:rPr>
                  </w:pPr>
                  <w:r>
                    <w:rPr>
                      <w:kern w:val="0"/>
                      <w:sz w:val="21"/>
                      <w:szCs w:val="21"/>
                    </w:rPr>
                    <w:t>4号点</w:t>
                  </w:r>
                </w:p>
              </w:tc>
              <w:tc>
                <w:tcPr>
                  <w:tcW w:w="833" w:type="pct"/>
                  <w:vAlign w:val="center"/>
                </w:tcPr>
                <w:p>
                  <w:pPr>
                    <w:widowControl w:val="0"/>
                    <w:spacing w:line="240" w:lineRule="auto"/>
                    <w:jc w:val="center"/>
                    <w:rPr>
                      <w:kern w:val="0"/>
                      <w:sz w:val="21"/>
                      <w:szCs w:val="21"/>
                    </w:rPr>
                  </w:pPr>
                  <w:r>
                    <w:rPr>
                      <w:kern w:val="0"/>
                      <w:sz w:val="21"/>
                      <w:szCs w:val="21"/>
                    </w:rPr>
                    <w:t>5号点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3" w:type="pct"/>
                  <w:vAlign w:val="center"/>
                </w:tcPr>
                <w:p>
                  <w:pPr>
                    <w:widowControl w:val="0"/>
                    <w:tabs>
                      <w:tab w:val="left" w:pos="11"/>
                    </w:tabs>
                    <w:spacing w:line="240" w:lineRule="auto"/>
                    <w:jc w:val="center"/>
                    <w:rPr>
                      <w:bCs/>
                      <w:kern w:val="0"/>
                      <w:sz w:val="21"/>
                      <w:szCs w:val="21"/>
                    </w:rPr>
                  </w:pPr>
                  <w:r>
                    <w:rPr>
                      <w:bCs/>
                      <w:kern w:val="0"/>
                      <w:sz w:val="21"/>
                      <w:szCs w:val="21"/>
                    </w:rPr>
                    <w:t>距尘源距离</w:t>
                  </w:r>
                </w:p>
              </w:tc>
              <w:tc>
                <w:tcPr>
                  <w:tcW w:w="833" w:type="pct"/>
                  <w:vAlign w:val="center"/>
                </w:tcPr>
                <w:p>
                  <w:pPr>
                    <w:widowControl w:val="0"/>
                    <w:tabs>
                      <w:tab w:val="left" w:pos="11"/>
                    </w:tabs>
                    <w:spacing w:line="240" w:lineRule="auto"/>
                    <w:jc w:val="center"/>
                    <w:rPr>
                      <w:kern w:val="0"/>
                      <w:sz w:val="21"/>
                      <w:szCs w:val="21"/>
                    </w:rPr>
                  </w:pPr>
                  <w:r>
                    <w:rPr>
                      <w:kern w:val="0"/>
                      <w:sz w:val="21"/>
                      <w:szCs w:val="21"/>
                    </w:rPr>
                    <w:t>20m</w:t>
                  </w:r>
                </w:p>
              </w:tc>
              <w:tc>
                <w:tcPr>
                  <w:tcW w:w="833" w:type="pct"/>
                  <w:vAlign w:val="center"/>
                </w:tcPr>
                <w:p>
                  <w:pPr>
                    <w:widowControl w:val="0"/>
                    <w:tabs>
                      <w:tab w:val="left" w:pos="11"/>
                    </w:tabs>
                    <w:spacing w:line="240" w:lineRule="auto"/>
                    <w:jc w:val="center"/>
                    <w:rPr>
                      <w:kern w:val="0"/>
                      <w:sz w:val="21"/>
                      <w:szCs w:val="21"/>
                    </w:rPr>
                  </w:pPr>
                  <w:r>
                    <w:rPr>
                      <w:kern w:val="0"/>
                      <w:sz w:val="21"/>
                      <w:szCs w:val="21"/>
                    </w:rPr>
                    <w:t>10m</w:t>
                  </w:r>
                </w:p>
              </w:tc>
              <w:tc>
                <w:tcPr>
                  <w:tcW w:w="834" w:type="pct"/>
                  <w:vAlign w:val="center"/>
                </w:tcPr>
                <w:p>
                  <w:pPr>
                    <w:widowControl w:val="0"/>
                    <w:tabs>
                      <w:tab w:val="left" w:pos="11"/>
                    </w:tabs>
                    <w:spacing w:line="240" w:lineRule="auto"/>
                    <w:jc w:val="center"/>
                    <w:rPr>
                      <w:kern w:val="0"/>
                      <w:sz w:val="21"/>
                      <w:szCs w:val="21"/>
                    </w:rPr>
                  </w:pPr>
                  <w:r>
                    <w:rPr>
                      <w:kern w:val="0"/>
                      <w:sz w:val="21"/>
                      <w:szCs w:val="21"/>
                    </w:rPr>
                    <w:t>50m</w:t>
                  </w:r>
                </w:p>
              </w:tc>
              <w:tc>
                <w:tcPr>
                  <w:tcW w:w="834" w:type="pct"/>
                  <w:vAlign w:val="center"/>
                </w:tcPr>
                <w:p>
                  <w:pPr>
                    <w:widowControl w:val="0"/>
                    <w:tabs>
                      <w:tab w:val="left" w:pos="11"/>
                    </w:tabs>
                    <w:spacing w:line="240" w:lineRule="auto"/>
                    <w:jc w:val="center"/>
                    <w:rPr>
                      <w:kern w:val="0"/>
                      <w:sz w:val="21"/>
                      <w:szCs w:val="21"/>
                    </w:rPr>
                  </w:pPr>
                  <w:r>
                    <w:rPr>
                      <w:kern w:val="0"/>
                      <w:sz w:val="21"/>
                      <w:szCs w:val="21"/>
                    </w:rPr>
                    <w:t>100m</w:t>
                  </w:r>
                </w:p>
              </w:tc>
              <w:tc>
                <w:tcPr>
                  <w:tcW w:w="833" w:type="pct"/>
                  <w:vAlign w:val="center"/>
                </w:tcPr>
                <w:p>
                  <w:pPr>
                    <w:widowControl w:val="0"/>
                    <w:tabs>
                      <w:tab w:val="left" w:pos="11"/>
                    </w:tabs>
                    <w:spacing w:line="240" w:lineRule="auto"/>
                    <w:jc w:val="center"/>
                    <w:rPr>
                      <w:kern w:val="0"/>
                      <w:sz w:val="21"/>
                      <w:szCs w:val="21"/>
                    </w:rPr>
                  </w:pPr>
                  <w:r>
                    <w:rPr>
                      <w:kern w:val="0"/>
                      <w:sz w:val="21"/>
                      <w:szCs w:val="21"/>
                    </w:rPr>
                    <w:t>200m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3" w:type="pct"/>
                  <w:vAlign w:val="center"/>
                </w:tcPr>
                <w:p>
                  <w:pPr>
                    <w:widowControl w:val="0"/>
                    <w:tabs>
                      <w:tab w:val="left" w:pos="11"/>
                    </w:tabs>
                    <w:spacing w:line="240" w:lineRule="auto"/>
                    <w:jc w:val="center"/>
                    <w:rPr>
                      <w:bCs/>
                      <w:kern w:val="0"/>
                      <w:sz w:val="21"/>
                      <w:szCs w:val="21"/>
                    </w:rPr>
                  </w:pPr>
                  <w:r>
                    <w:rPr>
                      <w:bCs/>
                      <w:kern w:val="0"/>
                      <w:sz w:val="21"/>
                      <w:szCs w:val="21"/>
                    </w:rPr>
                    <w:t>浓度值（mg/m</w:t>
                  </w:r>
                  <w:r>
                    <w:rPr>
                      <w:bCs/>
                      <w:kern w:val="0"/>
                      <w:sz w:val="21"/>
                      <w:szCs w:val="21"/>
                      <w:vertAlign w:val="superscript"/>
                    </w:rPr>
                    <w:t>3</w:t>
                  </w:r>
                  <w:r>
                    <w:rPr>
                      <w:bCs/>
                      <w:kern w:val="0"/>
                      <w:sz w:val="21"/>
                      <w:szCs w:val="21"/>
                    </w:rPr>
                    <w:t>）</w:t>
                  </w:r>
                </w:p>
              </w:tc>
              <w:tc>
                <w:tcPr>
                  <w:tcW w:w="833" w:type="pct"/>
                  <w:vAlign w:val="center"/>
                </w:tcPr>
                <w:p>
                  <w:pPr>
                    <w:widowControl w:val="0"/>
                    <w:tabs>
                      <w:tab w:val="left" w:pos="11"/>
                    </w:tabs>
                    <w:spacing w:line="240" w:lineRule="auto"/>
                    <w:jc w:val="center"/>
                    <w:rPr>
                      <w:kern w:val="0"/>
                      <w:sz w:val="21"/>
                      <w:szCs w:val="21"/>
                    </w:rPr>
                  </w:pPr>
                  <w:r>
                    <w:rPr>
                      <w:kern w:val="0"/>
                      <w:sz w:val="21"/>
                      <w:szCs w:val="21"/>
                    </w:rPr>
                    <w:t>0.244-0.269</w:t>
                  </w:r>
                </w:p>
              </w:tc>
              <w:tc>
                <w:tcPr>
                  <w:tcW w:w="833" w:type="pct"/>
                  <w:vAlign w:val="center"/>
                </w:tcPr>
                <w:p>
                  <w:pPr>
                    <w:widowControl w:val="0"/>
                    <w:tabs>
                      <w:tab w:val="left" w:pos="11"/>
                    </w:tabs>
                    <w:spacing w:line="240" w:lineRule="auto"/>
                    <w:jc w:val="center"/>
                    <w:rPr>
                      <w:kern w:val="0"/>
                      <w:sz w:val="21"/>
                      <w:szCs w:val="21"/>
                    </w:rPr>
                  </w:pPr>
                  <w:r>
                    <w:rPr>
                      <w:kern w:val="0"/>
                      <w:sz w:val="21"/>
                      <w:szCs w:val="21"/>
                    </w:rPr>
                    <w:t>2.176-3.435</w:t>
                  </w:r>
                </w:p>
              </w:tc>
              <w:tc>
                <w:tcPr>
                  <w:tcW w:w="834" w:type="pct"/>
                  <w:vAlign w:val="center"/>
                </w:tcPr>
                <w:p>
                  <w:pPr>
                    <w:widowControl w:val="0"/>
                    <w:tabs>
                      <w:tab w:val="left" w:pos="11"/>
                    </w:tabs>
                    <w:spacing w:line="240" w:lineRule="auto"/>
                    <w:jc w:val="center"/>
                    <w:rPr>
                      <w:kern w:val="0"/>
                      <w:sz w:val="21"/>
                      <w:szCs w:val="21"/>
                    </w:rPr>
                  </w:pPr>
                  <w:r>
                    <w:rPr>
                      <w:kern w:val="0"/>
                      <w:sz w:val="21"/>
                      <w:szCs w:val="21"/>
                    </w:rPr>
                    <w:t>0.856-1.491</w:t>
                  </w:r>
                </w:p>
              </w:tc>
              <w:tc>
                <w:tcPr>
                  <w:tcW w:w="834" w:type="pct"/>
                  <w:vAlign w:val="center"/>
                </w:tcPr>
                <w:p>
                  <w:pPr>
                    <w:widowControl w:val="0"/>
                    <w:tabs>
                      <w:tab w:val="left" w:pos="11"/>
                    </w:tabs>
                    <w:spacing w:line="240" w:lineRule="auto"/>
                    <w:jc w:val="center"/>
                    <w:rPr>
                      <w:kern w:val="0"/>
                      <w:sz w:val="21"/>
                      <w:szCs w:val="21"/>
                    </w:rPr>
                  </w:pPr>
                  <w:r>
                    <w:rPr>
                      <w:kern w:val="0"/>
                      <w:sz w:val="21"/>
                      <w:szCs w:val="21"/>
                    </w:rPr>
                    <w:t>0.416-0.513</w:t>
                  </w:r>
                </w:p>
              </w:tc>
              <w:tc>
                <w:tcPr>
                  <w:tcW w:w="833" w:type="pct"/>
                  <w:vAlign w:val="center"/>
                </w:tcPr>
                <w:p>
                  <w:pPr>
                    <w:widowControl w:val="0"/>
                    <w:tabs>
                      <w:tab w:val="left" w:pos="11"/>
                    </w:tabs>
                    <w:spacing w:line="240" w:lineRule="auto"/>
                    <w:jc w:val="center"/>
                    <w:rPr>
                      <w:kern w:val="0"/>
                      <w:sz w:val="21"/>
                      <w:szCs w:val="21"/>
                    </w:rPr>
                  </w:pPr>
                  <w:r>
                    <w:rPr>
                      <w:kern w:val="0"/>
                      <w:sz w:val="21"/>
                      <w:szCs w:val="21"/>
                    </w:rPr>
                    <w:t>0.250-0.258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3" w:type="pct"/>
                  <w:vAlign w:val="center"/>
                </w:tcPr>
                <w:p>
                  <w:pPr>
                    <w:widowControl w:val="0"/>
                    <w:tabs>
                      <w:tab w:val="left" w:pos="11"/>
                    </w:tabs>
                    <w:spacing w:line="240" w:lineRule="auto"/>
                    <w:jc w:val="center"/>
                    <w:rPr>
                      <w:bCs/>
                      <w:kern w:val="0"/>
                      <w:sz w:val="21"/>
                      <w:szCs w:val="21"/>
                    </w:rPr>
                  </w:pPr>
                  <w:r>
                    <w:rPr>
                      <w:bCs/>
                      <w:kern w:val="0"/>
                      <w:sz w:val="21"/>
                      <w:szCs w:val="21"/>
                    </w:rPr>
                    <w:t>参考标准值</w:t>
                  </w:r>
                </w:p>
              </w:tc>
              <w:tc>
                <w:tcPr>
                  <w:tcW w:w="4167" w:type="pct"/>
                  <w:gridSpan w:val="5"/>
                  <w:vAlign w:val="center"/>
                </w:tcPr>
                <w:p>
                  <w:pPr>
                    <w:widowControl w:val="0"/>
                    <w:tabs>
                      <w:tab w:val="left" w:pos="11"/>
                    </w:tabs>
                    <w:spacing w:line="240" w:lineRule="auto"/>
                    <w:jc w:val="center"/>
                    <w:rPr>
                      <w:kern w:val="0"/>
                      <w:sz w:val="21"/>
                      <w:szCs w:val="21"/>
                    </w:rPr>
                  </w:pPr>
                  <w:r>
                    <w:rPr>
                      <w:kern w:val="0"/>
                      <w:sz w:val="21"/>
                      <w:szCs w:val="21"/>
                    </w:rPr>
                    <w:t>1.0mg/m</w:t>
                  </w:r>
                  <w:r>
                    <w:rPr>
                      <w:kern w:val="0"/>
                      <w:sz w:val="21"/>
                      <w:szCs w:val="21"/>
                      <w:vertAlign w:val="superscript"/>
                    </w:rPr>
                    <w:t>3</w:t>
                  </w:r>
                </w:p>
              </w:tc>
            </w:tr>
          </w:tbl>
          <w:p>
            <w:pPr>
              <w:widowControl w:val="0"/>
              <w:spacing w:line="240" w:lineRule="auto"/>
              <w:jc w:val="left"/>
              <w:rPr>
                <w:bCs/>
                <w:kern w:val="0"/>
                <w:sz w:val="21"/>
                <w:szCs w:val="21"/>
              </w:rPr>
            </w:pPr>
            <w:r>
              <w:rPr>
                <w:bCs/>
                <w:kern w:val="0"/>
                <w:sz w:val="21"/>
                <w:szCs w:val="21"/>
              </w:rPr>
              <w:t>注：参考无组织排放监控浓度值</w:t>
            </w:r>
          </w:p>
          <w:p>
            <w:pPr>
              <w:widowControl w:val="0"/>
              <w:ind w:firstLine="480" w:firstLineChars="200"/>
              <w:rPr>
                <w:kern w:val="0"/>
              </w:rPr>
            </w:pPr>
            <w:r>
              <w:rPr>
                <w:kern w:val="0"/>
              </w:rPr>
              <w:t>参照《施工场界扬尘排放限值》（DB61/1078-2017）中表1规定的浓度限值（≤0.7mg/m</w:t>
            </w:r>
            <w:r>
              <w:rPr>
                <w:kern w:val="0"/>
                <w:vertAlign w:val="superscript"/>
              </w:rPr>
              <w:t>3</w:t>
            </w:r>
            <w:r>
              <w:rPr>
                <w:kern w:val="0"/>
              </w:rPr>
              <w:t>），从表7-</w:t>
            </w:r>
            <w:r>
              <w:rPr>
                <w:rFonts w:hint="eastAsia"/>
                <w:kern w:val="0"/>
              </w:rPr>
              <w:t>2</w:t>
            </w:r>
            <w:r>
              <w:rPr>
                <w:kern w:val="0"/>
              </w:rPr>
              <w:t>可以看出：</w:t>
            </w:r>
          </w:p>
          <w:p>
            <w:pPr>
              <w:widowControl w:val="0"/>
              <w:numPr>
                <w:ilvl w:val="0"/>
                <w:numId w:val="8"/>
              </w:numPr>
              <w:ind w:firstLine="480" w:firstLineChars="200"/>
              <w:jc w:val="left"/>
              <w:rPr>
                <w:kern w:val="0"/>
              </w:rPr>
            </w:pPr>
            <w:r>
              <w:rPr>
                <w:kern w:val="0"/>
              </w:rPr>
              <w:t>施工场地及其下风向距离50m范围内，环境空气中TSP超标0-0.75倍（为下风向监测值减去上风向监测值与标准值相比结果）。</w:t>
            </w:r>
          </w:p>
          <w:p>
            <w:pPr>
              <w:widowControl w:val="0"/>
              <w:numPr>
                <w:ilvl w:val="0"/>
                <w:numId w:val="8"/>
              </w:numPr>
              <w:ind w:firstLine="480" w:firstLineChars="200"/>
              <w:jc w:val="left"/>
              <w:rPr>
                <w:kern w:val="0"/>
              </w:rPr>
            </w:pPr>
            <w:r>
              <w:rPr>
                <w:kern w:val="0"/>
              </w:rPr>
              <w:t>施工场地至下风向距离50m-100m内，环境空气中TSP含量是其上风向监测结果的1.7-1.9倍；100m至下风向距离200m处环境空气中TSP含量趋近于其上风向背景值。</w:t>
            </w:r>
          </w:p>
          <w:p>
            <w:pPr>
              <w:widowControl w:val="0"/>
              <w:ind w:firstLine="480" w:firstLineChars="200"/>
              <w:jc w:val="left"/>
              <w:rPr>
                <w:kern w:val="0"/>
              </w:rPr>
            </w:pPr>
            <w:r>
              <w:rPr>
                <w:kern w:val="0"/>
              </w:rPr>
              <w:t>由此可见，施工扬尘环境空气影响主要在下风向距离200m范围内，超标影响在下风向距离100m内。根据项目区实际调查结果，项目</w:t>
            </w:r>
            <w:r>
              <w:rPr>
                <w:rFonts w:hint="eastAsia"/>
                <w:kern w:val="0"/>
              </w:rPr>
              <w:t>200m范围内均为林地或空地，无敏感点。</w:t>
            </w:r>
          </w:p>
          <w:p>
            <w:pPr>
              <w:widowControl w:val="0"/>
              <w:ind w:firstLine="480" w:firstLineChars="200"/>
              <w:rPr>
                <w:kern w:val="0"/>
              </w:rPr>
            </w:pPr>
            <w:r>
              <w:rPr>
                <w:kern w:val="0"/>
              </w:rPr>
              <w:t>为避免建设期扬尘对周围</w:t>
            </w:r>
            <w:r>
              <w:rPr>
                <w:rFonts w:hint="eastAsia"/>
                <w:kern w:val="0"/>
              </w:rPr>
              <w:t>大气</w:t>
            </w:r>
            <w:r>
              <w:rPr>
                <w:kern w:val="0"/>
              </w:rPr>
              <w:t>环境造成影响，评价要求施工单位施工时应严格参照《陕西省铁腕治霾打赢蓝天保卫战三年行动方案（2018-2020年）》（修订版）（陕政发[2018]29号）、《</w:t>
            </w:r>
            <w:r>
              <w:rPr>
                <w:rFonts w:hint="eastAsia"/>
                <w:kern w:val="0"/>
              </w:rPr>
              <w:t>安康</w:t>
            </w:r>
            <w:r>
              <w:rPr>
                <w:kern w:val="0"/>
              </w:rPr>
              <w:t>市铁腕治霾打赢蓝天保卫战三年行动方案（2018-2020年）》（修订版）及《陕西省大气污染防治条例》及《</w:t>
            </w:r>
            <w:r>
              <w:rPr>
                <w:rFonts w:hint="eastAsia"/>
                <w:kern w:val="0"/>
              </w:rPr>
              <w:t>安康</w:t>
            </w:r>
            <w:r>
              <w:rPr>
                <w:kern w:val="0"/>
              </w:rPr>
              <w:t>市扬尘污染防治条例》</w:t>
            </w:r>
            <w:r>
              <w:rPr>
                <w:kern w:val="0"/>
                <w:szCs w:val="21"/>
              </w:rPr>
              <w:t>的</w:t>
            </w:r>
            <w:r>
              <w:rPr>
                <w:kern w:val="0"/>
              </w:rPr>
              <w:t>相关要求进行施工，施工阶段严格采取以下污染控制对策：</w:t>
            </w:r>
          </w:p>
          <w:p>
            <w:pPr>
              <w:widowControl w:val="0"/>
              <w:tabs>
                <w:tab w:val="left" w:pos="11"/>
              </w:tabs>
              <w:ind w:firstLine="480" w:firstLineChars="200"/>
              <w:rPr>
                <w:kern w:val="0"/>
              </w:rPr>
            </w:pPr>
            <w:r>
              <w:rPr>
                <w:rFonts w:hint="eastAsia" w:ascii="宋体" w:hAnsi="宋体" w:cs="宋体"/>
                <w:kern w:val="0"/>
              </w:rPr>
              <w:t>①</w:t>
            </w:r>
            <w:r>
              <w:rPr>
                <w:kern w:val="0"/>
              </w:rPr>
              <w:t>严格按照有关扬尘污染控制规定，强化施工期环境管理，提高全员环保意识宣传和教育，制定合理施工计划，缩短工期，坚决杜绝粗放式施工现象发生；</w:t>
            </w:r>
          </w:p>
          <w:p>
            <w:pPr>
              <w:widowControl w:val="0"/>
              <w:tabs>
                <w:tab w:val="left" w:pos="11"/>
              </w:tabs>
              <w:ind w:firstLine="480" w:firstLineChars="200"/>
              <w:rPr>
                <w:kern w:val="0"/>
              </w:rPr>
            </w:pPr>
            <w:r>
              <w:rPr>
                <w:rFonts w:hint="eastAsia" w:ascii="宋体" w:hAnsi="宋体" w:cs="宋体"/>
                <w:kern w:val="0"/>
              </w:rPr>
              <w:t>②</w:t>
            </w:r>
            <w:r>
              <w:rPr>
                <w:kern w:val="0"/>
              </w:rPr>
              <w:t>建设施工工地要采取洒水、覆盖等防尘措施，保证施工工地周围环境整洁。风速≥3.0m/s时应停止土方等易产生扬尘污染的施工，并采取防尘措施，减轻施工扬尘外逸对周围环境空气的影响；</w:t>
            </w:r>
          </w:p>
          <w:p>
            <w:pPr>
              <w:widowControl w:val="0"/>
              <w:tabs>
                <w:tab w:val="left" w:pos="11"/>
              </w:tabs>
              <w:ind w:firstLine="480" w:firstLineChars="200"/>
              <w:rPr>
                <w:kern w:val="0"/>
              </w:rPr>
            </w:pPr>
            <w:r>
              <w:rPr>
                <w:rFonts w:hint="eastAsia" w:ascii="宋体" w:hAnsi="宋体" w:cs="宋体"/>
                <w:kern w:val="0"/>
              </w:rPr>
              <w:t>③</w:t>
            </w:r>
            <w:r>
              <w:rPr>
                <w:kern w:val="0"/>
              </w:rPr>
              <w:t>施工期物料运输的临时道路、施工现场出入口及厂内主要道路必须硬化。运输建筑材料车不得超载，运输颗粒物料车辆装载高度不得超过车槽；运输土石方车辆必须覆盖篷布；</w:t>
            </w:r>
          </w:p>
          <w:p>
            <w:pPr>
              <w:widowControl w:val="0"/>
              <w:tabs>
                <w:tab w:val="left" w:pos="11"/>
              </w:tabs>
              <w:ind w:firstLine="480" w:firstLineChars="200"/>
              <w:rPr>
                <w:kern w:val="0"/>
              </w:rPr>
            </w:pPr>
            <w:r>
              <w:rPr>
                <w:rFonts w:hint="eastAsia" w:ascii="宋体" w:hAnsi="宋体" w:cs="宋体"/>
                <w:kern w:val="0"/>
              </w:rPr>
              <w:t>④</w:t>
            </w:r>
            <w:r>
              <w:rPr>
                <w:kern w:val="0"/>
              </w:rPr>
              <w:t>施工期由专人对出入施工场地的运输车辆及时冲洗，保证运输车辆不携带泥土驶出工地；</w:t>
            </w:r>
          </w:p>
          <w:p>
            <w:pPr>
              <w:widowControl w:val="0"/>
              <w:tabs>
                <w:tab w:val="left" w:pos="11"/>
              </w:tabs>
              <w:ind w:firstLine="480" w:firstLineChars="200"/>
              <w:rPr>
                <w:kern w:val="0"/>
              </w:rPr>
            </w:pPr>
            <w:r>
              <w:rPr>
                <w:rFonts w:hint="eastAsia" w:ascii="宋体" w:hAnsi="宋体" w:cs="宋体"/>
                <w:kern w:val="0"/>
              </w:rPr>
              <w:t>⑤</w:t>
            </w:r>
            <w:r>
              <w:rPr>
                <w:kern w:val="0"/>
              </w:rPr>
              <w:t>及时清理堆放在场地和道路上的弃土、弃渣及抛洒料，要求安排专人适时清洁洒水灭尘，对不能及时清运的，必须采取覆盖措施，防止二次扬尘；</w:t>
            </w:r>
          </w:p>
          <w:p>
            <w:pPr>
              <w:widowControl w:val="0"/>
              <w:tabs>
                <w:tab w:val="left" w:pos="11"/>
              </w:tabs>
              <w:ind w:firstLine="480" w:firstLineChars="200"/>
              <w:rPr>
                <w:kern w:val="0"/>
              </w:rPr>
            </w:pPr>
            <w:r>
              <w:rPr>
                <w:rFonts w:hint="eastAsia" w:ascii="宋体" w:hAnsi="宋体" w:cs="宋体"/>
                <w:kern w:val="0"/>
              </w:rPr>
              <w:t>⑥</w:t>
            </w:r>
            <w:r>
              <w:rPr>
                <w:kern w:val="0"/>
              </w:rPr>
              <w:t>结构施工阶段使用商品混凝土，禁止现场搅拌混凝土产生二次扬尘污染；</w:t>
            </w:r>
          </w:p>
          <w:p>
            <w:pPr>
              <w:widowControl w:val="0"/>
              <w:tabs>
                <w:tab w:val="left" w:pos="11"/>
              </w:tabs>
              <w:ind w:firstLine="480" w:firstLineChars="200"/>
              <w:rPr>
                <w:kern w:val="0"/>
              </w:rPr>
            </w:pPr>
            <w:r>
              <w:rPr>
                <w:rFonts w:hint="eastAsia" w:ascii="宋体" w:hAnsi="宋体" w:cs="宋体"/>
                <w:kern w:val="0"/>
              </w:rPr>
              <w:t>⑦</w:t>
            </w:r>
            <w:r>
              <w:rPr>
                <w:kern w:val="0"/>
              </w:rPr>
              <w:t>全面提升施工扬尘管控水平。严格管控施工扬尘，全面落实建筑施工扬尘“七个100%”，施工工地安装视频监控设施，并与主管部门管理平台联网。对落实扬尘管控措施不力的施工工地，在建筑市场监管与诚信信息平台曝光，记入企业不良信用记录。加强渣土车运输监管，车辆必须全部安装卫星定位系统，杜绝超速、超高装载、带泥上路、抛洒泄漏等现象；</w:t>
            </w:r>
          </w:p>
          <w:p>
            <w:pPr>
              <w:widowControl w:val="0"/>
              <w:ind w:firstLine="480" w:firstLineChars="200"/>
            </w:pPr>
            <w:r>
              <w:t>采取上述措施后</w:t>
            </w:r>
            <w:r>
              <w:rPr>
                <w:rFonts w:hint="eastAsia"/>
              </w:rPr>
              <w:t>，施工期</w:t>
            </w:r>
            <w:r>
              <w:t>扬尘</w:t>
            </w:r>
            <w:r>
              <w:rPr>
                <w:rFonts w:hint="eastAsia"/>
              </w:rPr>
              <w:t>可以满足</w:t>
            </w:r>
            <w:r>
              <w:t>《施工场界扬尘排放限值》（DB61/1078-2017）中限值要求</w:t>
            </w:r>
            <w:r>
              <w:rPr>
                <w:rFonts w:hint="eastAsia"/>
              </w:rPr>
              <w:t>，</w:t>
            </w:r>
            <w:r>
              <w:t>对周边大气环境影响不大</w:t>
            </w:r>
            <w:r>
              <w:rPr>
                <w:rFonts w:hint="eastAsia"/>
              </w:rPr>
              <w:t>。</w:t>
            </w:r>
          </w:p>
          <w:p>
            <w:pPr>
              <w:widowControl w:val="0"/>
              <w:tabs>
                <w:tab w:val="left" w:pos="11"/>
              </w:tabs>
              <w:ind w:firstLine="480" w:firstLineChars="200"/>
              <w:rPr>
                <w:kern w:val="0"/>
              </w:rPr>
            </w:pPr>
            <w:r>
              <w:rPr>
                <w:kern w:val="0"/>
              </w:rPr>
              <w:t>2、施工机械、车辆废气</w:t>
            </w:r>
          </w:p>
          <w:p>
            <w:pPr>
              <w:widowControl w:val="0"/>
              <w:tabs>
                <w:tab w:val="left" w:pos="11"/>
              </w:tabs>
              <w:ind w:firstLine="480" w:firstLineChars="200"/>
              <w:rPr>
                <w:kern w:val="0"/>
              </w:rPr>
            </w:pPr>
            <w:r>
              <w:rPr>
                <w:kern w:val="0"/>
              </w:rPr>
              <w:t>由于施工机械及车辆产生的废气主要污染物为NO</w:t>
            </w:r>
            <w:r>
              <w:rPr>
                <w:kern w:val="0"/>
                <w:vertAlign w:val="subscript"/>
              </w:rPr>
              <w:t>x</w:t>
            </w:r>
            <w:r>
              <w:rPr>
                <w:kern w:val="0"/>
              </w:rPr>
              <w:t>、CO及THC等，间断排放，在加强施工车辆运行管理与维护保养情况下，可减少尾气排放对环境的污染。建设单位应加强施工车辆管理，减少废气排放。</w:t>
            </w:r>
          </w:p>
          <w:p>
            <w:pPr>
              <w:widowControl w:val="0"/>
              <w:ind w:firstLine="480" w:firstLineChars="200"/>
              <w:rPr>
                <w:sz w:val="21"/>
              </w:rPr>
            </w:pPr>
            <w:r>
              <w:t>综上所述，项目施工期间对大气环境的影响较小。</w:t>
            </w:r>
          </w:p>
          <w:p>
            <w:pPr>
              <w:widowControl w:val="0"/>
              <w:tabs>
                <w:tab w:val="left" w:pos="11"/>
              </w:tabs>
              <w:ind w:firstLine="480" w:firstLineChars="200"/>
              <w:rPr>
                <w:bCs/>
                <w:kern w:val="0"/>
              </w:rPr>
            </w:pPr>
            <w:r>
              <w:rPr>
                <w:bCs/>
                <w:kern w:val="0"/>
              </w:rPr>
              <w:t>二、废水</w:t>
            </w:r>
          </w:p>
          <w:p>
            <w:pPr>
              <w:widowControl w:val="0"/>
              <w:ind w:firstLine="480" w:firstLineChars="200"/>
              <w:rPr>
                <w:kern w:val="0"/>
              </w:rPr>
            </w:pPr>
            <w:r>
              <w:rPr>
                <w:kern w:val="0"/>
              </w:rPr>
              <w:t>施工过程中产生的废水主要为施工人员生活污水和建筑施工废水。</w:t>
            </w:r>
          </w:p>
          <w:p>
            <w:pPr>
              <w:widowControl w:val="0"/>
              <w:tabs>
                <w:tab w:val="left" w:pos="11"/>
              </w:tabs>
              <w:ind w:firstLine="480" w:firstLineChars="200"/>
              <w:rPr>
                <w:kern w:val="0"/>
              </w:rPr>
            </w:pPr>
            <w:r>
              <w:rPr>
                <w:kern w:val="0"/>
              </w:rPr>
              <w:t>项目施工期主要生活污水为施工人员盥洗废水，直接用于场地洒水抑尘，不外排。施工期废水中除含有少量的石油类和泥砂外，不含其它污染物，建筑施工废水经沉淀后全部回用到场地的洒水抑尘，不外排。</w:t>
            </w:r>
          </w:p>
          <w:p>
            <w:pPr>
              <w:widowControl w:val="0"/>
              <w:tabs>
                <w:tab w:val="left" w:pos="11"/>
              </w:tabs>
              <w:ind w:firstLine="480" w:firstLineChars="200"/>
              <w:rPr>
                <w:bCs/>
                <w:kern w:val="0"/>
              </w:rPr>
            </w:pPr>
            <w:r>
              <w:rPr>
                <w:bCs/>
                <w:kern w:val="0"/>
              </w:rPr>
              <w:t>三、噪声</w:t>
            </w:r>
          </w:p>
          <w:p>
            <w:pPr>
              <w:widowControl w:val="0"/>
              <w:ind w:firstLine="480" w:firstLineChars="200"/>
              <w:jc w:val="left"/>
              <w:rPr>
                <w:kern w:val="0"/>
              </w:rPr>
            </w:pPr>
            <w:r>
              <w:rPr>
                <w:kern w:val="0"/>
              </w:rPr>
              <w:t>本工程施工阶段的主要噪声源为挖掘机、装载机、推土机等，施工机械一般位于露天，噪声传播距离远，影响范围大，是重要的临时性噪声源。</w:t>
            </w:r>
          </w:p>
          <w:p>
            <w:pPr>
              <w:widowControl w:val="0"/>
              <w:ind w:firstLine="480" w:firstLineChars="200"/>
              <w:jc w:val="left"/>
              <w:rPr>
                <w:kern w:val="0"/>
              </w:rPr>
            </w:pPr>
            <w:r>
              <w:rPr>
                <w:kern w:val="0"/>
              </w:rPr>
              <w:t>（1）施工噪声预测计算</w:t>
            </w:r>
          </w:p>
          <w:p>
            <w:pPr>
              <w:widowControl w:val="0"/>
              <w:ind w:firstLine="480" w:firstLineChars="200"/>
              <w:jc w:val="left"/>
              <w:rPr>
                <w:kern w:val="0"/>
              </w:rPr>
            </w:pPr>
            <w:r>
              <w:rPr>
                <w:kern w:val="0"/>
              </w:rPr>
              <w:t>施工机械中除各种运输车辆外，一般可视作固定声源。因此，我们将施工机械噪声作为点声源处理，在不考虑其它因素情况下，施工机械噪声预测模式如下：</w:t>
            </w:r>
          </w:p>
          <w:p>
            <w:pPr>
              <w:widowControl w:val="0"/>
              <w:ind w:firstLine="480" w:firstLineChars="200"/>
              <w:jc w:val="center"/>
              <w:rPr>
                <w:kern w:val="0"/>
                <w:lang w:val="pt-BR"/>
              </w:rPr>
            </w:pPr>
            <w:r>
              <w:rPr>
                <w:rFonts w:ascii="Cambria Math" w:hAnsi="Cambria Math" w:cs="Cambria Math"/>
                <w:kern w:val="0"/>
                <w:lang w:val="pt-BR"/>
              </w:rPr>
              <w:t>△</w:t>
            </w:r>
            <w:r>
              <w:rPr>
                <w:kern w:val="0"/>
                <w:lang w:val="pt-BR"/>
              </w:rPr>
              <w:t>L= L1 - L2= 20lgr2/r1    （dB）</w:t>
            </w:r>
          </w:p>
          <w:p>
            <w:pPr>
              <w:widowControl w:val="0"/>
              <w:ind w:firstLine="480" w:firstLineChars="200"/>
              <w:jc w:val="left"/>
              <w:rPr>
                <w:kern w:val="0"/>
              </w:rPr>
            </w:pPr>
            <w:r>
              <w:rPr>
                <w:kern w:val="0"/>
              </w:rPr>
              <w:t>式中：</w:t>
            </w:r>
            <w:r>
              <w:rPr>
                <w:rFonts w:ascii="Cambria Math" w:hAnsi="Cambria Math" w:cs="Cambria Math"/>
                <w:kern w:val="0"/>
              </w:rPr>
              <w:t>△</w:t>
            </w:r>
            <w:r>
              <w:rPr>
                <w:kern w:val="0"/>
              </w:rPr>
              <w:t>L——距离增加产生的噪声衰减值（dB）；</w:t>
            </w:r>
          </w:p>
          <w:p>
            <w:pPr>
              <w:widowControl w:val="0"/>
              <w:ind w:firstLine="480" w:firstLineChars="200"/>
              <w:jc w:val="left"/>
              <w:rPr>
                <w:kern w:val="0"/>
              </w:rPr>
            </w:pPr>
            <w:r>
              <w:rPr>
                <w:kern w:val="0"/>
              </w:rPr>
              <w:t>r1、r2——点声源至受声点的距离（m）；</w:t>
            </w:r>
          </w:p>
          <w:p>
            <w:pPr>
              <w:widowControl w:val="0"/>
              <w:ind w:firstLine="480" w:firstLineChars="200"/>
              <w:jc w:val="left"/>
              <w:rPr>
                <w:kern w:val="0"/>
              </w:rPr>
            </w:pPr>
            <w:r>
              <w:rPr>
                <w:kern w:val="0"/>
              </w:rPr>
              <w:t>L</w:t>
            </w:r>
            <w:r>
              <w:rPr>
                <w:kern w:val="0"/>
                <w:vertAlign w:val="subscript"/>
              </w:rPr>
              <w:t>1</w:t>
            </w:r>
            <w:r>
              <w:rPr>
                <w:kern w:val="0"/>
              </w:rPr>
              <w:t>——距点声源r</w:t>
            </w:r>
            <w:r>
              <w:rPr>
                <w:kern w:val="0"/>
                <w:vertAlign w:val="subscript"/>
              </w:rPr>
              <w:t>1</w:t>
            </w:r>
            <w:r>
              <w:rPr>
                <w:kern w:val="0"/>
              </w:rPr>
              <w:t>处的噪声值（dB）；</w:t>
            </w:r>
          </w:p>
          <w:p>
            <w:pPr>
              <w:widowControl w:val="0"/>
              <w:ind w:firstLine="480" w:firstLineChars="200"/>
              <w:jc w:val="left"/>
              <w:rPr>
                <w:kern w:val="0"/>
              </w:rPr>
            </w:pPr>
            <w:r>
              <w:rPr>
                <w:kern w:val="0"/>
              </w:rPr>
              <w:t>L</w:t>
            </w:r>
            <w:r>
              <w:rPr>
                <w:kern w:val="0"/>
                <w:vertAlign w:val="subscript"/>
              </w:rPr>
              <w:t>2</w:t>
            </w:r>
            <w:r>
              <w:rPr>
                <w:kern w:val="0"/>
              </w:rPr>
              <w:t>——距点声源r</w:t>
            </w:r>
            <w:r>
              <w:rPr>
                <w:kern w:val="0"/>
                <w:vertAlign w:val="subscript"/>
              </w:rPr>
              <w:t>2</w:t>
            </w:r>
            <w:r>
              <w:rPr>
                <w:kern w:val="0"/>
              </w:rPr>
              <w:t>处的噪声值（dB）；</w:t>
            </w:r>
          </w:p>
          <w:p>
            <w:pPr>
              <w:widowControl w:val="0"/>
              <w:ind w:firstLine="480" w:firstLineChars="200"/>
              <w:jc w:val="left"/>
              <w:rPr>
                <w:kern w:val="0"/>
              </w:rPr>
            </w:pPr>
            <w:r>
              <w:rPr>
                <w:kern w:val="0"/>
              </w:rPr>
              <w:t>根据《建筑施工厂界环境噪声排放标准》（GB12523-2011）的规定，经计算，各施工阶段主要设备噪声级及最大超标范围见下表。</w:t>
            </w:r>
          </w:p>
          <w:p>
            <w:pPr>
              <w:pStyle w:val="44"/>
              <w:widowControl w:val="0"/>
              <w:numPr>
                <w:ilvl w:val="0"/>
                <w:numId w:val="7"/>
              </w:numPr>
              <w:tabs>
                <w:tab w:val="left" w:pos="11"/>
              </w:tabs>
              <w:spacing w:line="240" w:lineRule="auto"/>
              <w:ind w:left="0" w:firstLine="0" w:firstLineChars="0"/>
              <w:jc w:val="center"/>
              <w:rPr>
                <w:b/>
                <w:kern w:val="0"/>
                <w:sz w:val="21"/>
                <w:szCs w:val="21"/>
              </w:rPr>
            </w:pPr>
            <w:r>
              <w:rPr>
                <w:b/>
                <w:kern w:val="0"/>
                <w:sz w:val="21"/>
                <w:szCs w:val="21"/>
              </w:rPr>
              <w:t>施工机械环境噪声源及噪声影响预测结果表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5"/>
              <w:gridCol w:w="910"/>
              <w:gridCol w:w="710"/>
              <w:gridCol w:w="890"/>
              <w:gridCol w:w="886"/>
              <w:gridCol w:w="963"/>
              <w:gridCol w:w="827"/>
              <w:gridCol w:w="952"/>
              <w:gridCol w:w="894"/>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66" w:type="pct"/>
                  <w:vMerge w:val="restart"/>
                  <w:shd w:val="clear" w:color="auto" w:fill="auto"/>
                  <w:vAlign w:val="center"/>
                </w:tcPr>
                <w:p>
                  <w:pPr>
                    <w:spacing w:line="240" w:lineRule="auto"/>
                    <w:jc w:val="center"/>
                    <w:rPr>
                      <w:kern w:val="0"/>
                      <w:sz w:val="21"/>
                      <w:szCs w:val="21"/>
                    </w:rPr>
                  </w:pPr>
                  <w:r>
                    <w:rPr>
                      <w:kern w:val="0"/>
                      <w:sz w:val="21"/>
                      <w:szCs w:val="21"/>
                    </w:rPr>
                    <w:t>噪声源</w:t>
                  </w:r>
                </w:p>
              </w:tc>
              <w:tc>
                <w:tcPr>
                  <w:tcW w:w="495" w:type="pct"/>
                  <w:vMerge w:val="restart"/>
                  <w:shd w:val="clear" w:color="auto" w:fill="auto"/>
                  <w:vAlign w:val="center"/>
                </w:tcPr>
                <w:p>
                  <w:pPr>
                    <w:spacing w:line="240" w:lineRule="auto"/>
                    <w:jc w:val="center"/>
                    <w:rPr>
                      <w:kern w:val="0"/>
                      <w:sz w:val="21"/>
                      <w:szCs w:val="21"/>
                    </w:rPr>
                  </w:pPr>
                  <w:r>
                    <w:rPr>
                      <w:kern w:val="0"/>
                      <w:sz w:val="21"/>
                      <w:szCs w:val="21"/>
                    </w:rPr>
                    <w:t>源强dB(A)</w:t>
                  </w:r>
                </w:p>
              </w:tc>
              <w:tc>
                <w:tcPr>
                  <w:tcW w:w="2844" w:type="pct"/>
                  <w:gridSpan w:val="6"/>
                  <w:shd w:val="clear" w:color="auto" w:fill="auto"/>
                  <w:vAlign w:val="center"/>
                </w:tcPr>
                <w:p>
                  <w:pPr>
                    <w:spacing w:line="240" w:lineRule="auto"/>
                    <w:jc w:val="center"/>
                    <w:rPr>
                      <w:kern w:val="0"/>
                      <w:sz w:val="21"/>
                      <w:szCs w:val="21"/>
                    </w:rPr>
                  </w:pPr>
                  <w:r>
                    <w:rPr>
                      <w:kern w:val="0"/>
                      <w:sz w:val="21"/>
                      <w:szCs w:val="21"/>
                    </w:rPr>
                    <w:t>至不同距离噪声值dB(A)</w:t>
                  </w:r>
                </w:p>
              </w:tc>
              <w:tc>
                <w:tcPr>
                  <w:tcW w:w="994" w:type="pct"/>
                  <w:gridSpan w:val="2"/>
                  <w:shd w:val="clear" w:color="auto" w:fill="auto"/>
                  <w:vAlign w:val="center"/>
                </w:tcPr>
                <w:p>
                  <w:pPr>
                    <w:spacing w:line="240" w:lineRule="auto"/>
                    <w:jc w:val="center"/>
                    <w:rPr>
                      <w:kern w:val="0"/>
                      <w:sz w:val="21"/>
                      <w:szCs w:val="21"/>
                    </w:rPr>
                  </w:pPr>
                  <w:r>
                    <w:rPr>
                      <w:kern w:val="0"/>
                      <w:sz w:val="21"/>
                      <w:szCs w:val="21"/>
                    </w:rPr>
                    <w:t>噪声排放标准GB12523-2011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666" w:type="pct"/>
                  <w:vMerge w:val="continue"/>
                  <w:vAlign w:val="center"/>
                </w:tcPr>
                <w:p>
                  <w:pPr>
                    <w:spacing w:line="240" w:lineRule="auto"/>
                    <w:jc w:val="center"/>
                    <w:rPr>
                      <w:kern w:val="0"/>
                      <w:sz w:val="21"/>
                      <w:szCs w:val="21"/>
                    </w:rPr>
                  </w:pPr>
                </w:p>
              </w:tc>
              <w:tc>
                <w:tcPr>
                  <w:tcW w:w="495" w:type="pct"/>
                  <w:vMerge w:val="continue"/>
                  <w:vAlign w:val="center"/>
                </w:tcPr>
                <w:p>
                  <w:pPr>
                    <w:spacing w:line="240" w:lineRule="auto"/>
                    <w:jc w:val="center"/>
                    <w:rPr>
                      <w:kern w:val="0"/>
                      <w:sz w:val="21"/>
                      <w:szCs w:val="21"/>
                    </w:rPr>
                  </w:pPr>
                </w:p>
              </w:tc>
              <w:tc>
                <w:tcPr>
                  <w:tcW w:w="386" w:type="pct"/>
                  <w:shd w:val="clear" w:color="auto" w:fill="auto"/>
                  <w:vAlign w:val="center"/>
                </w:tcPr>
                <w:p>
                  <w:pPr>
                    <w:spacing w:line="240" w:lineRule="auto"/>
                    <w:jc w:val="center"/>
                    <w:rPr>
                      <w:kern w:val="0"/>
                      <w:sz w:val="21"/>
                      <w:szCs w:val="21"/>
                    </w:rPr>
                  </w:pPr>
                  <w:r>
                    <w:rPr>
                      <w:kern w:val="0"/>
                      <w:sz w:val="21"/>
                      <w:szCs w:val="21"/>
                    </w:rPr>
                    <w:t>50m</w:t>
                  </w:r>
                </w:p>
              </w:tc>
              <w:tc>
                <w:tcPr>
                  <w:tcW w:w="484" w:type="pct"/>
                  <w:shd w:val="clear" w:color="auto" w:fill="auto"/>
                  <w:vAlign w:val="center"/>
                </w:tcPr>
                <w:p>
                  <w:pPr>
                    <w:spacing w:line="240" w:lineRule="auto"/>
                    <w:jc w:val="center"/>
                    <w:rPr>
                      <w:kern w:val="0"/>
                      <w:sz w:val="21"/>
                      <w:szCs w:val="21"/>
                    </w:rPr>
                  </w:pPr>
                  <w:r>
                    <w:rPr>
                      <w:kern w:val="0"/>
                      <w:sz w:val="21"/>
                      <w:szCs w:val="21"/>
                    </w:rPr>
                    <w:t>100m</w:t>
                  </w:r>
                </w:p>
              </w:tc>
              <w:tc>
                <w:tcPr>
                  <w:tcW w:w="482" w:type="pct"/>
                  <w:shd w:val="clear" w:color="auto" w:fill="auto"/>
                  <w:vAlign w:val="center"/>
                </w:tcPr>
                <w:p>
                  <w:pPr>
                    <w:spacing w:line="240" w:lineRule="auto"/>
                    <w:jc w:val="center"/>
                    <w:rPr>
                      <w:kern w:val="0"/>
                      <w:sz w:val="21"/>
                      <w:szCs w:val="21"/>
                    </w:rPr>
                  </w:pPr>
                  <w:r>
                    <w:rPr>
                      <w:kern w:val="0"/>
                      <w:sz w:val="21"/>
                      <w:szCs w:val="21"/>
                    </w:rPr>
                    <w:t>150m</w:t>
                  </w:r>
                </w:p>
              </w:tc>
              <w:tc>
                <w:tcPr>
                  <w:tcW w:w="524" w:type="pct"/>
                  <w:shd w:val="clear" w:color="auto" w:fill="auto"/>
                  <w:vAlign w:val="center"/>
                </w:tcPr>
                <w:p>
                  <w:pPr>
                    <w:spacing w:line="240" w:lineRule="auto"/>
                    <w:jc w:val="center"/>
                    <w:rPr>
                      <w:kern w:val="0"/>
                      <w:sz w:val="21"/>
                      <w:szCs w:val="21"/>
                    </w:rPr>
                  </w:pPr>
                  <w:r>
                    <w:rPr>
                      <w:kern w:val="0"/>
                      <w:sz w:val="21"/>
                      <w:szCs w:val="21"/>
                    </w:rPr>
                    <w:t>300m</w:t>
                  </w:r>
                </w:p>
              </w:tc>
              <w:tc>
                <w:tcPr>
                  <w:tcW w:w="450" w:type="pct"/>
                  <w:shd w:val="clear" w:color="auto" w:fill="auto"/>
                  <w:vAlign w:val="center"/>
                </w:tcPr>
                <w:p>
                  <w:pPr>
                    <w:spacing w:line="240" w:lineRule="auto"/>
                    <w:jc w:val="center"/>
                    <w:rPr>
                      <w:kern w:val="0"/>
                      <w:sz w:val="21"/>
                      <w:szCs w:val="21"/>
                    </w:rPr>
                  </w:pPr>
                  <w:r>
                    <w:rPr>
                      <w:kern w:val="0"/>
                      <w:sz w:val="21"/>
                      <w:szCs w:val="21"/>
                    </w:rPr>
                    <w:t>600m</w:t>
                  </w:r>
                </w:p>
              </w:tc>
              <w:tc>
                <w:tcPr>
                  <w:tcW w:w="518" w:type="pct"/>
                  <w:shd w:val="clear" w:color="auto" w:fill="auto"/>
                  <w:vAlign w:val="center"/>
                </w:tcPr>
                <w:p>
                  <w:pPr>
                    <w:spacing w:line="240" w:lineRule="auto"/>
                    <w:jc w:val="center"/>
                    <w:rPr>
                      <w:kern w:val="0"/>
                      <w:sz w:val="21"/>
                      <w:szCs w:val="21"/>
                    </w:rPr>
                  </w:pPr>
                  <w:r>
                    <w:rPr>
                      <w:kern w:val="0"/>
                      <w:sz w:val="21"/>
                      <w:szCs w:val="21"/>
                    </w:rPr>
                    <w:t>1000m</w:t>
                  </w:r>
                </w:p>
              </w:tc>
              <w:tc>
                <w:tcPr>
                  <w:tcW w:w="486" w:type="pct"/>
                  <w:shd w:val="clear" w:color="auto" w:fill="auto"/>
                  <w:vAlign w:val="center"/>
                </w:tcPr>
                <w:p>
                  <w:pPr>
                    <w:spacing w:line="240" w:lineRule="auto"/>
                    <w:jc w:val="center"/>
                    <w:rPr>
                      <w:kern w:val="0"/>
                      <w:sz w:val="21"/>
                      <w:szCs w:val="21"/>
                    </w:rPr>
                  </w:pPr>
                  <w:r>
                    <w:rPr>
                      <w:kern w:val="0"/>
                      <w:sz w:val="21"/>
                      <w:szCs w:val="21"/>
                    </w:rPr>
                    <w:t>昼</w:t>
                  </w:r>
                </w:p>
              </w:tc>
              <w:tc>
                <w:tcPr>
                  <w:tcW w:w="508" w:type="pct"/>
                  <w:shd w:val="clear" w:color="auto" w:fill="auto"/>
                  <w:vAlign w:val="center"/>
                </w:tcPr>
                <w:p>
                  <w:pPr>
                    <w:spacing w:line="240" w:lineRule="auto"/>
                    <w:jc w:val="center"/>
                    <w:rPr>
                      <w:kern w:val="0"/>
                      <w:sz w:val="21"/>
                      <w:szCs w:val="21"/>
                    </w:rPr>
                  </w:pPr>
                  <w:r>
                    <w:rPr>
                      <w:kern w:val="0"/>
                      <w:sz w:val="21"/>
                      <w:szCs w:val="21"/>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666" w:type="pct"/>
                  <w:shd w:val="clear" w:color="auto" w:fill="auto"/>
                  <w:vAlign w:val="center"/>
                </w:tcPr>
                <w:p>
                  <w:pPr>
                    <w:spacing w:line="240" w:lineRule="auto"/>
                    <w:jc w:val="center"/>
                    <w:rPr>
                      <w:kern w:val="0"/>
                      <w:sz w:val="21"/>
                      <w:szCs w:val="21"/>
                    </w:rPr>
                  </w:pPr>
                  <w:r>
                    <w:rPr>
                      <w:rFonts w:hint="eastAsia"/>
                      <w:kern w:val="0"/>
                      <w:sz w:val="21"/>
                      <w:szCs w:val="21"/>
                    </w:rPr>
                    <w:t>打桩机</w:t>
                  </w:r>
                </w:p>
              </w:tc>
              <w:tc>
                <w:tcPr>
                  <w:tcW w:w="495" w:type="pct"/>
                  <w:shd w:val="clear" w:color="auto" w:fill="auto"/>
                  <w:vAlign w:val="center"/>
                </w:tcPr>
                <w:p>
                  <w:pPr>
                    <w:spacing w:line="240" w:lineRule="auto"/>
                    <w:jc w:val="center"/>
                    <w:rPr>
                      <w:kern w:val="0"/>
                      <w:sz w:val="21"/>
                      <w:szCs w:val="21"/>
                    </w:rPr>
                  </w:pPr>
                  <w:r>
                    <w:rPr>
                      <w:kern w:val="0"/>
                      <w:sz w:val="21"/>
                      <w:szCs w:val="21"/>
                    </w:rPr>
                    <w:t>89</w:t>
                  </w:r>
                </w:p>
              </w:tc>
              <w:tc>
                <w:tcPr>
                  <w:tcW w:w="386" w:type="pct"/>
                  <w:shd w:val="clear" w:color="auto" w:fill="auto"/>
                  <w:vAlign w:val="center"/>
                </w:tcPr>
                <w:p>
                  <w:pPr>
                    <w:spacing w:line="240" w:lineRule="auto"/>
                    <w:jc w:val="center"/>
                    <w:rPr>
                      <w:kern w:val="0"/>
                      <w:sz w:val="21"/>
                      <w:szCs w:val="21"/>
                    </w:rPr>
                  </w:pPr>
                  <w:r>
                    <w:rPr>
                      <w:kern w:val="0"/>
                      <w:sz w:val="21"/>
                      <w:szCs w:val="21"/>
                    </w:rPr>
                    <w:t>69</w:t>
                  </w:r>
                </w:p>
              </w:tc>
              <w:tc>
                <w:tcPr>
                  <w:tcW w:w="484" w:type="pct"/>
                  <w:shd w:val="clear" w:color="auto" w:fill="auto"/>
                  <w:vAlign w:val="center"/>
                </w:tcPr>
                <w:p>
                  <w:pPr>
                    <w:spacing w:line="240" w:lineRule="auto"/>
                    <w:jc w:val="center"/>
                    <w:rPr>
                      <w:kern w:val="0"/>
                      <w:sz w:val="21"/>
                      <w:szCs w:val="21"/>
                    </w:rPr>
                  </w:pPr>
                  <w:r>
                    <w:rPr>
                      <w:kern w:val="0"/>
                      <w:sz w:val="21"/>
                      <w:szCs w:val="21"/>
                    </w:rPr>
                    <w:t>63</w:t>
                  </w:r>
                </w:p>
              </w:tc>
              <w:tc>
                <w:tcPr>
                  <w:tcW w:w="482" w:type="pct"/>
                  <w:shd w:val="clear" w:color="auto" w:fill="auto"/>
                  <w:vAlign w:val="center"/>
                </w:tcPr>
                <w:p>
                  <w:pPr>
                    <w:spacing w:line="240" w:lineRule="auto"/>
                    <w:jc w:val="center"/>
                    <w:rPr>
                      <w:kern w:val="0"/>
                      <w:sz w:val="21"/>
                      <w:szCs w:val="21"/>
                    </w:rPr>
                  </w:pPr>
                  <w:r>
                    <w:rPr>
                      <w:kern w:val="0"/>
                      <w:sz w:val="21"/>
                      <w:szCs w:val="21"/>
                    </w:rPr>
                    <w:t>59</w:t>
                  </w:r>
                </w:p>
              </w:tc>
              <w:tc>
                <w:tcPr>
                  <w:tcW w:w="524" w:type="pct"/>
                  <w:shd w:val="clear" w:color="auto" w:fill="auto"/>
                  <w:vAlign w:val="center"/>
                </w:tcPr>
                <w:p>
                  <w:pPr>
                    <w:spacing w:line="240" w:lineRule="auto"/>
                    <w:jc w:val="center"/>
                    <w:rPr>
                      <w:kern w:val="0"/>
                      <w:sz w:val="21"/>
                      <w:szCs w:val="21"/>
                    </w:rPr>
                  </w:pPr>
                  <w:r>
                    <w:rPr>
                      <w:kern w:val="0"/>
                      <w:sz w:val="21"/>
                      <w:szCs w:val="21"/>
                    </w:rPr>
                    <w:t>53</w:t>
                  </w:r>
                </w:p>
              </w:tc>
              <w:tc>
                <w:tcPr>
                  <w:tcW w:w="450" w:type="pct"/>
                  <w:shd w:val="clear" w:color="auto" w:fill="auto"/>
                  <w:vAlign w:val="center"/>
                </w:tcPr>
                <w:p>
                  <w:pPr>
                    <w:spacing w:line="240" w:lineRule="auto"/>
                    <w:jc w:val="center"/>
                    <w:rPr>
                      <w:kern w:val="0"/>
                      <w:sz w:val="21"/>
                      <w:szCs w:val="21"/>
                    </w:rPr>
                  </w:pPr>
                  <w:r>
                    <w:rPr>
                      <w:kern w:val="0"/>
                      <w:sz w:val="21"/>
                      <w:szCs w:val="21"/>
                    </w:rPr>
                    <w:t>47</w:t>
                  </w:r>
                </w:p>
              </w:tc>
              <w:tc>
                <w:tcPr>
                  <w:tcW w:w="518" w:type="pct"/>
                  <w:shd w:val="clear" w:color="auto" w:fill="auto"/>
                  <w:vAlign w:val="center"/>
                </w:tcPr>
                <w:p>
                  <w:pPr>
                    <w:spacing w:line="240" w:lineRule="auto"/>
                    <w:jc w:val="center"/>
                    <w:rPr>
                      <w:kern w:val="0"/>
                      <w:sz w:val="21"/>
                      <w:szCs w:val="21"/>
                    </w:rPr>
                  </w:pPr>
                  <w:r>
                    <w:rPr>
                      <w:kern w:val="0"/>
                      <w:sz w:val="21"/>
                      <w:szCs w:val="21"/>
                    </w:rPr>
                    <w:t>43</w:t>
                  </w:r>
                </w:p>
              </w:tc>
              <w:tc>
                <w:tcPr>
                  <w:tcW w:w="486" w:type="pct"/>
                  <w:shd w:val="clear" w:color="auto" w:fill="auto"/>
                  <w:vAlign w:val="center"/>
                </w:tcPr>
                <w:p>
                  <w:pPr>
                    <w:spacing w:line="240" w:lineRule="auto"/>
                    <w:jc w:val="center"/>
                    <w:rPr>
                      <w:kern w:val="0"/>
                      <w:sz w:val="21"/>
                      <w:szCs w:val="21"/>
                    </w:rPr>
                  </w:pPr>
                  <w:r>
                    <w:rPr>
                      <w:kern w:val="0"/>
                      <w:sz w:val="21"/>
                      <w:szCs w:val="21"/>
                    </w:rPr>
                    <w:t>70</w:t>
                  </w:r>
                </w:p>
              </w:tc>
              <w:tc>
                <w:tcPr>
                  <w:tcW w:w="508" w:type="pct"/>
                  <w:shd w:val="clear" w:color="auto" w:fill="auto"/>
                  <w:vAlign w:val="center"/>
                </w:tcPr>
                <w:p>
                  <w:pPr>
                    <w:spacing w:line="240" w:lineRule="auto"/>
                    <w:jc w:val="center"/>
                    <w:rPr>
                      <w:kern w:val="0"/>
                      <w:sz w:val="21"/>
                      <w:szCs w:val="21"/>
                    </w:rPr>
                  </w:pPr>
                  <w:r>
                    <w:rPr>
                      <w:kern w:val="0"/>
                      <w:sz w:val="21"/>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666" w:type="pct"/>
                  <w:shd w:val="clear" w:color="auto" w:fill="auto"/>
                  <w:vAlign w:val="center"/>
                </w:tcPr>
                <w:p>
                  <w:pPr>
                    <w:spacing w:line="240" w:lineRule="auto"/>
                    <w:jc w:val="center"/>
                    <w:rPr>
                      <w:kern w:val="0"/>
                      <w:sz w:val="21"/>
                      <w:szCs w:val="21"/>
                    </w:rPr>
                  </w:pPr>
                  <w:r>
                    <w:rPr>
                      <w:kern w:val="0"/>
                      <w:sz w:val="21"/>
                      <w:szCs w:val="21"/>
                    </w:rPr>
                    <w:t>推土机</w:t>
                  </w:r>
                </w:p>
              </w:tc>
              <w:tc>
                <w:tcPr>
                  <w:tcW w:w="495" w:type="pct"/>
                  <w:shd w:val="clear" w:color="auto" w:fill="auto"/>
                  <w:vAlign w:val="center"/>
                </w:tcPr>
                <w:p>
                  <w:pPr>
                    <w:spacing w:line="240" w:lineRule="auto"/>
                    <w:jc w:val="center"/>
                    <w:rPr>
                      <w:kern w:val="0"/>
                      <w:sz w:val="21"/>
                      <w:szCs w:val="21"/>
                    </w:rPr>
                  </w:pPr>
                  <w:r>
                    <w:rPr>
                      <w:kern w:val="0"/>
                      <w:sz w:val="21"/>
                      <w:szCs w:val="21"/>
                    </w:rPr>
                    <w:t>90</w:t>
                  </w:r>
                </w:p>
              </w:tc>
              <w:tc>
                <w:tcPr>
                  <w:tcW w:w="386" w:type="pct"/>
                  <w:shd w:val="clear" w:color="auto" w:fill="auto"/>
                  <w:vAlign w:val="center"/>
                </w:tcPr>
                <w:p>
                  <w:pPr>
                    <w:spacing w:line="240" w:lineRule="auto"/>
                    <w:jc w:val="center"/>
                    <w:rPr>
                      <w:kern w:val="0"/>
                      <w:sz w:val="21"/>
                      <w:szCs w:val="21"/>
                    </w:rPr>
                  </w:pPr>
                  <w:r>
                    <w:rPr>
                      <w:kern w:val="0"/>
                      <w:sz w:val="21"/>
                      <w:szCs w:val="21"/>
                    </w:rPr>
                    <w:t>70</w:t>
                  </w:r>
                </w:p>
              </w:tc>
              <w:tc>
                <w:tcPr>
                  <w:tcW w:w="484" w:type="pct"/>
                  <w:shd w:val="clear" w:color="auto" w:fill="auto"/>
                  <w:vAlign w:val="center"/>
                </w:tcPr>
                <w:p>
                  <w:pPr>
                    <w:spacing w:line="240" w:lineRule="auto"/>
                    <w:jc w:val="center"/>
                    <w:rPr>
                      <w:kern w:val="0"/>
                      <w:sz w:val="21"/>
                      <w:szCs w:val="21"/>
                    </w:rPr>
                  </w:pPr>
                  <w:r>
                    <w:rPr>
                      <w:kern w:val="0"/>
                      <w:sz w:val="21"/>
                      <w:szCs w:val="21"/>
                    </w:rPr>
                    <w:t>64</w:t>
                  </w:r>
                </w:p>
              </w:tc>
              <w:tc>
                <w:tcPr>
                  <w:tcW w:w="482" w:type="pct"/>
                  <w:shd w:val="clear" w:color="auto" w:fill="auto"/>
                  <w:vAlign w:val="center"/>
                </w:tcPr>
                <w:p>
                  <w:pPr>
                    <w:spacing w:line="240" w:lineRule="auto"/>
                    <w:jc w:val="center"/>
                    <w:rPr>
                      <w:kern w:val="0"/>
                      <w:sz w:val="21"/>
                      <w:szCs w:val="21"/>
                    </w:rPr>
                  </w:pPr>
                  <w:r>
                    <w:rPr>
                      <w:kern w:val="0"/>
                      <w:sz w:val="21"/>
                      <w:szCs w:val="21"/>
                    </w:rPr>
                    <w:t>60</w:t>
                  </w:r>
                </w:p>
              </w:tc>
              <w:tc>
                <w:tcPr>
                  <w:tcW w:w="524" w:type="pct"/>
                  <w:shd w:val="clear" w:color="auto" w:fill="auto"/>
                  <w:vAlign w:val="center"/>
                </w:tcPr>
                <w:p>
                  <w:pPr>
                    <w:spacing w:line="240" w:lineRule="auto"/>
                    <w:jc w:val="center"/>
                    <w:rPr>
                      <w:kern w:val="0"/>
                      <w:sz w:val="21"/>
                      <w:szCs w:val="21"/>
                    </w:rPr>
                  </w:pPr>
                  <w:r>
                    <w:rPr>
                      <w:kern w:val="0"/>
                      <w:sz w:val="21"/>
                      <w:szCs w:val="21"/>
                    </w:rPr>
                    <w:t>54</w:t>
                  </w:r>
                </w:p>
              </w:tc>
              <w:tc>
                <w:tcPr>
                  <w:tcW w:w="450" w:type="pct"/>
                  <w:shd w:val="clear" w:color="auto" w:fill="auto"/>
                  <w:vAlign w:val="center"/>
                </w:tcPr>
                <w:p>
                  <w:pPr>
                    <w:spacing w:line="240" w:lineRule="auto"/>
                    <w:jc w:val="center"/>
                    <w:rPr>
                      <w:kern w:val="0"/>
                      <w:sz w:val="21"/>
                      <w:szCs w:val="21"/>
                    </w:rPr>
                  </w:pPr>
                  <w:r>
                    <w:rPr>
                      <w:kern w:val="0"/>
                      <w:sz w:val="21"/>
                      <w:szCs w:val="21"/>
                    </w:rPr>
                    <w:t>48</w:t>
                  </w:r>
                </w:p>
              </w:tc>
              <w:tc>
                <w:tcPr>
                  <w:tcW w:w="518" w:type="pct"/>
                  <w:shd w:val="clear" w:color="auto" w:fill="auto"/>
                  <w:vAlign w:val="center"/>
                </w:tcPr>
                <w:p>
                  <w:pPr>
                    <w:spacing w:line="240" w:lineRule="auto"/>
                    <w:jc w:val="center"/>
                    <w:rPr>
                      <w:kern w:val="0"/>
                      <w:sz w:val="21"/>
                      <w:szCs w:val="21"/>
                    </w:rPr>
                  </w:pPr>
                  <w:r>
                    <w:rPr>
                      <w:kern w:val="0"/>
                      <w:sz w:val="21"/>
                      <w:szCs w:val="21"/>
                    </w:rPr>
                    <w:t>44</w:t>
                  </w:r>
                </w:p>
              </w:tc>
              <w:tc>
                <w:tcPr>
                  <w:tcW w:w="486" w:type="pct"/>
                  <w:shd w:val="clear" w:color="auto" w:fill="auto"/>
                  <w:vAlign w:val="center"/>
                </w:tcPr>
                <w:p>
                  <w:pPr>
                    <w:spacing w:line="240" w:lineRule="auto"/>
                    <w:jc w:val="center"/>
                    <w:rPr>
                      <w:kern w:val="0"/>
                      <w:sz w:val="21"/>
                      <w:szCs w:val="21"/>
                    </w:rPr>
                  </w:pPr>
                  <w:r>
                    <w:rPr>
                      <w:kern w:val="0"/>
                      <w:sz w:val="21"/>
                      <w:szCs w:val="21"/>
                    </w:rPr>
                    <w:t>70</w:t>
                  </w:r>
                </w:p>
              </w:tc>
              <w:tc>
                <w:tcPr>
                  <w:tcW w:w="508" w:type="pct"/>
                  <w:shd w:val="clear" w:color="auto" w:fill="auto"/>
                  <w:vAlign w:val="center"/>
                </w:tcPr>
                <w:p>
                  <w:pPr>
                    <w:spacing w:line="240" w:lineRule="auto"/>
                    <w:jc w:val="center"/>
                    <w:rPr>
                      <w:kern w:val="0"/>
                      <w:sz w:val="21"/>
                      <w:szCs w:val="21"/>
                    </w:rPr>
                  </w:pPr>
                  <w:r>
                    <w:rPr>
                      <w:kern w:val="0"/>
                      <w:sz w:val="21"/>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666" w:type="pct"/>
                  <w:shd w:val="clear" w:color="auto" w:fill="auto"/>
                  <w:vAlign w:val="center"/>
                </w:tcPr>
                <w:p>
                  <w:pPr>
                    <w:spacing w:line="240" w:lineRule="auto"/>
                    <w:jc w:val="center"/>
                    <w:rPr>
                      <w:kern w:val="0"/>
                      <w:sz w:val="21"/>
                      <w:szCs w:val="21"/>
                    </w:rPr>
                  </w:pPr>
                  <w:r>
                    <w:rPr>
                      <w:rFonts w:hint="eastAsia"/>
                      <w:kern w:val="0"/>
                      <w:sz w:val="21"/>
                      <w:szCs w:val="21"/>
                    </w:rPr>
                    <w:t>电锯</w:t>
                  </w:r>
                </w:p>
              </w:tc>
              <w:tc>
                <w:tcPr>
                  <w:tcW w:w="495" w:type="pct"/>
                  <w:shd w:val="clear" w:color="auto" w:fill="auto"/>
                  <w:vAlign w:val="center"/>
                </w:tcPr>
                <w:p>
                  <w:pPr>
                    <w:spacing w:line="240" w:lineRule="auto"/>
                    <w:jc w:val="center"/>
                    <w:rPr>
                      <w:kern w:val="0"/>
                      <w:sz w:val="21"/>
                      <w:szCs w:val="21"/>
                    </w:rPr>
                  </w:pPr>
                  <w:r>
                    <w:rPr>
                      <w:kern w:val="0"/>
                      <w:sz w:val="21"/>
                      <w:szCs w:val="21"/>
                    </w:rPr>
                    <w:t>86</w:t>
                  </w:r>
                </w:p>
              </w:tc>
              <w:tc>
                <w:tcPr>
                  <w:tcW w:w="386" w:type="pct"/>
                  <w:shd w:val="clear" w:color="auto" w:fill="auto"/>
                  <w:vAlign w:val="center"/>
                </w:tcPr>
                <w:p>
                  <w:pPr>
                    <w:spacing w:line="240" w:lineRule="auto"/>
                    <w:jc w:val="center"/>
                    <w:rPr>
                      <w:kern w:val="0"/>
                      <w:sz w:val="21"/>
                      <w:szCs w:val="21"/>
                    </w:rPr>
                  </w:pPr>
                  <w:r>
                    <w:rPr>
                      <w:kern w:val="0"/>
                      <w:sz w:val="21"/>
                      <w:szCs w:val="21"/>
                    </w:rPr>
                    <w:t>66</w:t>
                  </w:r>
                </w:p>
              </w:tc>
              <w:tc>
                <w:tcPr>
                  <w:tcW w:w="484" w:type="pct"/>
                  <w:shd w:val="clear" w:color="auto" w:fill="auto"/>
                  <w:vAlign w:val="center"/>
                </w:tcPr>
                <w:p>
                  <w:pPr>
                    <w:spacing w:line="240" w:lineRule="auto"/>
                    <w:jc w:val="center"/>
                    <w:rPr>
                      <w:kern w:val="0"/>
                      <w:sz w:val="21"/>
                      <w:szCs w:val="21"/>
                    </w:rPr>
                  </w:pPr>
                  <w:r>
                    <w:rPr>
                      <w:kern w:val="0"/>
                      <w:sz w:val="21"/>
                      <w:szCs w:val="21"/>
                    </w:rPr>
                    <w:t>60</w:t>
                  </w:r>
                </w:p>
              </w:tc>
              <w:tc>
                <w:tcPr>
                  <w:tcW w:w="482" w:type="pct"/>
                  <w:shd w:val="clear" w:color="auto" w:fill="auto"/>
                  <w:vAlign w:val="center"/>
                </w:tcPr>
                <w:p>
                  <w:pPr>
                    <w:spacing w:line="240" w:lineRule="auto"/>
                    <w:jc w:val="center"/>
                    <w:rPr>
                      <w:kern w:val="0"/>
                      <w:sz w:val="21"/>
                      <w:szCs w:val="21"/>
                    </w:rPr>
                  </w:pPr>
                  <w:r>
                    <w:rPr>
                      <w:kern w:val="0"/>
                      <w:sz w:val="21"/>
                      <w:szCs w:val="21"/>
                    </w:rPr>
                    <w:t>56</w:t>
                  </w:r>
                </w:p>
              </w:tc>
              <w:tc>
                <w:tcPr>
                  <w:tcW w:w="524" w:type="pct"/>
                  <w:shd w:val="clear" w:color="auto" w:fill="auto"/>
                  <w:vAlign w:val="center"/>
                </w:tcPr>
                <w:p>
                  <w:pPr>
                    <w:spacing w:line="240" w:lineRule="auto"/>
                    <w:jc w:val="center"/>
                    <w:rPr>
                      <w:kern w:val="0"/>
                      <w:sz w:val="21"/>
                      <w:szCs w:val="21"/>
                    </w:rPr>
                  </w:pPr>
                  <w:r>
                    <w:rPr>
                      <w:kern w:val="0"/>
                      <w:sz w:val="21"/>
                      <w:szCs w:val="21"/>
                    </w:rPr>
                    <w:t>50</w:t>
                  </w:r>
                </w:p>
              </w:tc>
              <w:tc>
                <w:tcPr>
                  <w:tcW w:w="450" w:type="pct"/>
                  <w:shd w:val="clear" w:color="auto" w:fill="auto"/>
                  <w:vAlign w:val="center"/>
                </w:tcPr>
                <w:p>
                  <w:pPr>
                    <w:spacing w:line="240" w:lineRule="auto"/>
                    <w:jc w:val="center"/>
                    <w:rPr>
                      <w:kern w:val="0"/>
                      <w:sz w:val="21"/>
                      <w:szCs w:val="21"/>
                    </w:rPr>
                  </w:pPr>
                  <w:r>
                    <w:rPr>
                      <w:kern w:val="0"/>
                      <w:sz w:val="21"/>
                      <w:szCs w:val="21"/>
                    </w:rPr>
                    <w:t>44</w:t>
                  </w:r>
                </w:p>
              </w:tc>
              <w:tc>
                <w:tcPr>
                  <w:tcW w:w="518" w:type="pct"/>
                  <w:shd w:val="clear" w:color="auto" w:fill="auto"/>
                  <w:vAlign w:val="center"/>
                </w:tcPr>
                <w:p>
                  <w:pPr>
                    <w:spacing w:line="240" w:lineRule="auto"/>
                    <w:jc w:val="center"/>
                    <w:rPr>
                      <w:kern w:val="0"/>
                      <w:sz w:val="21"/>
                      <w:szCs w:val="21"/>
                    </w:rPr>
                  </w:pPr>
                  <w:r>
                    <w:rPr>
                      <w:kern w:val="0"/>
                      <w:sz w:val="21"/>
                      <w:szCs w:val="21"/>
                    </w:rPr>
                    <w:t>40</w:t>
                  </w:r>
                </w:p>
              </w:tc>
              <w:tc>
                <w:tcPr>
                  <w:tcW w:w="486" w:type="pct"/>
                  <w:shd w:val="clear" w:color="auto" w:fill="auto"/>
                  <w:vAlign w:val="center"/>
                </w:tcPr>
                <w:p>
                  <w:pPr>
                    <w:spacing w:line="240" w:lineRule="auto"/>
                    <w:jc w:val="center"/>
                    <w:rPr>
                      <w:kern w:val="0"/>
                      <w:sz w:val="21"/>
                      <w:szCs w:val="21"/>
                    </w:rPr>
                  </w:pPr>
                  <w:r>
                    <w:rPr>
                      <w:kern w:val="0"/>
                      <w:sz w:val="21"/>
                      <w:szCs w:val="21"/>
                    </w:rPr>
                    <w:t>70</w:t>
                  </w:r>
                </w:p>
              </w:tc>
              <w:tc>
                <w:tcPr>
                  <w:tcW w:w="508" w:type="pct"/>
                  <w:shd w:val="clear" w:color="auto" w:fill="auto"/>
                  <w:vAlign w:val="center"/>
                </w:tcPr>
                <w:p>
                  <w:pPr>
                    <w:spacing w:line="240" w:lineRule="auto"/>
                    <w:jc w:val="center"/>
                    <w:rPr>
                      <w:kern w:val="0"/>
                      <w:sz w:val="21"/>
                      <w:szCs w:val="21"/>
                    </w:rPr>
                  </w:pPr>
                  <w:r>
                    <w:rPr>
                      <w:kern w:val="0"/>
                      <w:sz w:val="21"/>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666" w:type="pct"/>
                  <w:shd w:val="clear" w:color="auto" w:fill="auto"/>
                  <w:vAlign w:val="center"/>
                </w:tcPr>
                <w:p>
                  <w:pPr>
                    <w:spacing w:line="240" w:lineRule="auto"/>
                    <w:jc w:val="center"/>
                    <w:rPr>
                      <w:kern w:val="0"/>
                      <w:sz w:val="21"/>
                      <w:szCs w:val="21"/>
                    </w:rPr>
                  </w:pPr>
                  <w:r>
                    <w:rPr>
                      <w:kern w:val="0"/>
                      <w:sz w:val="21"/>
                      <w:szCs w:val="21"/>
                    </w:rPr>
                    <w:t>挖掘机</w:t>
                  </w:r>
                </w:p>
              </w:tc>
              <w:tc>
                <w:tcPr>
                  <w:tcW w:w="495" w:type="pct"/>
                  <w:shd w:val="clear" w:color="auto" w:fill="auto"/>
                  <w:vAlign w:val="center"/>
                </w:tcPr>
                <w:p>
                  <w:pPr>
                    <w:spacing w:line="240" w:lineRule="auto"/>
                    <w:jc w:val="center"/>
                    <w:rPr>
                      <w:kern w:val="0"/>
                      <w:sz w:val="21"/>
                      <w:szCs w:val="21"/>
                    </w:rPr>
                  </w:pPr>
                  <w:r>
                    <w:rPr>
                      <w:kern w:val="0"/>
                      <w:sz w:val="21"/>
                      <w:szCs w:val="21"/>
                    </w:rPr>
                    <w:t>85</w:t>
                  </w:r>
                </w:p>
              </w:tc>
              <w:tc>
                <w:tcPr>
                  <w:tcW w:w="386" w:type="pct"/>
                  <w:shd w:val="clear" w:color="auto" w:fill="auto"/>
                  <w:vAlign w:val="center"/>
                </w:tcPr>
                <w:p>
                  <w:pPr>
                    <w:spacing w:line="240" w:lineRule="auto"/>
                    <w:jc w:val="center"/>
                    <w:rPr>
                      <w:kern w:val="0"/>
                      <w:sz w:val="21"/>
                      <w:szCs w:val="21"/>
                    </w:rPr>
                  </w:pPr>
                  <w:r>
                    <w:rPr>
                      <w:kern w:val="0"/>
                      <w:sz w:val="21"/>
                      <w:szCs w:val="21"/>
                    </w:rPr>
                    <w:t>65</w:t>
                  </w:r>
                </w:p>
              </w:tc>
              <w:tc>
                <w:tcPr>
                  <w:tcW w:w="484" w:type="pct"/>
                  <w:shd w:val="clear" w:color="auto" w:fill="auto"/>
                  <w:vAlign w:val="center"/>
                </w:tcPr>
                <w:p>
                  <w:pPr>
                    <w:spacing w:line="240" w:lineRule="auto"/>
                    <w:jc w:val="center"/>
                    <w:rPr>
                      <w:kern w:val="0"/>
                      <w:sz w:val="21"/>
                      <w:szCs w:val="21"/>
                    </w:rPr>
                  </w:pPr>
                  <w:r>
                    <w:rPr>
                      <w:kern w:val="0"/>
                      <w:sz w:val="21"/>
                      <w:szCs w:val="21"/>
                    </w:rPr>
                    <w:t>59</w:t>
                  </w:r>
                </w:p>
              </w:tc>
              <w:tc>
                <w:tcPr>
                  <w:tcW w:w="482" w:type="pct"/>
                  <w:shd w:val="clear" w:color="auto" w:fill="auto"/>
                  <w:vAlign w:val="center"/>
                </w:tcPr>
                <w:p>
                  <w:pPr>
                    <w:spacing w:line="240" w:lineRule="auto"/>
                    <w:jc w:val="center"/>
                    <w:rPr>
                      <w:kern w:val="0"/>
                      <w:sz w:val="21"/>
                      <w:szCs w:val="21"/>
                    </w:rPr>
                  </w:pPr>
                  <w:r>
                    <w:rPr>
                      <w:kern w:val="0"/>
                      <w:sz w:val="21"/>
                      <w:szCs w:val="21"/>
                    </w:rPr>
                    <w:t>55</w:t>
                  </w:r>
                </w:p>
              </w:tc>
              <w:tc>
                <w:tcPr>
                  <w:tcW w:w="524" w:type="pct"/>
                  <w:shd w:val="clear" w:color="auto" w:fill="auto"/>
                  <w:vAlign w:val="center"/>
                </w:tcPr>
                <w:p>
                  <w:pPr>
                    <w:spacing w:line="240" w:lineRule="auto"/>
                    <w:jc w:val="center"/>
                    <w:rPr>
                      <w:kern w:val="0"/>
                      <w:sz w:val="21"/>
                      <w:szCs w:val="21"/>
                    </w:rPr>
                  </w:pPr>
                  <w:r>
                    <w:rPr>
                      <w:kern w:val="0"/>
                      <w:sz w:val="21"/>
                      <w:szCs w:val="21"/>
                    </w:rPr>
                    <w:t>49</w:t>
                  </w:r>
                </w:p>
              </w:tc>
              <w:tc>
                <w:tcPr>
                  <w:tcW w:w="450" w:type="pct"/>
                  <w:shd w:val="clear" w:color="auto" w:fill="auto"/>
                  <w:vAlign w:val="center"/>
                </w:tcPr>
                <w:p>
                  <w:pPr>
                    <w:spacing w:line="240" w:lineRule="auto"/>
                    <w:jc w:val="center"/>
                    <w:rPr>
                      <w:kern w:val="0"/>
                      <w:sz w:val="21"/>
                      <w:szCs w:val="21"/>
                    </w:rPr>
                  </w:pPr>
                  <w:r>
                    <w:rPr>
                      <w:kern w:val="0"/>
                      <w:sz w:val="21"/>
                      <w:szCs w:val="21"/>
                    </w:rPr>
                    <w:t>43</w:t>
                  </w:r>
                </w:p>
              </w:tc>
              <w:tc>
                <w:tcPr>
                  <w:tcW w:w="518" w:type="pct"/>
                  <w:shd w:val="clear" w:color="auto" w:fill="auto"/>
                  <w:vAlign w:val="center"/>
                </w:tcPr>
                <w:p>
                  <w:pPr>
                    <w:spacing w:line="240" w:lineRule="auto"/>
                    <w:jc w:val="center"/>
                    <w:rPr>
                      <w:kern w:val="0"/>
                      <w:sz w:val="21"/>
                      <w:szCs w:val="21"/>
                    </w:rPr>
                  </w:pPr>
                  <w:r>
                    <w:rPr>
                      <w:kern w:val="0"/>
                      <w:sz w:val="21"/>
                      <w:szCs w:val="21"/>
                    </w:rPr>
                    <w:t>39</w:t>
                  </w:r>
                </w:p>
              </w:tc>
              <w:tc>
                <w:tcPr>
                  <w:tcW w:w="486" w:type="pct"/>
                  <w:shd w:val="clear" w:color="auto" w:fill="auto"/>
                  <w:vAlign w:val="center"/>
                </w:tcPr>
                <w:p>
                  <w:pPr>
                    <w:spacing w:line="240" w:lineRule="auto"/>
                    <w:jc w:val="center"/>
                    <w:rPr>
                      <w:kern w:val="0"/>
                      <w:sz w:val="21"/>
                      <w:szCs w:val="21"/>
                    </w:rPr>
                  </w:pPr>
                  <w:r>
                    <w:rPr>
                      <w:kern w:val="0"/>
                      <w:sz w:val="21"/>
                      <w:szCs w:val="21"/>
                    </w:rPr>
                    <w:t>70</w:t>
                  </w:r>
                </w:p>
              </w:tc>
              <w:tc>
                <w:tcPr>
                  <w:tcW w:w="508" w:type="pct"/>
                  <w:shd w:val="clear" w:color="auto" w:fill="auto"/>
                  <w:vAlign w:val="center"/>
                </w:tcPr>
                <w:p>
                  <w:pPr>
                    <w:spacing w:line="240" w:lineRule="auto"/>
                    <w:jc w:val="center"/>
                    <w:rPr>
                      <w:kern w:val="0"/>
                      <w:sz w:val="21"/>
                      <w:szCs w:val="21"/>
                    </w:rPr>
                  </w:pPr>
                  <w:r>
                    <w:rPr>
                      <w:kern w:val="0"/>
                      <w:sz w:val="21"/>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666" w:type="pct"/>
                  <w:shd w:val="clear" w:color="auto" w:fill="auto"/>
                  <w:vAlign w:val="center"/>
                </w:tcPr>
                <w:p>
                  <w:pPr>
                    <w:spacing w:line="240" w:lineRule="auto"/>
                    <w:jc w:val="center"/>
                    <w:rPr>
                      <w:kern w:val="0"/>
                      <w:sz w:val="21"/>
                      <w:szCs w:val="21"/>
                    </w:rPr>
                  </w:pPr>
                  <w:r>
                    <w:rPr>
                      <w:rFonts w:hint="eastAsia"/>
                      <w:kern w:val="0"/>
                      <w:sz w:val="21"/>
                      <w:szCs w:val="21"/>
                    </w:rPr>
                    <w:t>电钻</w:t>
                  </w:r>
                </w:p>
              </w:tc>
              <w:tc>
                <w:tcPr>
                  <w:tcW w:w="495" w:type="pct"/>
                  <w:shd w:val="clear" w:color="auto" w:fill="auto"/>
                  <w:vAlign w:val="center"/>
                </w:tcPr>
                <w:p>
                  <w:pPr>
                    <w:spacing w:line="240" w:lineRule="auto"/>
                    <w:jc w:val="center"/>
                    <w:rPr>
                      <w:kern w:val="0"/>
                      <w:sz w:val="21"/>
                      <w:szCs w:val="21"/>
                    </w:rPr>
                  </w:pPr>
                  <w:r>
                    <w:rPr>
                      <w:kern w:val="0"/>
                      <w:sz w:val="21"/>
                      <w:szCs w:val="21"/>
                    </w:rPr>
                    <w:t>85</w:t>
                  </w:r>
                </w:p>
              </w:tc>
              <w:tc>
                <w:tcPr>
                  <w:tcW w:w="386" w:type="pct"/>
                  <w:shd w:val="clear" w:color="auto" w:fill="auto"/>
                  <w:vAlign w:val="center"/>
                </w:tcPr>
                <w:p>
                  <w:pPr>
                    <w:spacing w:line="240" w:lineRule="auto"/>
                    <w:jc w:val="center"/>
                    <w:rPr>
                      <w:kern w:val="0"/>
                      <w:sz w:val="21"/>
                      <w:szCs w:val="21"/>
                    </w:rPr>
                  </w:pPr>
                  <w:r>
                    <w:rPr>
                      <w:kern w:val="0"/>
                      <w:sz w:val="21"/>
                      <w:szCs w:val="21"/>
                    </w:rPr>
                    <w:t>65</w:t>
                  </w:r>
                </w:p>
              </w:tc>
              <w:tc>
                <w:tcPr>
                  <w:tcW w:w="484" w:type="pct"/>
                  <w:shd w:val="clear" w:color="auto" w:fill="auto"/>
                  <w:vAlign w:val="center"/>
                </w:tcPr>
                <w:p>
                  <w:pPr>
                    <w:spacing w:line="240" w:lineRule="auto"/>
                    <w:jc w:val="center"/>
                    <w:rPr>
                      <w:kern w:val="0"/>
                      <w:sz w:val="21"/>
                      <w:szCs w:val="21"/>
                    </w:rPr>
                  </w:pPr>
                  <w:r>
                    <w:rPr>
                      <w:kern w:val="0"/>
                      <w:sz w:val="21"/>
                      <w:szCs w:val="21"/>
                    </w:rPr>
                    <w:t>59</w:t>
                  </w:r>
                </w:p>
              </w:tc>
              <w:tc>
                <w:tcPr>
                  <w:tcW w:w="482" w:type="pct"/>
                  <w:shd w:val="clear" w:color="auto" w:fill="auto"/>
                  <w:vAlign w:val="center"/>
                </w:tcPr>
                <w:p>
                  <w:pPr>
                    <w:spacing w:line="240" w:lineRule="auto"/>
                    <w:jc w:val="center"/>
                    <w:rPr>
                      <w:kern w:val="0"/>
                      <w:sz w:val="21"/>
                      <w:szCs w:val="21"/>
                    </w:rPr>
                  </w:pPr>
                  <w:r>
                    <w:rPr>
                      <w:kern w:val="0"/>
                      <w:sz w:val="21"/>
                      <w:szCs w:val="21"/>
                    </w:rPr>
                    <w:t>55</w:t>
                  </w:r>
                </w:p>
              </w:tc>
              <w:tc>
                <w:tcPr>
                  <w:tcW w:w="524" w:type="pct"/>
                  <w:shd w:val="clear" w:color="auto" w:fill="auto"/>
                  <w:vAlign w:val="center"/>
                </w:tcPr>
                <w:p>
                  <w:pPr>
                    <w:spacing w:line="240" w:lineRule="auto"/>
                    <w:jc w:val="center"/>
                    <w:rPr>
                      <w:kern w:val="0"/>
                      <w:sz w:val="21"/>
                      <w:szCs w:val="21"/>
                    </w:rPr>
                  </w:pPr>
                  <w:r>
                    <w:rPr>
                      <w:kern w:val="0"/>
                      <w:sz w:val="21"/>
                      <w:szCs w:val="21"/>
                    </w:rPr>
                    <w:t>49</w:t>
                  </w:r>
                </w:p>
              </w:tc>
              <w:tc>
                <w:tcPr>
                  <w:tcW w:w="450" w:type="pct"/>
                  <w:shd w:val="clear" w:color="auto" w:fill="auto"/>
                  <w:vAlign w:val="center"/>
                </w:tcPr>
                <w:p>
                  <w:pPr>
                    <w:spacing w:line="240" w:lineRule="auto"/>
                    <w:jc w:val="center"/>
                    <w:rPr>
                      <w:kern w:val="0"/>
                      <w:sz w:val="21"/>
                      <w:szCs w:val="21"/>
                    </w:rPr>
                  </w:pPr>
                  <w:r>
                    <w:rPr>
                      <w:kern w:val="0"/>
                      <w:sz w:val="21"/>
                      <w:szCs w:val="21"/>
                    </w:rPr>
                    <w:t>43</w:t>
                  </w:r>
                </w:p>
              </w:tc>
              <w:tc>
                <w:tcPr>
                  <w:tcW w:w="518" w:type="pct"/>
                  <w:shd w:val="clear" w:color="auto" w:fill="auto"/>
                  <w:vAlign w:val="center"/>
                </w:tcPr>
                <w:p>
                  <w:pPr>
                    <w:spacing w:line="240" w:lineRule="auto"/>
                    <w:jc w:val="center"/>
                    <w:rPr>
                      <w:kern w:val="0"/>
                      <w:sz w:val="21"/>
                      <w:szCs w:val="21"/>
                    </w:rPr>
                  </w:pPr>
                  <w:r>
                    <w:rPr>
                      <w:kern w:val="0"/>
                      <w:sz w:val="21"/>
                      <w:szCs w:val="21"/>
                    </w:rPr>
                    <w:t>39</w:t>
                  </w:r>
                </w:p>
              </w:tc>
              <w:tc>
                <w:tcPr>
                  <w:tcW w:w="486" w:type="pct"/>
                  <w:shd w:val="clear" w:color="auto" w:fill="auto"/>
                  <w:vAlign w:val="center"/>
                </w:tcPr>
                <w:p>
                  <w:pPr>
                    <w:spacing w:line="240" w:lineRule="auto"/>
                    <w:jc w:val="center"/>
                    <w:rPr>
                      <w:kern w:val="0"/>
                      <w:sz w:val="21"/>
                      <w:szCs w:val="21"/>
                    </w:rPr>
                  </w:pPr>
                  <w:r>
                    <w:rPr>
                      <w:kern w:val="0"/>
                      <w:sz w:val="21"/>
                      <w:szCs w:val="21"/>
                    </w:rPr>
                    <w:t>70</w:t>
                  </w:r>
                </w:p>
              </w:tc>
              <w:tc>
                <w:tcPr>
                  <w:tcW w:w="508" w:type="pct"/>
                  <w:shd w:val="clear" w:color="auto" w:fill="auto"/>
                  <w:vAlign w:val="center"/>
                </w:tcPr>
                <w:p>
                  <w:pPr>
                    <w:spacing w:line="240" w:lineRule="auto"/>
                    <w:jc w:val="center"/>
                    <w:rPr>
                      <w:kern w:val="0"/>
                      <w:sz w:val="21"/>
                      <w:szCs w:val="21"/>
                    </w:rPr>
                  </w:pPr>
                  <w:r>
                    <w:rPr>
                      <w:kern w:val="0"/>
                      <w:sz w:val="21"/>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666" w:type="pct"/>
                  <w:shd w:val="clear" w:color="auto" w:fill="auto"/>
                  <w:vAlign w:val="center"/>
                </w:tcPr>
                <w:p>
                  <w:pPr>
                    <w:spacing w:line="240" w:lineRule="auto"/>
                    <w:jc w:val="center"/>
                    <w:rPr>
                      <w:kern w:val="0"/>
                      <w:sz w:val="21"/>
                      <w:szCs w:val="21"/>
                    </w:rPr>
                  </w:pPr>
                  <w:r>
                    <w:rPr>
                      <w:kern w:val="0"/>
                      <w:sz w:val="21"/>
                      <w:szCs w:val="21"/>
                    </w:rPr>
                    <w:t>切割机</w:t>
                  </w:r>
                </w:p>
              </w:tc>
              <w:tc>
                <w:tcPr>
                  <w:tcW w:w="495" w:type="pct"/>
                  <w:shd w:val="clear" w:color="auto" w:fill="auto"/>
                  <w:vAlign w:val="center"/>
                </w:tcPr>
                <w:p>
                  <w:pPr>
                    <w:spacing w:line="240" w:lineRule="auto"/>
                    <w:jc w:val="center"/>
                    <w:rPr>
                      <w:kern w:val="0"/>
                      <w:sz w:val="21"/>
                      <w:szCs w:val="21"/>
                    </w:rPr>
                  </w:pPr>
                  <w:r>
                    <w:rPr>
                      <w:kern w:val="0"/>
                      <w:sz w:val="21"/>
                      <w:szCs w:val="21"/>
                    </w:rPr>
                    <w:t>100</w:t>
                  </w:r>
                </w:p>
              </w:tc>
              <w:tc>
                <w:tcPr>
                  <w:tcW w:w="386" w:type="pct"/>
                  <w:shd w:val="clear" w:color="auto" w:fill="auto"/>
                  <w:vAlign w:val="center"/>
                </w:tcPr>
                <w:p>
                  <w:pPr>
                    <w:spacing w:line="240" w:lineRule="auto"/>
                    <w:jc w:val="center"/>
                    <w:rPr>
                      <w:kern w:val="0"/>
                      <w:sz w:val="21"/>
                      <w:szCs w:val="21"/>
                    </w:rPr>
                  </w:pPr>
                  <w:r>
                    <w:rPr>
                      <w:kern w:val="0"/>
                      <w:sz w:val="21"/>
                      <w:szCs w:val="21"/>
                    </w:rPr>
                    <w:t>80</w:t>
                  </w:r>
                </w:p>
              </w:tc>
              <w:tc>
                <w:tcPr>
                  <w:tcW w:w="484" w:type="pct"/>
                  <w:shd w:val="clear" w:color="auto" w:fill="auto"/>
                  <w:vAlign w:val="center"/>
                </w:tcPr>
                <w:p>
                  <w:pPr>
                    <w:spacing w:line="240" w:lineRule="auto"/>
                    <w:jc w:val="center"/>
                    <w:rPr>
                      <w:kern w:val="0"/>
                      <w:sz w:val="21"/>
                      <w:szCs w:val="21"/>
                    </w:rPr>
                  </w:pPr>
                  <w:r>
                    <w:rPr>
                      <w:kern w:val="0"/>
                      <w:sz w:val="21"/>
                      <w:szCs w:val="21"/>
                    </w:rPr>
                    <w:t>74</w:t>
                  </w:r>
                </w:p>
              </w:tc>
              <w:tc>
                <w:tcPr>
                  <w:tcW w:w="482" w:type="pct"/>
                  <w:shd w:val="clear" w:color="auto" w:fill="auto"/>
                  <w:vAlign w:val="center"/>
                </w:tcPr>
                <w:p>
                  <w:pPr>
                    <w:spacing w:line="240" w:lineRule="auto"/>
                    <w:jc w:val="center"/>
                    <w:rPr>
                      <w:kern w:val="0"/>
                      <w:sz w:val="21"/>
                      <w:szCs w:val="21"/>
                    </w:rPr>
                  </w:pPr>
                  <w:r>
                    <w:rPr>
                      <w:kern w:val="0"/>
                      <w:sz w:val="21"/>
                      <w:szCs w:val="21"/>
                    </w:rPr>
                    <w:t>70</w:t>
                  </w:r>
                </w:p>
              </w:tc>
              <w:tc>
                <w:tcPr>
                  <w:tcW w:w="524" w:type="pct"/>
                  <w:shd w:val="clear" w:color="auto" w:fill="auto"/>
                  <w:vAlign w:val="center"/>
                </w:tcPr>
                <w:p>
                  <w:pPr>
                    <w:spacing w:line="240" w:lineRule="auto"/>
                    <w:jc w:val="center"/>
                    <w:rPr>
                      <w:kern w:val="0"/>
                      <w:sz w:val="21"/>
                      <w:szCs w:val="21"/>
                    </w:rPr>
                  </w:pPr>
                  <w:r>
                    <w:rPr>
                      <w:kern w:val="0"/>
                      <w:sz w:val="21"/>
                      <w:szCs w:val="21"/>
                    </w:rPr>
                    <w:t>64</w:t>
                  </w:r>
                </w:p>
              </w:tc>
              <w:tc>
                <w:tcPr>
                  <w:tcW w:w="450" w:type="pct"/>
                  <w:shd w:val="clear" w:color="auto" w:fill="auto"/>
                  <w:vAlign w:val="center"/>
                </w:tcPr>
                <w:p>
                  <w:pPr>
                    <w:spacing w:line="240" w:lineRule="auto"/>
                    <w:jc w:val="center"/>
                    <w:rPr>
                      <w:kern w:val="0"/>
                      <w:sz w:val="21"/>
                      <w:szCs w:val="21"/>
                    </w:rPr>
                  </w:pPr>
                  <w:r>
                    <w:rPr>
                      <w:kern w:val="0"/>
                      <w:sz w:val="21"/>
                      <w:szCs w:val="21"/>
                    </w:rPr>
                    <w:t>58</w:t>
                  </w:r>
                </w:p>
              </w:tc>
              <w:tc>
                <w:tcPr>
                  <w:tcW w:w="518" w:type="pct"/>
                  <w:shd w:val="clear" w:color="auto" w:fill="auto"/>
                  <w:vAlign w:val="center"/>
                </w:tcPr>
                <w:p>
                  <w:pPr>
                    <w:spacing w:line="240" w:lineRule="auto"/>
                    <w:jc w:val="center"/>
                    <w:rPr>
                      <w:kern w:val="0"/>
                      <w:sz w:val="21"/>
                      <w:szCs w:val="21"/>
                    </w:rPr>
                  </w:pPr>
                  <w:r>
                    <w:rPr>
                      <w:kern w:val="0"/>
                      <w:sz w:val="21"/>
                      <w:szCs w:val="21"/>
                    </w:rPr>
                    <w:t>54</w:t>
                  </w:r>
                </w:p>
              </w:tc>
              <w:tc>
                <w:tcPr>
                  <w:tcW w:w="486" w:type="pct"/>
                  <w:shd w:val="clear" w:color="auto" w:fill="auto"/>
                  <w:vAlign w:val="center"/>
                </w:tcPr>
                <w:p>
                  <w:pPr>
                    <w:spacing w:line="240" w:lineRule="auto"/>
                    <w:jc w:val="center"/>
                    <w:rPr>
                      <w:kern w:val="0"/>
                      <w:sz w:val="21"/>
                      <w:szCs w:val="21"/>
                    </w:rPr>
                  </w:pPr>
                  <w:r>
                    <w:rPr>
                      <w:kern w:val="0"/>
                      <w:sz w:val="21"/>
                      <w:szCs w:val="21"/>
                    </w:rPr>
                    <w:t>70</w:t>
                  </w:r>
                </w:p>
              </w:tc>
              <w:tc>
                <w:tcPr>
                  <w:tcW w:w="508" w:type="pct"/>
                  <w:shd w:val="clear" w:color="auto" w:fill="auto"/>
                  <w:vAlign w:val="center"/>
                </w:tcPr>
                <w:p>
                  <w:pPr>
                    <w:spacing w:line="240" w:lineRule="auto"/>
                    <w:jc w:val="center"/>
                    <w:rPr>
                      <w:kern w:val="0"/>
                      <w:sz w:val="21"/>
                      <w:szCs w:val="21"/>
                    </w:rPr>
                  </w:pPr>
                  <w:r>
                    <w:rPr>
                      <w:kern w:val="0"/>
                      <w:sz w:val="21"/>
                      <w:szCs w:val="21"/>
                    </w:rPr>
                    <w:t>55</w:t>
                  </w:r>
                </w:p>
              </w:tc>
            </w:tr>
          </w:tbl>
          <w:p>
            <w:pPr>
              <w:widowControl w:val="0"/>
              <w:ind w:firstLine="480" w:firstLineChars="200"/>
              <w:rPr>
                <w:kern w:val="0"/>
              </w:rPr>
            </w:pPr>
            <w:r>
              <w:rPr>
                <w:kern w:val="0"/>
              </w:rPr>
              <w:t>（2）施工噪声对周围环境的影响分析</w:t>
            </w:r>
          </w:p>
          <w:p>
            <w:pPr>
              <w:widowControl w:val="0"/>
              <w:ind w:firstLine="480" w:firstLineChars="200"/>
              <w:rPr>
                <w:kern w:val="0"/>
                <w:szCs w:val="20"/>
              </w:rPr>
            </w:pPr>
            <w:r>
              <w:rPr>
                <w:kern w:val="0"/>
                <w:szCs w:val="20"/>
              </w:rPr>
              <w:t>由上表可知，施工机械噪声源昼间最大影响范围在50m内，夜间在150m内。</w:t>
            </w:r>
            <w:r>
              <w:rPr>
                <w:kern w:val="0"/>
              </w:rPr>
              <w:t>施工期间运输建筑材料车辆增多，将加重附近道路交通噪声污染，运输车辆一般声级为85dB（A）。经调查</w:t>
            </w:r>
            <w:r>
              <w:rPr>
                <w:rFonts w:hint="eastAsia"/>
                <w:kern w:val="0"/>
              </w:rPr>
              <w:t>，</w:t>
            </w:r>
            <w:r>
              <w:rPr>
                <w:kern w:val="0"/>
              </w:rPr>
              <w:t>项目地</w:t>
            </w:r>
            <w:r>
              <w:rPr>
                <w:rFonts w:hint="eastAsia"/>
                <w:kern w:val="0"/>
              </w:rPr>
              <w:t>200m范围内无敏感点，对周边环境影响较小。</w:t>
            </w:r>
          </w:p>
          <w:p>
            <w:pPr>
              <w:widowControl w:val="0"/>
              <w:tabs>
                <w:tab w:val="left" w:pos="11"/>
              </w:tabs>
              <w:ind w:firstLine="480" w:firstLineChars="200"/>
              <w:rPr>
                <w:bCs/>
                <w:kern w:val="0"/>
              </w:rPr>
            </w:pPr>
            <w:r>
              <w:rPr>
                <w:bCs/>
                <w:kern w:val="0"/>
              </w:rPr>
              <w:t>四、固体废弃物</w:t>
            </w:r>
          </w:p>
          <w:p>
            <w:pPr>
              <w:widowControl w:val="0"/>
              <w:ind w:firstLine="480" w:firstLineChars="200"/>
              <w:rPr>
                <w:szCs w:val="20"/>
              </w:rPr>
            </w:pPr>
            <w:r>
              <w:rPr>
                <w:szCs w:val="20"/>
              </w:rPr>
              <w:t>施工期固体废物主要是建筑垃圾和施工人员的生活垃圾。施工人员生活垃圾集中收集后由环卫部门统一清运</w:t>
            </w:r>
            <w:r>
              <w:rPr>
                <w:rFonts w:hint="eastAsia"/>
                <w:szCs w:val="20"/>
              </w:rPr>
              <w:t>，</w:t>
            </w:r>
            <w:r>
              <w:rPr>
                <w:szCs w:val="20"/>
              </w:rPr>
              <w:t>建筑垃圾集中收集后送至阎良区建筑垃圾消纳场。</w:t>
            </w:r>
          </w:p>
          <w:p>
            <w:pPr>
              <w:widowControl w:val="0"/>
              <w:ind w:firstLine="480" w:firstLineChars="200"/>
              <w:rPr>
                <w:bCs/>
                <w:kern w:val="0"/>
              </w:rPr>
            </w:pPr>
            <w:r>
              <w:rPr>
                <w:bCs/>
                <w:kern w:val="0"/>
              </w:rPr>
              <w:t>综上所述，施工期间虽然会对环境产生一些不利影响，但在落实环保措施并加强施工管理的前提下，可使施工期对环境的影响降低到最小程度，且施工期结束后，这些影响也将会随之消失。</w:t>
            </w:r>
          </w:p>
          <w:p>
            <w:pPr>
              <w:widowControl w:val="0"/>
              <w:rPr>
                <w:rFonts w:asciiTheme="minorEastAsia" w:hAnsiTheme="minorEastAsia" w:eastAsiaTheme="minorEastAsia"/>
                <w:b/>
              </w:rPr>
            </w:pPr>
            <w:r>
              <w:rPr>
                <w:rFonts w:asciiTheme="minorEastAsia" w:hAnsiTheme="minorEastAsia" w:eastAsiaTheme="minorEastAsia"/>
                <w:b/>
              </w:rPr>
              <w:t>运营期环境影响分析</w:t>
            </w:r>
          </w:p>
          <w:p>
            <w:pPr>
              <w:widowControl w:val="0"/>
              <w:ind w:firstLine="480" w:firstLineChars="200"/>
              <w:rPr>
                <w:bCs/>
              </w:rPr>
            </w:pPr>
            <w:r>
              <w:rPr>
                <w:bCs/>
              </w:rPr>
              <w:t>一、大气环境影响分析</w:t>
            </w:r>
          </w:p>
          <w:p>
            <w:pPr>
              <w:widowControl w:val="0"/>
              <w:ind w:firstLine="480" w:firstLineChars="200"/>
              <w:rPr>
                <w:color w:val="000000"/>
              </w:rPr>
            </w:pPr>
            <w:r>
              <w:rPr>
                <w:color w:val="000000"/>
              </w:rPr>
              <w:t>1、大气环境影响评价工作等级的确定</w:t>
            </w:r>
          </w:p>
          <w:p>
            <w:pPr>
              <w:pStyle w:val="58"/>
              <w:autoSpaceDE/>
              <w:autoSpaceDN/>
              <w:adjustRightInd/>
              <w:spacing w:line="360" w:lineRule="auto"/>
              <w:ind w:firstLine="480" w:firstLineChars="200"/>
              <w:rPr>
                <w:rFonts w:ascii="Times New Roman" w:cs="Times New Roman"/>
              </w:rPr>
            </w:pPr>
            <w:r>
              <w:rPr>
                <w:rFonts w:ascii="Times New Roman" w:cs="Times New Roman"/>
              </w:rPr>
              <w:t>依据《环境影响评价技术导则-大气环境》（HJ2.2-2018）中5.3节工作等级的确定方法，结合项目工程分析结果，选择正常排放的主要污染物及排放参数，采用附录A推荐模型中的AERSCREEN模式计算项目污染源的最大环境影响，然后按评价工作分级判据进行分级。</w:t>
            </w:r>
          </w:p>
          <w:p>
            <w:pPr>
              <w:widowControl w:val="0"/>
              <w:ind w:firstLine="480" w:firstLineChars="200"/>
              <w:rPr>
                <w:color w:val="000000"/>
              </w:rPr>
            </w:pPr>
            <w:r>
              <w:rPr>
                <w:rFonts w:hint="eastAsia"/>
                <w:color w:val="000000"/>
              </w:rPr>
              <w:t>（1）</w:t>
            </w:r>
            <w:r>
              <w:rPr>
                <w:color w:val="000000"/>
              </w:rPr>
              <w:t>评价因子和评价标准筛选</w:t>
            </w:r>
          </w:p>
          <w:p>
            <w:pPr>
              <w:widowControl w:val="0"/>
              <w:ind w:firstLine="480" w:firstLineChars="200"/>
              <w:textAlignment w:val="baseline"/>
            </w:pPr>
            <w:r>
              <w:rPr>
                <w:color w:val="000000"/>
              </w:rPr>
              <w:t>本次评价TSP作为评价因子，本项目评价因子和评价标准表见表</w:t>
            </w:r>
            <w:r>
              <w:rPr>
                <w:rFonts w:hint="eastAsia"/>
                <w:color w:val="000000"/>
              </w:rPr>
              <w:t>7-4。</w:t>
            </w:r>
          </w:p>
          <w:p>
            <w:pPr>
              <w:pStyle w:val="44"/>
              <w:widowControl w:val="0"/>
              <w:numPr>
                <w:ilvl w:val="0"/>
                <w:numId w:val="7"/>
              </w:numPr>
              <w:tabs>
                <w:tab w:val="left" w:pos="11"/>
              </w:tabs>
              <w:spacing w:line="240" w:lineRule="auto"/>
              <w:ind w:left="0" w:firstLine="0" w:firstLineChars="0"/>
              <w:jc w:val="center"/>
              <w:rPr>
                <w:b/>
                <w:sz w:val="21"/>
                <w:szCs w:val="21"/>
              </w:rPr>
            </w:pPr>
            <w:r>
              <w:rPr>
                <w:b/>
                <w:sz w:val="21"/>
                <w:szCs w:val="21"/>
              </w:rPr>
              <w:t>评价因子和评价标准表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5"/>
              <w:gridCol w:w="1620"/>
              <w:gridCol w:w="2040"/>
              <w:gridCol w:w="3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5" w:type="dxa"/>
                  <w:vAlign w:val="center"/>
                </w:tcPr>
                <w:p>
                  <w:pPr>
                    <w:adjustRightInd w:val="0"/>
                    <w:snapToGrid w:val="0"/>
                    <w:spacing w:line="240" w:lineRule="auto"/>
                    <w:jc w:val="center"/>
                    <w:rPr>
                      <w:bCs/>
                      <w:color w:val="000000"/>
                      <w:sz w:val="21"/>
                      <w:szCs w:val="21"/>
                    </w:rPr>
                  </w:pPr>
                  <w:r>
                    <w:rPr>
                      <w:bCs/>
                      <w:color w:val="000000"/>
                      <w:sz w:val="21"/>
                      <w:szCs w:val="21"/>
                    </w:rPr>
                    <w:t>评价因子</w:t>
                  </w:r>
                </w:p>
              </w:tc>
              <w:tc>
                <w:tcPr>
                  <w:tcW w:w="1620" w:type="dxa"/>
                  <w:vAlign w:val="center"/>
                </w:tcPr>
                <w:p>
                  <w:pPr>
                    <w:adjustRightInd w:val="0"/>
                    <w:snapToGrid w:val="0"/>
                    <w:spacing w:line="240" w:lineRule="auto"/>
                    <w:jc w:val="center"/>
                    <w:rPr>
                      <w:bCs/>
                      <w:color w:val="000000"/>
                      <w:sz w:val="21"/>
                      <w:szCs w:val="21"/>
                    </w:rPr>
                  </w:pPr>
                  <w:r>
                    <w:rPr>
                      <w:bCs/>
                      <w:color w:val="000000"/>
                      <w:sz w:val="21"/>
                      <w:szCs w:val="21"/>
                    </w:rPr>
                    <w:t>平均时段</w:t>
                  </w:r>
                </w:p>
              </w:tc>
              <w:tc>
                <w:tcPr>
                  <w:tcW w:w="2040" w:type="dxa"/>
                  <w:vAlign w:val="center"/>
                </w:tcPr>
                <w:p>
                  <w:pPr>
                    <w:adjustRightInd w:val="0"/>
                    <w:snapToGrid w:val="0"/>
                    <w:spacing w:line="240" w:lineRule="auto"/>
                    <w:jc w:val="center"/>
                    <w:rPr>
                      <w:bCs/>
                      <w:color w:val="000000"/>
                      <w:sz w:val="21"/>
                      <w:szCs w:val="21"/>
                    </w:rPr>
                  </w:pPr>
                  <w:r>
                    <w:rPr>
                      <w:bCs/>
                      <w:color w:val="000000"/>
                      <w:sz w:val="21"/>
                      <w:szCs w:val="21"/>
                    </w:rPr>
                    <w:t>标准值（μg/m</w:t>
                  </w:r>
                  <w:r>
                    <w:rPr>
                      <w:bCs/>
                      <w:color w:val="000000"/>
                      <w:sz w:val="21"/>
                      <w:szCs w:val="21"/>
                      <w:vertAlign w:val="superscript"/>
                    </w:rPr>
                    <w:t>3</w:t>
                  </w:r>
                  <w:r>
                    <w:rPr>
                      <w:bCs/>
                      <w:color w:val="000000"/>
                      <w:sz w:val="21"/>
                      <w:szCs w:val="21"/>
                    </w:rPr>
                    <w:t>）</w:t>
                  </w:r>
                </w:p>
              </w:tc>
              <w:tc>
                <w:tcPr>
                  <w:tcW w:w="3576" w:type="dxa"/>
                  <w:vAlign w:val="center"/>
                </w:tcPr>
                <w:p>
                  <w:pPr>
                    <w:adjustRightInd w:val="0"/>
                    <w:snapToGrid w:val="0"/>
                    <w:spacing w:line="240" w:lineRule="auto"/>
                    <w:jc w:val="center"/>
                    <w:rPr>
                      <w:bCs/>
                      <w:color w:val="000000"/>
                      <w:sz w:val="21"/>
                      <w:szCs w:val="21"/>
                    </w:rPr>
                  </w:pPr>
                  <w:r>
                    <w:rPr>
                      <w:bCs/>
                      <w:color w:val="000000"/>
                      <w:sz w:val="21"/>
                      <w:szCs w:val="21"/>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5" w:type="dxa"/>
                  <w:vAlign w:val="center"/>
                </w:tcPr>
                <w:p>
                  <w:pPr>
                    <w:adjustRightInd w:val="0"/>
                    <w:snapToGrid w:val="0"/>
                    <w:spacing w:line="240" w:lineRule="auto"/>
                    <w:jc w:val="center"/>
                    <w:rPr>
                      <w:bCs/>
                      <w:color w:val="000000"/>
                      <w:sz w:val="21"/>
                      <w:szCs w:val="21"/>
                    </w:rPr>
                  </w:pPr>
                  <w:r>
                    <w:rPr>
                      <w:bCs/>
                      <w:color w:val="000000"/>
                      <w:sz w:val="21"/>
                      <w:szCs w:val="21"/>
                    </w:rPr>
                    <w:t>TSP</w:t>
                  </w:r>
                </w:p>
              </w:tc>
              <w:tc>
                <w:tcPr>
                  <w:tcW w:w="1620" w:type="dxa"/>
                  <w:vAlign w:val="center"/>
                </w:tcPr>
                <w:p>
                  <w:pPr>
                    <w:adjustRightInd w:val="0"/>
                    <w:snapToGrid w:val="0"/>
                    <w:spacing w:line="240" w:lineRule="auto"/>
                    <w:jc w:val="center"/>
                    <w:rPr>
                      <w:bCs/>
                      <w:color w:val="000000"/>
                      <w:sz w:val="21"/>
                      <w:szCs w:val="21"/>
                    </w:rPr>
                  </w:pPr>
                  <w:r>
                    <w:rPr>
                      <w:bCs/>
                      <w:color w:val="000000"/>
                      <w:sz w:val="21"/>
                      <w:szCs w:val="21"/>
                    </w:rPr>
                    <w:t>日平均</w:t>
                  </w:r>
                </w:p>
              </w:tc>
              <w:tc>
                <w:tcPr>
                  <w:tcW w:w="2040" w:type="dxa"/>
                  <w:vAlign w:val="center"/>
                </w:tcPr>
                <w:p>
                  <w:pPr>
                    <w:adjustRightInd w:val="0"/>
                    <w:snapToGrid w:val="0"/>
                    <w:spacing w:line="240" w:lineRule="auto"/>
                    <w:jc w:val="center"/>
                    <w:rPr>
                      <w:bCs/>
                      <w:color w:val="000000"/>
                      <w:sz w:val="21"/>
                      <w:szCs w:val="21"/>
                    </w:rPr>
                  </w:pPr>
                  <w:r>
                    <w:rPr>
                      <w:bCs/>
                      <w:color w:val="000000"/>
                      <w:sz w:val="21"/>
                      <w:szCs w:val="21"/>
                    </w:rPr>
                    <w:t>300</w:t>
                  </w:r>
                </w:p>
              </w:tc>
              <w:tc>
                <w:tcPr>
                  <w:tcW w:w="3576" w:type="dxa"/>
                  <w:vAlign w:val="center"/>
                </w:tcPr>
                <w:p>
                  <w:pPr>
                    <w:adjustRightInd w:val="0"/>
                    <w:snapToGrid w:val="0"/>
                    <w:spacing w:line="240" w:lineRule="auto"/>
                    <w:jc w:val="center"/>
                    <w:rPr>
                      <w:bCs/>
                      <w:color w:val="000000"/>
                      <w:sz w:val="21"/>
                      <w:szCs w:val="21"/>
                    </w:rPr>
                  </w:pPr>
                  <w:r>
                    <w:rPr>
                      <w:bCs/>
                      <w:color w:val="000000"/>
                      <w:sz w:val="21"/>
                      <w:szCs w:val="21"/>
                    </w:rPr>
                    <w:t>《环境空气质量标准》</w:t>
                  </w:r>
                </w:p>
                <w:p>
                  <w:pPr>
                    <w:adjustRightInd w:val="0"/>
                    <w:snapToGrid w:val="0"/>
                    <w:spacing w:line="240" w:lineRule="auto"/>
                    <w:jc w:val="center"/>
                    <w:rPr>
                      <w:bCs/>
                      <w:color w:val="000000"/>
                      <w:sz w:val="21"/>
                      <w:szCs w:val="21"/>
                    </w:rPr>
                  </w:pPr>
                  <w:r>
                    <w:rPr>
                      <w:bCs/>
                      <w:color w:val="000000"/>
                      <w:sz w:val="21"/>
                      <w:szCs w:val="21"/>
                    </w:rPr>
                    <w:t>（GB3095-2012）二级标准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31" w:type="dxa"/>
                  <w:gridSpan w:val="4"/>
                  <w:vAlign w:val="center"/>
                </w:tcPr>
                <w:p>
                  <w:pPr>
                    <w:adjustRightInd w:val="0"/>
                    <w:snapToGrid w:val="0"/>
                    <w:spacing w:line="240" w:lineRule="auto"/>
                    <w:jc w:val="left"/>
                    <w:rPr>
                      <w:bCs/>
                      <w:color w:val="000000"/>
                      <w:sz w:val="21"/>
                      <w:szCs w:val="21"/>
                    </w:rPr>
                  </w:pPr>
                  <w:r>
                    <w:rPr>
                      <w:bCs/>
                      <w:color w:val="000000"/>
                      <w:sz w:val="21"/>
                      <w:szCs w:val="21"/>
                    </w:rPr>
                    <w:t>注：</w:t>
                  </w:r>
                  <w:r>
                    <w:rPr>
                      <w:bCs/>
                      <w:sz w:val="21"/>
                      <w:szCs w:val="21"/>
                    </w:rPr>
                    <w:t>根据</w:t>
                  </w:r>
                  <w:r>
                    <w:rPr>
                      <w:bCs/>
                      <w:sz w:val="21"/>
                      <w:szCs w:val="21"/>
                      <w:lang w:val="zh-CN"/>
                    </w:rPr>
                    <w:t>《环境影响评价技术导则</w:t>
                  </w:r>
                  <w:r>
                    <w:rPr>
                      <w:bCs/>
                      <w:sz w:val="21"/>
                      <w:szCs w:val="21"/>
                    </w:rPr>
                    <w:t>-</w:t>
                  </w:r>
                  <w:r>
                    <w:rPr>
                      <w:bCs/>
                      <w:sz w:val="21"/>
                      <w:szCs w:val="21"/>
                      <w:lang w:val="zh-CN"/>
                    </w:rPr>
                    <w:t>大气环境》（HJ2.2-20</w:t>
                  </w:r>
                  <w:r>
                    <w:rPr>
                      <w:bCs/>
                      <w:sz w:val="21"/>
                      <w:szCs w:val="21"/>
                    </w:rPr>
                    <w:t>18</w:t>
                  </w:r>
                  <w:r>
                    <w:rPr>
                      <w:bCs/>
                      <w:sz w:val="21"/>
                      <w:szCs w:val="21"/>
                      <w:lang w:val="zh-CN"/>
                    </w:rPr>
                    <w:t>），</w:t>
                  </w:r>
                  <w:r>
                    <w:rPr>
                      <w:sz w:val="21"/>
                      <w:szCs w:val="21"/>
                    </w:rPr>
                    <w:t>TSP 1小时评价标准按日平均质量浓度限值的3倍计算，即900</w:t>
                  </w:r>
                  <w:r>
                    <w:rPr>
                      <w:bCs/>
                      <w:color w:val="000000"/>
                      <w:sz w:val="21"/>
                      <w:szCs w:val="21"/>
                    </w:rPr>
                    <w:t>μg/m</w:t>
                  </w:r>
                  <w:r>
                    <w:rPr>
                      <w:bCs/>
                      <w:color w:val="000000"/>
                      <w:sz w:val="21"/>
                      <w:szCs w:val="21"/>
                      <w:vertAlign w:val="superscript"/>
                    </w:rPr>
                    <w:t>3</w:t>
                  </w:r>
                  <w:r>
                    <w:rPr>
                      <w:bCs/>
                      <w:color w:val="000000"/>
                      <w:sz w:val="21"/>
                      <w:szCs w:val="21"/>
                    </w:rPr>
                    <w:t>。</w:t>
                  </w:r>
                </w:p>
              </w:tc>
            </w:tr>
          </w:tbl>
          <w:p>
            <w:pPr>
              <w:widowControl w:val="0"/>
              <w:ind w:firstLine="480" w:firstLineChars="200"/>
              <w:rPr>
                <w:color w:val="000000"/>
              </w:rPr>
            </w:pPr>
            <w:r>
              <w:rPr>
                <w:rFonts w:hint="eastAsia"/>
              </w:rPr>
              <w:t>（2）</w:t>
            </w:r>
            <w:r>
              <w:rPr>
                <w:color w:val="000000"/>
              </w:rPr>
              <w:t>估算模型参数</w:t>
            </w:r>
          </w:p>
          <w:p>
            <w:pPr>
              <w:widowControl w:val="0"/>
              <w:ind w:firstLine="480" w:firstLineChars="200"/>
            </w:pPr>
            <w:r>
              <w:rPr>
                <w:color w:val="000000"/>
              </w:rPr>
              <w:t>估算模型参数见表</w:t>
            </w:r>
            <w:r>
              <w:rPr>
                <w:rFonts w:hint="eastAsia"/>
                <w:color w:val="000000"/>
              </w:rPr>
              <w:t>7-5。</w:t>
            </w:r>
          </w:p>
          <w:p>
            <w:pPr>
              <w:pStyle w:val="44"/>
              <w:widowControl w:val="0"/>
              <w:numPr>
                <w:ilvl w:val="0"/>
                <w:numId w:val="7"/>
              </w:numPr>
              <w:tabs>
                <w:tab w:val="left" w:pos="11"/>
              </w:tabs>
              <w:spacing w:line="240" w:lineRule="auto"/>
              <w:ind w:left="0" w:firstLine="0" w:firstLineChars="0"/>
              <w:jc w:val="center"/>
              <w:rPr>
                <w:b/>
                <w:sz w:val="21"/>
                <w:szCs w:val="21"/>
              </w:rPr>
            </w:pPr>
            <w:r>
              <w:rPr>
                <w:b/>
                <w:sz w:val="21"/>
                <w:szCs w:val="21"/>
              </w:rPr>
              <w:t>估算模型参数表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1"/>
              <w:gridCol w:w="2304"/>
              <w:gridCol w:w="3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5195" w:type="dxa"/>
                  <w:gridSpan w:val="2"/>
                  <w:vAlign w:val="center"/>
                </w:tcPr>
                <w:p>
                  <w:pPr>
                    <w:adjustRightInd w:val="0"/>
                    <w:snapToGrid w:val="0"/>
                    <w:spacing w:line="240" w:lineRule="auto"/>
                    <w:jc w:val="center"/>
                    <w:rPr>
                      <w:bCs/>
                      <w:color w:val="000000"/>
                      <w:sz w:val="21"/>
                      <w:szCs w:val="21"/>
                    </w:rPr>
                  </w:pPr>
                  <w:r>
                    <w:rPr>
                      <w:bCs/>
                      <w:color w:val="000000"/>
                      <w:sz w:val="21"/>
                      <w:szCs w:val="21"/>
                    </w:rPr>
                    <w:t>参数</w:t>
                  </w:r>
                </w:p>
              </w:tc>
              <w:tc>
                <w:tcPr>
                  <w:tcW w:w="3857" w:type="dxa"/>
                  <w:vAlign w:val="center"/>
                </w:tcPr>
                <w:p>
                  <w:pPr>
                    <w:adjustRightInd w:val="0"/>
                    <w:snapToGrid w:val="0"/>
                    <w:spacing w:line="240" w:lineRule="auto"/>
                    <w:jc w:val="center"/>
                    <w:rPr>
                      <w:bCs/>
                      <w:color w:val="000000"/>
                      <w:sz w:val="21"/>
                      <w:szCs w:val="21"/>
                    </w:rPr>
                  </w:pPr>
                  <w:r>
                    <w:rPr>
                      <w:bCs/>
                      <w:color w:val="000000"/>
                      <w:sz w:val="21"/>
                      <w:szCs w:val="21"/>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91" w:type="dxa"/>
                  <w:vMerge w:val="restart"/>
                  <w:vAlign w:val="center"/>
                </w:tcPr>
                <w:p>
                  <w:pPr>
                    <w:adjustRightInd w:val="0"/>
                    <w:snapToGrid w:val="0"/>
                    <w:spacing w:line="240" w:lineRule="auto"/>
                    <w:jc w:val="center"/>
                    <w:rPr>
                      <w:bCs/>
                      <w:color w:val="000000"/>
                      <w:sz w:val="21"/>
                      <w:szCs w:val="21"/>
                    </w:rPr>
                  </w:pPr>
                  <w:r>
                    <w:rPr>
                      <w:bCs/>
                      <w:color w:val="000000"/>
                      <w:sz w:val="21"/>
                      <w:szCs w:val="21"/>
                    </w:rPr>
                    <w:t>城市/农村选项</w:t>
                  </w:r>
                </w:p>
              </w:tc>
              <w:tc>
                <w:tcPr>
                  <w:tcW w:w="2304" w:type="dxa"/>
                  <w:vAlign w:val="center"/>
                </w:tcPr>
                <w:p>
                  <w:pPr>
                    <w:adjustRightInd w:val="0"/>
                    <w:snapToGrid w:val="0"/>
                    <w:spacing w:line="240" w:lineRule="auto"/>
                    <w:jc w:val="center"/>
                    <w:rPr>
                      <w:bCs/>
                      <w:color w:val="000000"/>
                      <w:sz w:val="21"/>
                      <w:szCs w:val="21"/>
                    </w:rPr>
                  </w:pPr>
                  <w:r>
                    <w:rPr>
                      <w:bCs/>
                      <w:color w:val="000000"/>
                      <w:sz w:val="21"/>
                      <w:szCs w:val="21"/>
                    </w:rPr>
                    <w:t>城市/农村</w:t>
                  </w:r>
                </w:p>
              </w:tc>
              <w:tc>
                <w:tcPr>
                  <w:tcW w:w="3857" w:type="dxa"/>
                  <w:vAlign w:val="center"/>
                </w:tcPr>
                <w:p>
                  <w:pPr>
                    <w:adjustRightInd w:val="0"/>
                    <w:snapToGrid w:val="0"/>
                    <w:spacing w:line="240" w:lineRule="auto"/>
                    <w:jc w:val="center"/>
                    <w:rPr>
                      <w:bCs/>
                      <w:sz w:val="21"/>
                      <w:szCs w:val="21"/>
                    </w:rPr>
                  </w:pPr>
                  <w:r>
                    <w:rPr>
                      <w:bCs/>
                      <w:sz w:val="21"/>
                      <w:szCs w:val="21"/>
                    </w:rPr>
                    <w:t>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2891" w:type="dxa"/>
                  <w:vMerge w:val="continue"/>
                  <w:vAlign w:val="center"/>
                </w:tcPr>
                <w:p>
                  <w:pPr>
                    <w:spacing w:line="240" w:lineRule="auto"/>
                    <w:jc w:val="left"/>
                    <w:rPr>
                      <w:bCs/>
                      <w:color w:val="000000"/>
                      <w:sz w:val="21"/>
                      <w:szCs w:val="21"/>
                    </w:rPr>
                  </w:pPr>
                </w:p>
              </w:tc>
              <w:tc>
                <w:tcPr>
                  <w:tcW w:w="2304" w:type="dxa"/>
                  <w:vAlign w:val="center"/>
                </w:tcPr>
                <w:p>
                  <w:pPr>
                    <w:adjustRightInd w:val="0"/>
                    <w:snapToGrid w:val="0"/>
                    <w:spacing w:line="240" w:lineRule="auto"/>
                    <w:jc w:val="center"/>
                    <w:rPr>
                      <w:bCs/>
                      <w:color w:val="000000"/>
                      <w:sz w:val="21"/>
                      <w:szCs w:val="21"/>
                    </w:rPr>
                  </w:pPr>
                  <w:r>
                    <w:rPr>
                      <w:bCs/>
                      <w:color w:val="000000"/>
                      <w:sz w:val="21"/>
                      <w:szCs w:val="21"/>
                    </w:rPr>
                    <w:t>人口数</w:t>
                  </w:r>
                </w:p>
              </w:tc>
              <w:tc>
                <w:tcPr>
                  <w:tcW w:w="3857" w:type="dxa"/>
                  <w:vAlign w:val="center"/>
                </w:tcPr>
                <w:p>
                  <w:pPr>
                    <w:adjustRightInd w:val="0"/>
                    <w:snapToGrid w:val="0"/>
                    <w:spacing w:line="240" w:lineRule="auto"/>
                    <w:jc w:val="center"/>
                    <w:rPr>
                      <w:bCs/>
                      <w:sz w:val="21"/>
                      <w:szCs w:val="21"/>
                    </w:rPr>
                  </w:pPr>
                  <w:r>
                    <w:rPr>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95" w:type="dxa"/>
                  <w:gridSpan w:val="2"/>
                  <w:vAlign w:val="center"/>
                </w:tcPr>
                <w:p>
                  <w:pPr>
                    <w:adjustRightInd w:val="0"/>
                    <w:snapToGrid w:val="0"/>
                    <w:spacing w:line="240" w:lineRule="auto"/>
                    <w:jc w:val="center"/>
                    <w:rPr>
                      <w:bCs/>
                      <w:color w:val="000000"/>
                      <w:sz w:val="21"/>
                      <w:szCs w:val="21"/>
                    </w:rPr>
                  </w:pPr>
                  <w:r>
                    <w:rPr>
                      <w:bCs/>
                      <w:color w:val="000000"/>
                      <w:sz w:val="21"/>
                      <w:szCs w:val="21"/>
                    </w:rPr>
                    <w:t>最高环境温度/℃</w:t>
                  </w:r>
                </w:p>
              </w:tc>
              <w:tc>
                <w:tcPr>
                  <w:tcW w:w="3857" w:type="dxa"/>
                  <w:vAlign w:val="center"/>
                </w:tcPr>
                <w:p>
                  <w:pPr>
                    <w:snapToGrid w:val="0"/>
                    <w:spacing w:line="240" w:lineRule="auto"/>
                    <w:jc w:val="center"/>
                    <w:rPr>
                      <w:bCs/>
                      <w:sz w:val="21"/>
                      <w:szCs w:val="21"/>
                    </w:rPr>
                  </w:pPr>
                  <w:r>
                    <w:rPr>
                      <w:bCs/>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95" w:type="dxa"/>
                  <w:gridSpan w:val="2"/>
                  <w:vAlign w:val="center"/>
                </w:tcPr>
                <w:p>
                  <w:pPr>
                    <w:adjustRightInd w:val="0"/>
                    <w:snapToGrid w:val="0"/>
                    <w:spacing w:line="240" w:lineRule="auto"/>
                    <w:jc w:val="center"/>
                    <w:rPr>
                      <w:bCs/>
                      <w:color w:val="000000"/>
                      <w:sz w:val="21"/>
                      <w:szCs w:val="21"/>
                    </w:rPr>
                  </w:pPr>
                  <w:r>
                    <w:rPr>
                      <w:bCs/>
                      <w:color w:val="000000"/>
                      <w:sz w:val="21"/>
                      <w:szCs w:val="21"/>
                    </w:rPr>
                    <w:t>最低环境温度/℃</w:t>
                  </w:r>
                </w:p>
              </w:tc>
              <w:tc>
                <w:tcPr>
                  <w:tcW w:w="3857" w:type="dxa"/>
                  <w:vAlign w:val="center"/>
                </w:tcPr>
                <w:p>
                  <w:pPr>
                    <w:snapToGrid w:val="0"/>
                    <w:spacing w:line="240" w:lineRule="auto"/>
                    <w:jc w:val="center"/>
                    <w:rPr>
                      <w:bCs/>
                      <w:sz w:val="21"/>
                      <w:szCs w:val="21"/>
                    </w:rPr>
                  </w:pPr>
                  <w:r>
                    <w:rPr>
                      <w:bCs/>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5195" w:type="dxa"/>
                  <w:gridSpan w:val="2"/>
                  <w:vAlign w:val="center"/>
                </w:tcPr>
                <w:p>
                  <w:pPr>
                    <w:adjustRightInd w:val="0"/>
                    <w:snapToGrid w:val="0"/>
                    <w:spacing w:line="240" w:lineRule="auto"/>
                    <w:jc w:val="center"/>
                    <w:rPr>
                      <w:bCs/>
                      <w:color w:val="000000"/>
                      <w:sz w:val="21"/>
                      <w:szCs w:val="21"/>
                    </w:rPr>
                  </w:pPr>
                  <w:r>
                    <w:rPr>
                      <w:bCs/>
                      <w:color w:val="000000"/>
                      <w:sz w:val="21"/>
                      <w:szCs w:val="21"/>
                    </w:rPr>
                    <w:t>土地利用类型</w:t>
                  </w:r>
                </w:p>
              </w:tc>
              <w:tc>
                <w:tcPr>
                  <w:tcW w:w="3857" w:type="dxa"/>
                  <w:vAlign w:val="center"/>
                </w:tcPr>
                <w:p>
                  <w:pPr>
                    <w:adjustRightInd w:val="0"/>
                    <w:snapToGrid w:val="0"/>
                    <w:spacing w:line="240" w:lineRule="auto"/>
                    <w:jc w:val="center"/>
                    <w:rPr>
                      <w:bCs/>
                      <w:sz w:val="21"/>
                      <w:szCs w:val="21"/>
                    </w:rPr>
                  </w:pPr>
                  <w:r>
                    <w:rPr>
                      <w:bCs/>
                      <w:sz w:val="21"/>
                      <w:szCs w:val="21"/>
                    </w:rPr>
                    <w:t>林地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5195" w:type="dxa"/>
                  <w:gridSpan w:val="2"/>
                  <w:vAlign w:val="center"/>
                </w:tcPr>
                <w:p>
                  <w:pPr>
                    <w:adjustRightInd w:val="0"/>
                    <w:snapToGrid w:val="0"/>
                    <w:spacing w:line="240" w:lineRule="auto"/>
                    <w:jc w:val="center"/>
                    <w:rPr>
                      <w:bCs/>
                      <w:color w:val="000000"/>
                      <w:sz w:val="21"/>
                      <w:szCs w:val="21"/>
                    </w:rPr>
                  </w:pPr>
                  <w:r>
                    <w:rPr>
                      <w:bCs/>
                      <w:color w:val="000000"/>
                      <w:sz w:val="21"/>
                      <w:szCs w:val="21"/>
                    </w:rPr>
                    <w:t>区域湿度条件</w:t>
                  </w:r>
                </w:p>
              </w:tc>
              <w:tc>
                <w:tcPr>
                  <w:tcW w:w="3857" w:type="dxa"/>
                  <w:vAlign w:val="center"/>
                </w:tcPr>
                <w:p>
                  <w:pPr>
                    <w:adjustRightInd w:val="0"/>
                    <w:snapToGrid w:val="0"/>
                    <w:spacing w:line="240" w:lineRule="auto"/>
                    <w:jc w:val="center"/>
                    <w:rPr>
                      <w:bCs/>
                      <w:sz w:val="21"/>
                      <w:szCs w:val="21"/>
                    </w:rPr>
                  </w:pPr>
                  <w:r>
                    <w:rPr>
                      <w:bCs/>
                      <w:sz w:val="21"/>
                      <w:szCs w:val="21"/>
                    </w:rPr>
                    <w:t>平均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5195" w:type="dxa"/>
                  <w:gridSpan w:val="2"/>
                  <w:vAlign w:val="center"/>
                </w:tcPr>
                <w:p>
                  <w:pPr>
                    <w:adjustRightInd w:val="0"/>
                    <w:snapToGrid w:val="0"/>
                    <w:spacing w:line="240" w:lineRule="auto"/>
                    <w:jc w:val="center"/>
                    <w:rPr>
                      <w:bCs/>
                      <w:color w:val="000000"/>
                      <w:sz w:val="21"/>
                      <w:szCs w:val="21"/>
                    </w:rPr>
                  </w:pPr>
                  <w:r>
                    <w:rPr>
                      <w:bCs/>
                      <w:color w:val="000000"/>
                      <w:sz w:val="21"/>
                      <w:szCs w:val="21"/>
                    </w:rPr>
                    <w:t>是否考虑地形</w:t>
                  </w:r>
                </w:p>
              </w:tc>
              <w:tc>
                <w:tcPr>
                  <w:tcW w:w="3857" w:type="dxa"/>
                  <w:vAlign w:val="center"/>
                </w:tcPr>
                <w:p>
                  <w:pPr>
                    <w:adjustRightInd w:val="0"/>
                    <w:snapToGrid w:val="0"/>
                    <w:spacing w:line="240" w:lineRule="auto"/>
                    <w:jc w:val="center"/>
                    <w:rPr>
                      <w:bCs/>
                      <w:sz w:val="21"/>
                      <w:szCs w:val="21"/>
                    </w:rPr>
                  </w:pPr>
                  <w:r>
                    <w:rPr>
                      <w:bCs/>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195" w:type="dxa"/>
                  <w:gridSpan w:val="2"/>
                  <w:vAlign w:val="center"/>
                </w:tcPr>
                <w:p>
                  <w:pPr>
                    <w:adjustRightInd w:val="0"/>
                    <w:snapToGrid w:val="0"/>
                    <w:spacing w:line="240" w:lineRule="auto"/>
                    <w:jc w:val="center"/>
                    <w:rPr>
                      <w:bCs/>
                      <w:color w:val="000000"/>
                      <w:sz w:val="21"/>
                      <w:szCs w:val="21"/>
                    </w:rPr>
                  </w:pPr>
                  <w:r>
                    <w:rPr>
                      <w:bCs/>
                      <w:color w:val="000000"/>
                      <w:sz w:val="21"/>
                      <w:szCs w:val="21"/>
                    </w:rPr>
                    <w:t>是否考虑岸线熏烟</w:t>
                  </w:r>
                </w:p>
              </w:tc>
              <w:tc>
                <w:tcPr>
                  <w:tcW w:w="3857" w:type="dxa"/>
                  <w:vAlign w:val="center"/>
                </w:tcPr>
                <w:p>
                  <w:pPr>
                    <w:adjustRightInd w:val="0"/>
                    <w:snapToGrid w:val="0"/>
                    <w:spacing w:line="240" w:lineRule="auto"/>
                    <w:jc w:val="center"/>
                    <w:rPr>
                      <w:bCs/>
                      <w:sz w:val="21"/>
                      <w:szCs w:val="21"/>
                    </w:rPr>
                  </w:pPr>
                  <w:r>
                    <w:rPr>
                      <w:bCs/>
                      <w:sz w:val="21"/>
                      <w:szCs w:val="21"/>
                    </w:rPr>
                    <w:t>否</w:t>
                  </w:r>
                </w:p>
              </w:tc>
            </w:tr>
          </w:tbl>
          <w:p>
            <w:pPr>
              <w:widowControl w:val="0"/>
              <w:ind w:firstLine="480" w:firstLineChars="200"/>
              <w:rPr>
                <w:color w:val="000000"/>
              </w:rPr>
            </w:pPr>
            <w:r>
              <w:rPr>
                <w:rFonts w:hint="eastAsia"/>
              </w:rPr>
              <w:t>（3）</w:t>
            </w:r>
            <w:r>
              <w:rPr>
                <w:color w:val="000000"/>
              </w:rPr>
              <w:t>污染物排放源强</w:t>
            </w:r>
          </w:p>
          <w:p>
            <w:pPr>
              <w:widowControl w:val="0"/>
              <w:ind w:firstLine="480" w:firstLineChars="200"/>
              <w:rPr>
                <w:color w:val="000000"/>
              </w:rPr>
            </w:pPr>
            <w:r>
              <w:rPr>
                <w:rFonts w:hint="eastAsia"/>
                <w:color w:val="000000"/>
              </w:rPr>
              <w:t>根据工程分析，</w:t>
            </w:r>
            <w:r>
              <w:rPr>
                <w:color w:val="000000"/>
              </w:rPr>
              <w:t>本项目</w:t>
            </w:r>
            <w:r>
              <w:rPr>
                <w:color w:val="000000"/>
                <w:szCs w:val="22"/>
              </w:rPr>
              <w:t>污染源主要包括</w:t>
            </w:r>
            <w:r>
              <w:rPr>
                <w:rFonts w:hint="eastAsia"/>
                <w:color w:val="000000"/>
                <w:szCs w:val="22"/>
              </w:rPr>
              <w:t>破碎筛分工序、制砂工序、物料装卸以及</w:t>
            </w:r>
            <w:r>
              <w:rPr>
                <w:rFonts w:hint="eastAsia"/>
                <w:color w:val="000000"/>
              </w:rPr>
              <w:t>车辆运输产生的粉尘</w:t>
            </w:r>
            <w:r>
              <w:rPr>
                <w:rFonts w:hint="eastAsia"/>
                <w:color w:val="000000"/>
                <w:szCs w:val="22"/>
              </w:rPr>
              <w:t>，</w:t>
            </w:r>
            <w:r>
              <w:rPr>
                <w:color w:val="000000"/>
                <w:szCs w:val="22"/>
              </w:rPr>
              <w:t>均呈无组织排放</w:t>
            </w:r>
            <w:r>
              <w:rPr>
                <w:rFonts w:hint="eastAsia"/>
                <w:color w:val="000000"/>
                <w:szCs w:val="22"/>
              </w:rPr>
              <w:t>。</w:t>
            </w:r>
            <w:r>
              <w:rPr>
                <w:color w:val="000000"/>
                <w:szCs w:val="22"/>
              </w:rPr>
              <w:t>无组织污染面源</w:t>
            </w:r>
            <w:r>
              <w:rPr>
                <w:rFonts w:hint="eastAsia"/>
                <w:color w:val="000000"/>
                <w:szCs w:val="22"/>
              </w:rPr>
              <w:t>排放</w:t>
            </w:r>
            <w:r>
              <w:rPr>
                <w:color w:val="000000"/>
                <w:szCs w:val="22"/>
              </w:rPr>
              <w:t>参数调查清单见表</w:t>
            </w:r>
            <w:r>
              <w:rPr>
                <w:rFonts w:hint="eastAsia"/>
                <w:color w:val="000000"/>
                <w:szCs w:val="22"/>
              </w:rPr>
              <w:t>7-6</w:t>
            </w:r>
            <w:r>
              <w:rPr>
                <w:color w:val="000000"/>
              </w:rPr>
              <w:t>。</w:t>
            </w:r>
          </w:p>
          <w:p>
            <w:pPr>
              <w:pStyle w:val="44"/>
              <w:widowControl w:val="0"/>
              <w:numPr>
                <w:ilvl w:val="0"/>
                <w:numId w:val="7"/>
              </w:numPr>
              <w:tabs>
                <w:tab w:val="left" w:pos="11"/>
              </w:tabs>
              <w:spacing w:line="240" w:lineRule="auto"/>
              <w:ind w:left="0" w:firstLine="0" w:firstLineChars="0"/>
              <w:jc w:val="center"/>
              <w:rPr>
                <w:b/>
                <w:sz w:val="21"/>
                <w:szCs w:val="21"/>
              </w:rPr>
            </w:pPr>
            <w:r>
              <w:rPr>
                <w:b/>
                <w:sz w:val="21"/>
                <w:szCs w:val="21"/>
              </w:rPr>
              <w:t>本项目</w:t>
            </w:r>
            <w:r>
              <w:rPr>
                <w:rFonts w:hint="eastAsia"/>
                <w:b/>
                <w:sz w:val="21"/>
                <w:szCs w:val="21"/>
              </w:rPr>
              <w:t>厂区粉尘</w:t>
            </w:r>
            <w:r>
              <w:rPr>
                <w:b/>
                <w:sz w:val="21"/>
                <w:szCs w:val="21"/>
              </w:rPr>
              <w:t>（以</w:t>
            </w:r>
            <w:r>
              <w:rPr>
                <w:rFonts w:hint="eastAsia"/>
                <w:b/>
                <w:sz w:val="21"/>
                <w:szCs w:val="21"/>
              </w:rPr>
              <w:t>TSP</w:t>
            </w:r>
            <w:r>
              <w:rPr>
                <w:b/>
                <w:sz w:val="21"/>
                <w:szCs w:val="21"/>
              </w:rPr>
              <w:t>计）</w:t>
            </w:r>
            <w:r>
              <w:rPr>
                <w:rFonts w:hint="eastAsia"/>
                <w:b/>
                <w:sz w:val="21"/>
                <w:szCs w:val="21"/>
              </w:rPr>
              <w:t>无组织污染面源</w:t>
            </w:r>
            <w:r>
              <w:rPr>
                <w:b/>
                <w:sz w:val="21"/>
                <w:szCs w:val="21"/>
              </w:rPr>
              <w:t>参数表</w:t>
            </w:r>
          </w:p>
          <w:tbl>
            <w:tblPr>
              <w:tblStyle w:val="24"/>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8"/>
              <w:gridCol w:w="1102"/>
              <w:gridCol w:w="1104"/>
              <w:gridCol w:w="1397"/>
              <w:gridCol w:w="1285"/>
              <w:gridCol w:w="929"/>
              <w:gridCol w:w="2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 w:hRule="atLeast"/>
                <w:jc w:val="center"/>
              </w:trPr>
              <w:tc>
                <w:tcPr>
                  <w:tcW w:w="668" w:type="dxa"/>
                  <w:vMerge w:val="restart"/>
                  <w:vAlign w:val="center"/>
                </w:tcPr>
                <w:p>
                  <w:pPr>
                    <w:spacing w:line="240" w:lineRule="auto"/>
                    <w:jc w:val="center"/>
                    <w:rPr>
                      <w:bCs/>
                      <w:color w:val="000000"/>
                      <w:sz w:val="21"/>
                      <w:szCs w:val="21"/>
                    </w:rPr>
                  </w:pPr>
                  <w:r>
                    <w:rPr>
                      <w:bCs/>
                      <w:color w:val="000000"/>
                      <w:sz w:val="21"/>
                      <w:szCs w:val="21"/>
                    </w:rPr>
                    <w:t>名称</w:t>
                  </w:r>
                </w:p>
              </w:tc>
              <w:tc>
                <w:tcPr>
                  <w:tcW w:w="1102" w:type="dxa"/>
                  <w:vMerge w:val="restart"/>
                  <w:vAlign w:val="center"/>
                </w:tcPr>
                <w:p>
                  <w:pPr>
                    <w:spacing w:line="240" w:lineRule="auto"/>
                    <w:jc w:val="center"/>
                    <w:rPr>
                      <w:bCs/>
                      <w:color w:val="000000"/>
                      <w:sz w:val="21"/>
                      <w:szCs w:val="21"/>
                    </w:rPr>
                  </w:pPr>
                  <w:r>
                    <w:rPr>
                      <w:bCs/>
                      <w:color w:val="000000"/>
                      <w:sz w:val="21"/>
                      <w:szCs w:val="21"/>
                    </w:rPr>
                    <w:t>面源长度/m</w:t>
                  </w:r>
                </w:p>
              </w:tc>
              <w:tc>
                <w:tcPr>
                  <w:tcW w:w="1104" w:type="dxa"/>
                  <w:vMerge w:val="restart"/>
                  <w:vAlign w:val="center"/>
                </w:tcPr>
                <w:p>
                  <w:pPr>
                    <w:spacing w:line="240" w:lineRule="auto"/>
                    <w:jc w:val="center"/>
                    <w:rPr>
                      <w:bCs/>
                      <w:color w:val="000000"/>
                      <w:sz w:val="21"/>
                      <w:szCs w:val="21"/>
                    </w:rPr>
                  </w:pPr>
                  <w:r>
                    <w:rPr>
                      <w:bCs/>
                      <w:color w:val="000000"/>
                      <w:sz w:val="21"/>
                      <w:szCs w:val="21"/>
                    </w:rPr>
                    <w:t>面源宽度/m</w:t>
                  </w:r>
                </w:p>
              </w:tc>
              <w:tc>
                <w:tcPr>
                  <w:tcW w:w="1397" w:type="dxa"/>
                  <w:vMerge w:val="restart"/>
                  <w:vAlign w:val="center"/>
                </w:tcPr>
                <w:p>
                  <w:pPr>
                    <w:spacing w:line="240" w:lineRule="auto"/>
                    <w:jc w:val="center"/>
                    <w:rPr>
                      <w:bCs/>
                      <w:color w:val="000000"/>
                      <w:sz w:val="21"/>
                      <w:szCs w:val="21"/>
                    </w:rPr>
                  </w:pPr>
                  <w:r>
                    <w:rPr>
                      <w:bCs/>
                      <w:color w:val="000000"/>
                      <w:sz w:val="21"/>
                      <w:szCs w:val="21"/>
                    </w:rPr>
                    <w:t>与正北向夹角/°</w:t>
                  </w:r>
                </w:p>
              </w:tc>
              <w:tc>
                <w:tcPr>
                  <w:tcW w:w="1285" w:type="dxa"/>
                  <w:vMerge w:val="restart"/>
                  <w:vAlign w:val="center"/>
                </w:tcPr>
                <w:p>
                  <w:pPr>
                    <w:spacing w:line="240" w:lineRule="auto"/>
                    <w:jc w:val="center"/>
                    <w:rPr>
                      <w:bCs/>
                      <w:color w:val="000000"/>
                      <w:sz w:val="21"/>
                      <w:szCs w:val="21"/>
                    </w:rPr>
                  </w:pPr>
                  <w:r>
                    <w:rPr>
                      <w:bCs/>
                      <w:color w:val="000000"/>
                      <w:sz w:val="21"/>
                      <w:szCs w:val="21"/>
                    </w:rPr>
                    <w:t>面源有效排放高度/m</w:t>
                  </w:r>
                </w:p>
              </w:tc>
              <w:tc>
                <w:tcPr>
                  <w:tcW w:w="929" w:type="dxa"/>
                  <w:vMerge w:val="restart"/>
                  <w:vAlign w:val="center"/>
                </w:tcPr>
                <w:p>
                  <w:pPr>
                    <w:spacing w:line="240" w:lineRule="auto"/>
                    <w:jc w:val="center"/>
                    <w:rPr>
                      <w:bCs/>
                      <w:color w:val="000000"/>
                      <w:sz w:val="21"/>
                      <w:szCs w:val="21"/>
                    </w:rPr>
                  </w:pPr>
                  <w:r>
                    <w:rPr>
                      <w:bCs/>
                      <w:color w:val="000000"/>
                      <w:sz w:val="21"/>
                      <w:szCs w:val="21"/>
                    </w:rPr>
                    <w:t>年排放小时数/h</w:t>
                  </w:r>
                </w:p>
              </w:tc>
              <w:tc>
                <w:tcPr>
                  <w:tcW w:w="2482" w:type="dxa"/>
                  <w:vAlign w:val="center"/>
                </w:tcPr>
                <w:p>
                  <w:pPr>
                    <w:spacing w:line="240" w:lineRule="auto"/>
                    <w:jc w:val="center"/>
                    <w:rPr>
                      <w:bCs/>
                      <w:color w:val="000000"/>
                      <w:sz w:val="21"/>
                      <w:szCs w:val="21"/>
                    </w:rPr>
                  </w:pPr>
                  <w:r>
                    <w:rPr>
                      <w:bCs/>
                      <w:color w:val="000000"/>
                      <w:sz w:val="21"/>
                      <w:szCs w:val="21"/>
                    </w:rPr>
                    <w:t>污染物排放速率/（kg/h）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jc w:val="center"/>
              </w:trPr>
              <w:tc>
                <w:tcPr>
                  <w:tcW w:w="668" w:type="dxa"/>
                  <w:vMerge w:val="continue"/>
                  <w:vAlign w:val="center"/>
                </w:tcPr>
                <w:p>
                  <w:pPr>
                    <w:spacing w:line="240" w:lineRule="auto"/>
                    <w:jc w:val="center"/>
                    <w:rPr>
                      <w:bCs/>
                      <w:color w:val="000000"/>
                      <w:sz w:val="21"/>
                      <w:szCs w:val="21"/>
                    </w:rPr>
                  </w:pPr>
                </w:p>
              </w:tc>
              <w:tc>
                <w:tcPr>
                  <w:tcW w:w="1102" w:type="dxa"/>
                  <w:vMerge w:val="continue"/>
                  <w:vAlign w:val="center"/>
                </w:tcPr>
                <w:p>
                  <w:pPr>
                    <w:spacing w:line="240" w:lineRule="auto"/>
                    <w:jc w:val="left"/>
                    <w:rPr>
                      <w:bCs/>
                      <w:color w:val="000000"/>
                      <w:sz w:val="21"/>
                      <w:szCs w:val="21"/>
                    </w:rPr>
                  </w:pPr>
                </w:p>
              </w:tc>
              <w:tc>
                <w:tcPr>
                  <w:tcW w:w="1104" w:type="dxa"/>
                  <w:vMerge w:val="continue"/>
                  <w:vAlign w:val="center"/>
                </w:tcPr>
                <w:p>
                  <w:pPr>
                    <w:spacing w:line="240" w:lineRule="auto"/>
                    <w:jc w:val="left"/>
                    <w:rPr>
                      <w:bCs/>
                      <w:color w:val="000000"/>
                      <w:sz w:val="21"/>
                      <w:szCs w:val="21"/>
                    </w:rPr>
                  </w:pPr>
                </w:p>
              </w:tc>
              <w:tc>
                <w:tcPr>
                  <w:tcW w:w="1397" w:type="dxa"/>
                  <w:vMerge w:val="continue"/>
                  <w:vAlign w:val="center"/>
                </w:tcPr>
                <w:p>
                  <w:pPr>
                    <w:spacing w:line="240" w:lineRule="auto"/>
                    <w:jc w:val="left"/>
                    <w:rPr>
                      <w:bCs/>
                      <w:color w:val="000000"/>
                      <w:sz w:val="21"/>
                      <w:szCs w:val="21"/>
                    </w:rPr>
                  </w:pPr>
                </w:p>
              </w:tc>
              <w:tc>
                <w:tcPr>
                  <w:tcW w:w="1285" w:type="dxa"/>
                  <w:vMerge w:val="continue"/>
                  <w:vAlign w:val="center"/>
                </w:tcPr>
                <w:p>
                  <w:pPr>
                    <w:spacing w:line="240" w:lineRule="auto"/>
                    <w:jc w:val="left"/>
                    <w:rPr>
                      <w:bCs/>
                      <w:color w:val="000000"/>
                      <w:sz w:val="21"/>
                      <w:szCs w:val="21"/>
                    </w:rPr>
                  </w:pPr>
                </w:p>
              </w:tc>
              <w:tc>
                <w:tcPr>
                  <w:tcW w:w="929" w:type="dxa"/>
                  <w:vMerge w:val="continue"/>
                  <w:vAlign w:val="center"/>
                </w:tcPr>
                <w:p>
                  <w:pPr>
                    <w:spacing w:line="240" w:lineRule="auto"/>
                    <w:jc w:val="left"/>
                    <w:rPr>
                      <w:bCs/>
                      <w:color w:val="000000"/>
                      <w:sz w:val="21"/>
                      <w:szCs w:val="21"/>
                    </w:rPr>
                  </w:pPr>
                </w:p>
              </w:tc>
              <w:tc>
                <w:tcPr>
                  <w:tcW w:w="2482" w:type="dxa"/>
                  <w:vAlign w:val="center"/>
                </w:tcPr>
                <w:p>
                  <w:pPr>
                    <w:spacing w:line="240" w:lineRule="auto"/>
                    <w:jc w:val="center"/>
                    <w:rPr>
                      <w:bCs/>
                      <w:color w:val="000000"/>
                      <w:sz w:val="21"/>
                      <w:szCs w:val="21"/>
                    </w:rPr>
                  </w:pPr>
                  <w:r>
                    <w:rPr>
                      <w:rFonts w:hint="eastAsia"/>
                      <w:sz w:val="21"/>
                      <w:szCs w:val="21"/>
                    </w:rPr>
                    <w:t>粉尘</w:t>
                  </w:r>
                  <w:r>
                    <w:rPr>
                      <w:sz w:val="21"/>
                      <w:szCs w:val="21"/>
                    </w:rPr>
                    <w:t>（</w:t>
                  </w:r>
                  <w:r>
                    <w:rPr>
                      <w:rFonts w:hint="eastAsia"/>
                      <w:sz w:val="21"/>
                      <w:szCs w:val="21"/>
                    </w:rPr>
                    <w:t>TSP</w:t>
                  </w:r>
                  <w:r>
                    <w:rPr>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 w:hRule="atLeast"/>
                <w:jc w:val="center"/>
              </w:trPr>
              <w:tc>
                <w:tcPr>
                  <w:tcW w:w="668" w:type="dxa"/>
                  <w:vAlign w:val="center"/>
                </w:tcPr>
                <w:p>
                  <w:pPr>
                    <w:spacing w:line="240" w:lineRule="auto"/>
                    <w:jc w:val="center"/>
                    <w:rPr>
                      <w:bCs/>
                      <w:color w:val="000000"/>
                      <w:sz w:val="21"/>
                      <w:szCs w:val="21"/>
                    </w:rPr>
                  </w:pPr>
                  <w:r>
                    <w:rPr>
                      <w:rFonts w:hint="eastAsia"/>
                      <w:bCs/>
                      <w:color w:val="000000"/>
                      <w:sz w:val="21"/>
                      <w:szCs w:val="21"/>
                    </w:rPr>
                    <w:t>厂区</w:t>
                  </w:r>
                </w:p>
              </w:tc>
              <w:tc>
                <w:tcPr>
                  <w:tcW w:w="1102" w:type="dxa"/>
                  <w:vAlign w:val="center"/>
                </w:tcPr>
                <w:p>
                  <w:pPr>
                    <w:spacing w:line="240" w:lineRule="auto"/>
                    <w:jc w:val="center"/>
                    <w:rPr>
                      <w:bCs/>
                      <w:color w:val="000000"/>
                      <w:sz w:val="21"/>
                      <w:szCs w:val="21"/>
                    </w:rPr>
                  </w:pPr>
                  <w:r>
                    <w:rPr>
                      <w:bCs/>
                      <w:color w:val="000000"/>
                      <w:sz w:val="21"/>
                      <w:szCs w:val="21"/>
                    </w:rPr>
                    <w:t>100</w:t>
                  </w:r>
                </w:p>
              </w:tc>
              <w:tc>
                <w:tcPr>
                  <w:tcW w:w="1104" w:type="dxa"/>
                  <w:vAlign w:val="center"/>
                </w:tcPr>
                <w:p>
                  <w:pPr>
                    <w:spacing w:line="240" w:lineRule="auto"/>
                    <w:jc w:val="center"/>
                    <w:rPr>
                      <w:bCs/>
                      <w:color w:val="000000"/>
                      <w:sz w:val="21"/>
                      <w:szCs w:val="21"/>
                    </w:rPr>
                  </w:pPr>
                  <w:r>
                    <w:rPr>
                      <w:bCs/>
                      <w:color w:val="000000"/>
                      <w:sz w:val="21"/>
                      <w:szCs w:val="21"/>
                    </w:rPr>
                    <w:t>30</w:t>
                  </w:r>
                </w:p>
              </w:tc>
              <w:tc>
                <w:tcPr>
                  <w:tcW w:w="1397" w:type="dxa"/>
                  <w:vAlign w:val="center"/>
                </w:tcPr>
                <w:p>
                  <w:pPr>
                    <w:spacing w:line="240" w:lineRule="auto"/>
                    <w:jc w:val="center"/>
                    <w:rPr>
                      <w:bCs/>
                      <w:color w:val="000000"/>
                      <w:sz w:val="21"/>
                      <w:szCs w:val="21"/>
                    </w:rPr>
                  </w:pPr>
                  <w:r>
                    <w:rPr>
                      <w:rFonts w:hint="eastAsia"/>
                      <w:bCs/>
                      <w:color w:val="000000"/>
                      <w:sz w:val="21"/>
                      <w:szCs w:val="21"/>
                    </w:rPr>
                    <w:t>0</w:t>
                  </w:r>
                </w:p>
              </w:tc>
              <w:tc>
                <w:tcPr>
                  <w:tcW w:w="1285" w:type="dxa"/>
                  <w:vAlign w:val="center"/>
                </w:tcPr>
                <w:p>
                  <w:pPr>
                    <w:spacing w:line="240" w:lineRule="auto"/>
                    <w:jc w:val="center"/>
                    <w:rPr>
                      <w:bCs/>
                      <w:color w:val="000000"/>
                      <w:sz w:val="21"/>
                      <w:szCs w:val="21"/>
                    </w:rPr>
                  </w:pPr>
                  <w:r>
                    <w:rPr>
                      <w:rFonts w:hint="eastAsia"/>
                      <w:bCs/>
                      <w:color w:val="000000"/>
                      <w:sz w:val="21"/>
                      <w:szCs w:val="21"/>
                    </w:rPr>
                    <w:t>8</w:t>
                  </w:r>
                </w:p>
              </w:tc>
              <w:tc>
                <w:tcPr>
                  <w:tcW w:w="929" w:type="dxa"/>
                  <w:vAlign w:val="center"/>
                </w:tcPr>
                <w:p>
                  <w:pPr>
                    <w:spacing w:line="240" w:lineRule="auto"/>
                    <w:jc w:val="center"/>
                    <w:rPr>
                      <w:bCs/>
                      <w:color w:val="000000"/>
                      <w:sz w:val="21"/>
                      <w:szCs w:val="21"/>
                    </w:rPr>
                  </w:pPr>
                  <w:r>
                    <w:rPr>
                      <w:rFonts w:hint="eastAsia"/>
                      <w:bCs/>
                      <w:color w:val="000000"/>
                      <w:sz w:val="21"/>
                      <w:szCs w:val="21"/>
                    </w:rPr>
                    <w:t>2600</w:t>
                  </w:r>
                </w:p>
              </w:tc>
              <w:tc>
                <w:tcPr>
                  <w:tcW w:w="2482" w:type="dxa"/>
                  <w:vAlign w:val="center"/>
                </w:tcPr>
                <w:p>
                  <w:pPr>
                    <w:spacing w:line="240" w:lineRule="auto"/>
                    <w:jc w:val="center"/>
                    <w:rPr>
                      <w:bCs/>
                      <w:color w:val="000000"/>
                      <w:sz w:val="21"/>
                      <w:szCs w:val="21"/>
                    </w:rPr>
                  </w:pPr>
                  <w:r>
                    <w:rPr>
                      <w:rFonts w:hint="eastAsia"/>
                      <w:bCs/>
                      <w:color w:val="000000"/>
                      <w:sz w:val="21"/>
                      <w:szCs w:val="21"/>
                    </w:rPr>
                    <w:t>0.</w:t>
                  </w:r>
                  <w:r>
                    <w:rPr>
                      <w:bCs/>
                      <w:color w:val="000000"/>
                      <w:sz w:val="21"/>
                      <w:szCs w:val="21"/>
                    </w:rPr>
                    <w:t>0869</w:t>
                  </w:r>
                </w:p>
              </w:tc>
            </w:tr>
          </w:tbl>
          <w:p>
            <w:pPr>
              <w:widowControl w:val="0"/>
              <w:ind w:firstLine="480" w:firstLineChars="200"/>
              <w:rPr>
                <w:color w:val="000000"/>
              </w:rPr>
            </w:pPr>
            <w:r>
              <w:rPr>
                <w:rFonts w:hint="eastAsia"/>
                <w:color w:val="000000"/>
              </w:rPr>
              <w:t>（4）</w:t>
            </w:r>
            <w:r>
              <w:rPr>
                <w:color w:val="000000"/>
              </w:rPr>
              <w:t>估算模型计算结果</w:t>
            </w:r>
          </w:p>
          <w:p>
            <w:pPr>
              <w:widowControl w:val="0"/>
              <w:ind w:firstLine="480" w:firstLineChars="200"/>
              <w:rPr>
                <w:color w:val="000000"/>
                <w:kern w:val="0"/>
                <w:lang w:val="zh-CN"/>
              </w:rPr>
            </w:pPr>
            <w:r>
              <w:rPr>
                <w:color w:val="000000"/>
              </w:rPr>
              <w:t>根据</w:t>
            </w:r>
            <w:r>
              <w:rPr>
                <w:color w:val="000000"/>
                <w:kern w:val="0"/>
                <w:lang w:val="zh-CN"/>
              </w:rPr>
              <w:t>《环境影响评价技术导则</w:t>
            </w:r>
            <w:r>
              <w:rPr>
                <w:color w:val="000000"/>
                <w:kern w:val="0"/>
              </w:rPr>
              <w:t xml:space="preserve"> </w:t>
            </w:r>
            <w:r>
              <w:rPr>
                <w:color w:val="000000"/>
                <w:kern w:val="0"/>
                <w:lang w:val="zh-CN"/>
              </w:rPr>
              <w:t>大气环境》（</w:t>
            </w:r>
            <w:r>
              <w:rPr>
                <w:color w:val="000000"/>
                <w:kern w:val="0"/>
              </w:rPr>
              <w:t>HJ2.2-2018</w:t>
            </w:r>
            <w:r>
              <w:rPr>
                <w:color w:val="000000"/>
                <w:kern w:val="0"/>
                <w:lang w:val="zh-CN"/>
              </w:rPr>
              <w:t>）推荐的AER</w:t>
            </w:r>
            <w:r>
              <w:rPr>
                <w:color w:val="000000"/>
                <w:kern w:val="0"/>
              </w:rPr>
              <w:t>SCREEN</w:t>
            </w:r>
            <w:r>
              <w:rPr>
                <w:color w:val="000000"/>
                <w:kern w:val="0"/>
                <w:lang w:val="zh-CN"/>
              </w:rPr>
              <w:t>估算模式进行</w:t>
            </w:r>
            <w:r>
              <w:rPr>
                <w:color w:val="000000"/>
                <w:kern w:val="0"/>
              </w:rPr>
              <w:t>计算</w:t>
            </w:r>
            <w:r>
              <w:rPr>
                <w:color w:val="000000"/>
                <w:kern w:val="0"/>
                <w:lang w:val="zh-CN"/>
              </w:rPr>
              <w:t>，本项目主要污染源估算模型计算结果见表</w:t>
            </w:r>
            <w:r>
              <w:rPr>
                <w:rFonts w:hint="eastAsia"/>
                <w:color w:val="000000"/>
                <w:kern w:val="0"/>
              </w:rPr>
              <w:t>7-7</w:t>
            </w:r>
            <w:r>
              <w:rPr>
                <w:color w:val="000000"/>
                <w:kern w:val="0"/>
                <w:lang w:val="zh-CN"/>
              </w:rPr>
              <w:t>。</w:t>
            </w:r>
          </w:p>
          <w:p>
            <w:pPr>
              <w:pStyle w:val="44"/>
              <w:widowControl w:val="0"/>
              <w:numPr>
                <w:ilvl w:val="0"/>
                <w:numId w:val="7"/>
              </w:numPr>
              <w:tabs>
                <w:tab w:val="left" w:pos="11"/>
              </w:tabs>
              <w:spacing w:line="240" w:lineRule="auto"/>
              <w:ind w:left="0" w:firstLine="0" w:firstLineChars="0"/>
              <w:jc w:val="center"/>
              <w:rPr>
                <w:b/>
                <w:sz w:val="21"/>
                <w:szCs w:val="21"/>
              </w:rPr>
            </w:pPr>
            <w:r>
              <w:rPr>
                <w:b/>
                <w:sz w:val="21"/>
                <w:szCs w:val="21"/>
              </w:rPr>
              <w:t>本项目主要污染源 Pmax和D10%估算模型计算结果表</w:t>
            </w:r>
          </w:p>
          <w:tbl>
            <w:tblPr>
              <w:tblStyle w:val="24"/>
              <w:tblW w:w="9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4"/>
              <w:gridCol w:w="1306"/>
              <w:gridCol w:w="1413"/>
              <w:gridCol w:w="1677"/>
              <w:gridCol w:w="1249"/>
              <w:gridCol w:w="1385"/>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004" w:type="dxa"/>
                  <w:vAlign w:val="center"/>
                </w:tcPr>
                <w:p>
                  <w:pPr>
                    <w:spacing w:line="240" w:lineRule="auto"/>
                    <w:jc w:val="center"/>
                    <w:rPr>
                      <w:bCs/>
                      <w:color w:val="000000"/>
                      <w:sz w:val="21"/>
                      <w:szCs w:val="21"/>
                    </w:rPr>
                  </w:pPr>
                  <w:r>
                    <w:rPr>
                      <w:bCs/>
                      <w:color w:val="000000"/>
                      <w:sz w:val="21"/>
                      <w:szCs w:val="21"/>
                    </w:rPr>
                    <w:t>排放源</w:t>
                  </w:r>
                </w:p>
              </w:tc>
              <w:tc>
                <w:tcPr>
                  <w:tcW w:w="1306" w:type="dxa"/>
                  <w:vAlign w:val="center"/>
                </w:tcPr>
                <w:p>
                  <w:pPr>
                    <w:spacing w:line="240" w:lineRule="auto"/>
                    <w:jc w:val="center"/>
                    <w:rPr>
                      <w:bCs/>
                      <w:sz w:val="21"/>
                      <w:szCs w:val="21"/>
                    </w:rPr>
                  </w:pPr>
                  <w:r>
                    <w:rPr>
                      <w:bCs/>
                      <w:sz w:val="21"/>
                      <w:szCs w:val="21"/>
                    </w:rPr>
                    <w:t>评价因子</w:t>
                  </w:r>
                </w:p>
              </w:tc>
              <w:tc>
                <w:tcPr>
                  <w:tcW w:w="1413" w:type="dxa"/>
                  <w:vAlign w:val="center"/>
                </w:tcPr>
                <w:p>
                  <w:pPr>
                    <w:spacing w:line="240" w:lineRule="auto"/>
                    <w:jc w:val="center"/>
                    <w:rPr>
                      <w:bCs/>
                      <w:sz w:val="21"/>
                      <w:szCs w:val="21"/>
                    </w:rPr>
                  </w:pPr>
                  <w:r>
                    <w:rPr>
                      <w:bCs/>
                      <w:sz w:val="21"/>
                      <w:szCs w:val="21"/>
                    </w:rPr>
                    <w:t>评价标准</w:t>
                  </w:r>
                </w:p>
                <w:p>
                  <w:pPr>
                    <w:spacing w:line="240" w:lineRule="auto"/>
                    <w:jc w:val="center"/>
                    <w:rPr>
                      <w:bCs/>
                      <w:color w:val="000000"/>
                      <w:sz w:val="21"/>
                      <w:szCs w:val="21"/>
                    </w:rPr>
                  </w:pPr>
                  <w:r>
                    <w:rPr>
                      <w:bCs/>
                      <w:sz w:val="21"/>
                      <w:szCs w:val="21"/>
                    </w:rPr>
                    <w:t>（μg/m³）</w:t>
                  </w:r>
                </w:p>
              </w:tc>
              <w:tc>
                <w:tcPr>
                  <w:tcW w:w="1677" w:type="dxa"/>
                  <w:vAlign w:val="center"/>
                </w:tcPr>
                <w:p>
                  <w:pPr>
                    <w:spacing w:line="240" w:lineRule="auto"/>
                    <w:jc w:val="center"/>
                    <w:rPr>
                      <w:bCs/>
                      <w:color w:val="000000"/>
                      <w:sz w:val="21"/>
                      <w:szCs w:val="21"/>
                    </w:rPr>
                  </w:pPr>
                  <w:r>
                    <w:rPr>
                      <w:bCs/>
                      <w:color w:val="000000"/>
                      <w:sz w:val="21"/>
                      <w:szCs w:val="21"/>
                    </w:rPr>
                    <w:t>下风向最大质量浓度</w:t>
                  </w:r>
                  <w:r>
                    <w:rPr>
                      <w:bCs/>
                      <w:sz w:val="21"/>
                      <w:szCs w:val="21"/>
                    </w:rPr>
                    <w:t>C</w:t>
                  </w:r>
                  <w:r>
                    <w:rPr>
                      <w:bCs/>
                      <w:sz w:val="21"/>
                      <w:szCs w:val="21"/>
                      <w:vertAlign w:val="subscript"/>
                    </w:rPr>
                    <w:t>max</w:t>
                  </w:r>
                  <w:r>
                    <w:rPr>
                      <w:bCs/>
                      <w:sz w:val="21"/>
                      <w:szCs w:val="21"/>
                    </w:rPr>
                    <w:t>（μg/m³）</w:t>
                  </w:r>
                </w:p>
              </w:tc>
              <w:tc>
                <w:tcPr>
                  <w:tcW w:w="1249" w:type="dxa"/>
                  <w:vAlign w:val="center"/>
                </w:tcPr>
                <w:p>
                  <w:pPr>
                    <w:spacing w:line="240" w:lineRule="auto"/>
                    <w:jc w:val="center"/>
                    <w:rPr>
                      <w:bCs/>
                      <w:sz w:val="21"/>
                      <w:szCs w:val="21"/>
                    </w:rPr>
                  </w:pPr>
                  <w:r>
                    <w:rPr>
                      <w:bCs/>
                      <w:sz w:val="21"/>
                      <w:szCs w:val="21"/>
                    </w:rPr>
                    <w:t>最大占标率</w:t>
                  </w:r>
                </w:p>
                <w:p>
                  <w:pPr>
                    <w:spacing w:line="240" w:lineRule="auto"/>
                    <w:jc w:val="center"/>
                    <w:rPr>
                      <w:bCs/>
                      <w:color w:val="000000"/>
                      <w:sz w:val="21"/>
                      <w:szCs w:val="21"/>
                    </w:rPr>
                  </w:pPr>
                  <w:r>
                    <w:rPr>
                      <w:bCs/>
                      <w:sz w:val="21"/>
                      <w:szCs w:val="21"/>
                    </w:rPr>
                    <w:t>P</w:t>
                  </w:r>
                  <w:r>
                    <w:rPr>
                      <w:bCs/>
                      <w:sz w:val="21"/>
                      <w:szCs w:val="21"/>
                      <w:vertAlign w:val="subscript"/>
                    </w:rPr>
                    <w:t>max</w:t>
                  </w:r>
                  <w:r>
                    <w:rPr>
                      <w:bCs/>
                      <w:sz w:val="21"/>
                      <w:szCs w:val="21"/>
                    </w:rPr>
                    <w:t>（%）</w:t>
                  </w:r>
                </w:p>
              </w:tc>
              <w:tc>
                <w:tcPr>
                  <w:tcW w:w="1385" w:type="dxa"/>
                  <w:vAlign w:val="center"/>
                </w:tcPr>
                <w:p>
                  <w:pPr>
                    <w:spacing w:line="240" w:lineRule="auto"/>
                    <w:jc w:val="center"/>
                    <w:rPr>
                      <w:bCs/>
                      <w:sz w:val="21"/>
                      <w:szCs w:val="21"/>
                    </w:rPr>
                  </w:pPr>
                  <w:r>
                    <w:rPr>
                      <w:bCs/>
                      <w:sz w:val="21"/>
                      <w:szCs w:val="21"/>
                    </w:rPr>
                    <w:t>最大落地浓度出现距离（m）</w:t>
                  </w:r>
                </w:p>
              </w:tc>
              <w:tc>
                <w:tcPr>
                  <w:tcW w:w="982" w:type="dxa"/>
                  <w:vAlign w:val="center"/>
                </w:tcPr>
                <w:p>
                  <w:pPr>
                    <w:spacing w:line="240" w:lineRule="auto"/>
                    <w:jc w:val="center"/>
                    <w:rPr>
                      <w:bCs/>
                      <w:color w:val="000000"/>
                      <w:sz w:val="21"/>
                      <w:szCs w:val="21"/>
                    </w:rPr>
                  </w:pPr>
                  <w:r>
                    <w:rPr>
                      <w:bCs/>
                      <w:color w:val="000000"/>
                      <w:sz w:val="21"/>
                      <w:szCs w:val="21"/>
                    </w:rPr>
                    <w:t>D</w:t>
                  </w:r>
                  <w:r>
                    <w:rPr>
                      <w:bCs/>
                      <w:color w:val="000000"/>
                      <w:sz w:val="21"/>
                      <w:szCs w:val="21"/>
                      <w:vertAlign w:val="subscript"/>
                    </w:rPr>
                    <w:t>10%</w:t>
                  </w:r>
                  <w:r>
                    <w:rPr>
                      <w:bCs/>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004" w:type="dxa"/>
                  <w:vAlign w:val="center"/>
                </w:tcPr>
                <w:p>
                  <w:pPr>
                    <w:pStyle w:val="90"/>
                    <w:adjustRightInd/>
                    <w:snapToGrid/>
                    <w:spacing w:line="240" w:lineRule="auto"/>
                    <w:ind w:firstLine="0" w:firstLineChars="0"/>
                    <w:jc w:val="center"/>
                    <w:rPr>
                      <w:rFonts w:ascii="Times New Roman" w:hAnsi="Times New Roman"/>
                      <w:bCs/>
                      <w:color w:val="000000"/>
                      <w:szCs w:val="21"/>
                    </w:rPr>
                  </w:pPr>
                  <w:r>
                    <w:rPr>
                      <w:rFonts w:hint="eastAsia" w:ascii="Times New Roman" w:hAnsi="Times New Roman"/>
                      <w:bCs/>
                      <w:szCs w:val="21"/>
                    </w:rPr>
                    <w:t>厂区</w:t>
                  </w:r>
                </w:p>
              </w:tc>
              <w:tc>
                <w:tcPr>
                  <w:tcW w:w="1306" w:type="dxa"/>
                  <w:vAlign w:val="center"/>
                </w:tcPr>
                <w:p>
                  <w:pPr>
                    <w:pStyle w:val="9"/>
                    <w:spacing w:after="0" w:line="240" w:lineRule="auto"/>
                    <w:jc w:val="center"/>
                    <w:rPr>
                      <w:rFonts w:eastAsia="宋体"/>
                      <w:bCs/>
                      <w:color w:val="000000"/>
                      <w:szCs w:val="21"/>
                    </w:rPr>
                  </w:pPr>
                  <w:r>
                    <w:rPr>
                      <w:rFonts w:eastAsia="宋体"/>
                      <w:bCs/>
                      <w:szCs w:val="21"/>
                    </w:rPr>
                    <w:t>粉尘（TSP）</w:t>
                  </w:r>
                </w:p>
              </w:tc>
              <w:tc>
                <w:tcPr>
                  <w:tcW w:w="1413" w:type="dxa"/>
                  <w:vAlign w:val="center"/>
                </w:tcPr>
                <w:p>
                  <w:pPr>
                    <w:pStyle w:val="9"/>
                    <w:spacing w:after="0" w:line="240" w:lineRule="auto"/>
                    <w:jc w:val="center"/>
                    <w:rPr>
                      <w:rFonts w:eastAsia="宋体"/>
                      <w:bCs/>
                      <w:color w:val="000000"/>
                      <w:szCs w:val="21"/>
                    </w:rPr>
                  </w:pPr>
                  <w:r>
                    <w:rPr>
                      <w:rFonts w:hint="eastAsia" w:eastAsia="宋体"/>
                      <w:bCs/>
                      <w:color w:val="000000"/>
                      <w:szCs w:val="21"/>
                    </w:rPr>
                    <w:t>900</w:t>
                  </w:r>
                </w:p>
              </w:tc>
              <w:tc>
                <w:tcPr>
                  <w:tcW w:w="1677" w:type="dxa"/>
                  <w:vAlign w:val="center"/>
                </w:tcPr>
                <w:p>
                  <w:pPr>
                    <w:pStyle w:val="9"/>
                    <w:spacing w:after="0" w:line="240" w:lineRule="auto"/>
                    <w:jc w:val="center"/>
                    <w:rPr>
                      <w:rFonts w:eastAsia="宋体"/>
                      <w:bCs/>
                      <w:color w:val="000000"/>
                      <w:szCs w:val="21"/>
                    </w:rPr>
                  </w:pPr>
                  <w:r>
                    <w:rPr>
                      <w:rFonts w:hint="eastAsia" w:eastAsia="宋体"/>
                      <w:bCs/>
                      <w:color w:val="000000"/>
                      <w:szCs w:val="21"/>
                    </w:rPr>
                    <w:t>6</w:t>
                  </w:r>
                  <w:r>
                    <w:rPr>
                      <w:rFonts w:eastAsia="宋体"/>
                      <w:bCs/>
                      <w:color w:val="000000"/>
                      <w:szCs w:val="21"/>
                    </w:rPr>
                    <w:t>8.008</w:t>
                  </w:r>
                </w:p>
              </w:tc>
              <w:tc>
                <w:tcPr>
                  <w:tcW w:w="1249" w:type="dxa"/>
                  <w:vAlign w:val="center"/>
                </w:tcPr>
                <w:p>
                  <w:pPr>
                    <w:pStyle w:val="9"/>
                    <w:spacing w:after="0" w:line="240" w:lineRule="auto"/>
                    <w:jc w:val="center"/>
                    <w:rPr>
                      <w:rFonts w:eastAsia="宋体"/>
                      <w:bCs/>
                      <w:color w:val="000000"/>
                      <w:szCs w:val="21"/>
                    </w:rPr>
                  </w:pPr>
                  <w:r>
                    <w:rPr>
                      <w:rFonts w:hint="eastAsia" w:eastAsia="宋体"/>
                      <w:bCs/>
                      <w:color w:val="000000"/>
                      <w:szCs w:val="21"/>
                    </w:rPr>
                    <w:t>7</w:t>
                  </w:r>
                  <w:r>
                    <w:rPr>
                      <w:rFonts w:eastAsia="宋体"/>
                      <w:bCs/>
                      <w:color w:val="000000"/>
                      <w:szCs w:val="21"/>
                    </w:rPr>
                    <w:t>.56</w:t>
                  </w:r>
                </w:p>
              </w:tc>
              <w:tc>
                <w:tcPr>
                  <w:tcW w:w="1385" w:type="dxa"/>
                  <w:vAlign w:val="center"/>
                </w:tcPr>
                <w:p>
                  <w:pPr>
                    <w:pStyle w:val="9"/>
                    <w:spacing w:after="0" w:line="240" w:lineRule="auto"/>
                    <w:jc w:val="center"/>
                    <w:rPr>
                      <w:rFonts w:eastAsia="宋体"/>
                      <w:bCs/>
                      <w:color w:val="000000"/>
                      <w:szCs w:val="21"/>
                    </w:rPr>
                  </w:pPr>
                  <w:r>
                    <w:rPr>
                      <w:rFonts w:hint="eastAsia" w:eastAsia="宋体"/>
                      <w:bCs/>
                      <w:color w:val="000000"/>
                      <w:szCs w:val="21"/>
                    </w:rPr>
                    <w:t>7</w:t>
                  </w:r>
                  <w:r>
                    <w:rPr>
                      <w:rFonts w:eastAsia="宋体"/>
                      <w:bCs/>
                      <w:color w:val="000000"/>
                      <w:szCs w:val="21"/>
                    </w:rPr>
                    <w:t>3</w:t>
                  </w:r>
                </w:p>
              </w:tc>
              <w:tc>
                <w:tcPr>
                  <w:tcW w:w="982" w:type="dxa"/>
                  <w:vAlign w:val="center"/>
                </w:tcPr>
                <w:p>
                  <w:pPr>
                    <w:pStyle w:val="9"/>
                    <w:spacing w:after="0" w:line="240" w:lineRule="auto"/>
                    <w:jc w:val="center"/>
                    <w:rPr>
                      <w:rFonts w:eastAsia="宋体"/>
                      <w:bCs/>
                      <w:color w:val="000000"/>
                      <w:szCs w:val="21"/>
                    </w:rPr>
                  </w:pPr>
                  <w:r>
                    <w:rPr>
                      <w:rFonts w:hint="eastAsia" w:eastAsia="宋体"/>
                      <w:bCs/>
                      <w:color w:val="000000"/>
                      <w:szCs w:val="21"/>
                    </w:rPr>
                    <w:t>0</w:t>
                  </w:r>
                </w:p>
              </w:tc>
            </w:tr>
          </w:tbl>
          <w:p>
            <w:pPr>
              <w:widowControl w:val="0"/>
              <w:ind w:firstLine="480" w:firstLineChars="200"/>
              <w:rPr>
                <w:color w:val="000000"/>
              </w:rPr>
            </w:pPr>
            <w:r>
              <w:rPr>
                <w:rFonts w:hint="eastAsia"/>
                <w:color w:val="000000"/>
              </w:rPr>
              <w:t>（5）</w:t>
            </w:r>
            <w:r>
              <w:rPr>
                <w:color w:val="000000"/>
              </w:rPr>
              <w:t>评价等级判定及评价范围</w:t>
            </w:r>
          </w:p>
          <w:p>
            <w:pPr>
              <w:widowControl w:val="0"/>
              <w:ind w:firstLine="480" w:firstLineChars="200"/>
              <w:rPr>
                <w:color w:val="000000"/>
                <w:kern w:val="0"/>
                <w:lang w:val="zh-CN"/>
              </w:rPr>
            </w:pPr>
            <w:r>
              <w:rPr>
                <w:color w:val="000000"/>
              </w:rPr>
              <w:t>由</w:t>
            </w:r>
            <w:r>
              <w:rPr>
                <w:rFonts w:hint="eastAsia"/>
                <w:color w:val="000000"/>
              </w:rPr>
              <w:t>上表</w:t>
            </w:r>
            <w:r>
              <w:rPr>
                <w:color w:val="000000"/>
              </w:rPr>
              <w:t>估算结果可知，本项目</w:t>
            </w:r>
            <w:r>
              <w:rPr>
                <w:rFonts w:hint="eastAsia"/>
                <w:color w:val="000000"/>
              </w:rPr>
              <w:t>厂区</w:t>
            </w:r>
            <w:r>
              <w:rPr>
                <w:color w:val="000000"/>
              </w:rPr>
              <w:t>无组织排放的</w:t>
            </w:r>
            <w:r>
              <w:rPr>
                <w:rFonts w:hint="eastAsia"/>
                <w:color w:val="000000"/>
              </w:rPr>
              <w:t>粉尘（TSP）</w:t>
            </w:r>
            <w:r>
              <w:rPr>
                <w:color w:val="000000"/>
              </w:rPr>
              <w:t>下风向最大</w:t>
            </w:r>
            <w:r>
              <w:rPr>
                <w:rFonts w:hint="eastAsia"/>
                <w:color w:val="000000"/>
              </w:rPr>
              <w:t>质量</w:t>
            </w:r>
            <w:r>
              <w:rPr>
                <w:color w:val="000000"/>
              </w:rPr>
              <w:t>浓度为68.008μg/m</w:t>
            </w:r>
            <w:r>
              <w:rPr>
                <w:color w:val="000000"/>
                <w:vertAlign w:val="superscript"/>
              </w:rPr>
              <w:t>3</w:t>
            </w:r>
            <w:r>
              <w:rPr>
                <w:color w:val="000000"/>
              </w:rPr>
              <w:t>，占标率P</w:t>
            </w:r>
            <w:r>
              <w:rPr>
                <w:color w:val="000000"/>
                <w:vertAlign w:val="subscript"/>
              </w:rPr>
              <w:t>max</w:t>
            </w:r>
            <w:r>
              <w:rPr>
                <w:color w:val="000000"/>
              </w:rPr>
              <w:t>为7.56%</w:t>
            </w:r>
            <w:r>
              <w:rPr>
                <w:rFonts w:hint="eastAsia"/>
                <w:color w:val="000000"/>
              </w:rPr>
              <w:t>。</w:t>
            </w:r>
            <w:r>
              <w:rPr>
                <w:color w:val="000000"/>
              </w:rPr>
              <w:t>根据</w:t>
            </w:r>
            <w:r>
              <w:rPr>
                <w:color w:val="000000"/>
                <w:kern w:val="0"/>
                <w:lang w:val="zh-CN"/>
              </w:rPr>
              <w:t>《环境影响评价技术导则</w:t>
            </w:r>
            <w:r>
              <w:rPr>
                <w:color w:val="000000"/>
                <w:kern w:val="0"/>
              </w:rPr>
              <w:t xml:space="preserve"> </w:t>
            </w:r>
            <w:r>
              <w:rPr>
                <w:color w:val="000000"/>
                <w:kern w:val="0"/>
                <w:lang w:val="zh-CN"/>
              </w:rPr>
              <w:t>大气环境》（</w:t>
            </w:r>
            <w:r>
              <w:rPr>
                <w:color w:val="000000"/>
                <w:kern w:val="0"/>
              </w:rPr>
              <w:t>HJ2.2-2018</w:t>
            </w:r>
            <w:r>
              <w:rPr>
                <w:color w:val="000000"/>
                <w:kern w:val="0"/>
                <w:lang w:val="zh-CN"/>
              </w:rPr>
              <w:t>）评价等级判别表（见表</w:t>
            </w:r>
            <w:r>
              <w:rPr>
                <w:rFonts w:hint="eastAsia"/>
                <w:color w:val="000000"/>
                <w:kern w:val="0"/>
              </w:rPr>
              <w:t>7-8</w:t>
            </w:r>
            <w:r>
              <w:rPr>
                <w:color w:val="000000"/>
                <w:kern w:val="0"/>
                <w:lang w:val="zh-CN"/>
              </w:rPr>
              <w:t>），本项目大气评价工作等级为二级。</w:t>
            </w:r>
          </w:p>
          <w:p>
            <w:pPr>
              <w:pStyle w:val="44"/>
              <w:widowControl w:val="0"/>
              <w:numPr>
                <w:ilvl w:val="0"/>
                <w:numId w:val="7"/>
              </w:numPr>
              <w:tabs>
                <w:tab w:val="left" w:pos="11"/>
              </w:tabs>
              <w:spacing w:line="240" w:lineRule="auto"/>
              <w:ind w:left="0" w:firstLine="0" w:firstLineChars="0"/>
              <w:jc w:val="center"/>
              <w:rPr>
                <w:b/>
                <w:sz w:val="21"/>
                <w:szCs w:val="21"/>
              </w:rPr>
            </w:pPr>
            <w:r>
              <w:rPr>
                <w:b/>
                <w:sz w:val="21"/>
                <w:szCs w:val="21"/>
              </w:rPr>
              <w:t>评价等级判别表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02"/>
              <w:gridCol w:w="4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02" w:type="dxa"/>
                  <w:vAlign w:val="center"/>
                </w:tcPr>
                <w:p>
                  <w:pPr>
                    <w:adjustRightInd w:val="0"/>
                    <w:snapToGrid w:val="0"/>
                    <w:spacing w:line="240" w:lineRule="auto"/>
                    <w:jc w:val="center"/>
                    <w:rPr>
                      <w:bCs/>
                      <w:color w:val="000000"/>
                      <w:sz w:val="21"/>
                      <w:szCs w:val="21"/>
                    </w:rPr>
                  </w:pPr>
                  <w:r>
                    <w:rPr>
                      <w:bCs/>
                      <w:color w:val="000000"/>
                      <w:sz w:val="21"/>
                      <w:szCs w:val="21"/>
                    </w:rPr>
                    <w:t>评价工作等级</w:t>
                  </w:r>
                </w:p>
              </w:tc>
              <w:tc>
                <w:tcPr>
                  <w:tcW w:w="4825" w:type="dxa"/>
                  <w:vAlign w:val="center"/>
                </w:tcPr>
                <w:p>
                  <w:pPr>
                    <w:adjustRightInd w:val="0"/>
                    <w:snapToGrid w:val="0"/>
                    <w:spacing w:line="240" w:lineRule="auto"/>
                    <w:jc w:val="center"/>
                    <w:rPr>
                      <w:bCs/>
                      <w:color w:val="000000"/>
                      <w:sz w:val="21"/>
                      <w:szCs w:val="21"/>
                    </w:rPr>
                  </w:pPr>
                  <w:r>
                    <w:rPr>
                      <w:bCs/>
                      <w:color w:val="000000"/>
                      <w:sz w:val="21"/>
                      <w:szCs w:val="21"/>
                    </w:rPr>
                    <w:t>评价工作分级判据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02" w:type="dxa"/>
                  <w:vAlign w:val="center"/>
                </w:tcPr>
                <w:p>
                  <w:pPr>
                    <w:adjustRightInd w:val="0"/>
                    <w:snapToGrid w:val="0"/>
                    <w:spacing w:line="240" w:lineRule="auto"/>
                    <w:jc w:val="center"/>
                    <w:rPr>
                      <w:bCs/>
                      <w:color w:val="000000"/>
                      <w:sz w:val="21"/>
                      <w:szCs w:val="21"/>
                    </w:rPr>
                  </w:pPr>
                  <w:r>
                    <w:rPr>
                      <w:bCs/>
                      <w:color w:val="000000"/>
                      <w:sz w:val="21"/>
                      <w:szCs w:val="21"/>
                    </w:rPr>
                    <w:t>一级评价</w:t>
                  </w:r>
                </w:p>
              </w:tc>
              <w:tc>
                <w:tcPr>
                  <w:tcW w:w="4825" w:type="dxa"/>
                  <w:vAlign w:val="center"/>
                </w:tcPr>
                <w:p>
                  <w:pPr>
                    <w:adjustRightInd w:val="0"/>
                    <w:snapToGrid w:val="0"/>
                    <w:spacing w:line="240" w:lineRule="auto"/>
                    <w:jc w:val="center"/>
                    <w:rPr>
                      <w:bCs/>
                      <w:color w:val="000000"/>
                      <w:sz w:val="21"/>
                      <w:szCs w:val="21"/>
                    </w:rPr>
                  </w:pPr>
                  <w:r>
                    <w:rPr>
                      <w:bCs/>
                      <w:color w:val="000000"/>
                      <w:sz w:val="21"/>
                      <w:szCs w:val="21"/>
                    </w:rPr>
                    <w:t>Pmax≥10%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02" w:type="dxa"/>
                  <w:vAlign w:val="center"/>
                </w:tcPr>
                <w:p>
                  <w:pPr>
                    <w:adjustRightInd w:val="0"/>
                    <w:snapToGrid w:val="0"/>
                    <w:spacing w:line="240" w:lineRule="auto"/>
                    <w:jc w:val="center"/>
                    <w:rPr>
                      <w:bCs/>
                      <w:color w:val="000000"/>
                      <w:sz w:val="21"/>
                      <w:szCs w:val="21"/>
                    </w:rPr>
                  </w:pPr>
                  <w:r>
                    <w:rPr>
                      <w:bCs/>
                      <w:color w:val="000000"/>
                      <w:sz w:val="21"/>
                      <w:szCs w:val="21"/>
                    </w:rPr>
                    <w:t>二级评价</w:t>
                  </w:r>
                </w:p>
              </w:tc>
              <w:tc>
                <w:tcPr>
                  <w:tcW w:w="4825" w:type="dxa"/>
                  <w:vAlign w:val="center"/>
                </w:tcPr>
                <w:p>
                  <w:pPr>
                    <w:adjustRightInd w:val="0"/>
                    <w:snapToGrid w:val="0"/>
                    <w:spacing w:line="240" w:lineRule="auto"/>
                    <w:jc w:val="center"/>
                    <w:rPr>
                      <w:bCs/>
                      <w:color w:val="000000"/>
                      <w:sz w:val="21"/>
                      <w:szCs w:val="21"/>
                    </w:rPr>
                  </w:pPr>
                  <w:r>
                    <w:rPr>
                      <w:bCs/>
                      <w:color w:val="000000"/>
                      <w:sz w:val="21"/>
                      <w:szCs w:val="21"/>
                    </w:rPr>
                    <w:t>1%≤Pmax＜10%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02" w:type="dxa"/>
                  <w:vAlign w:val="center"/>
                </w:tcPr>
                <w:p>
                  <w:pPr>
                    <w:adjustRightInd w:val="0"/>
                    <w:snapToGrid w:val="0"/>
                    <w:spacing w:line="240" w:lineRule="auto"/>
                    <w:jc w:val="center"/>
                    <w:rPr>
                      <w:bCs/>
                      <w:color w:val="000000"/>
                      <w:sz w:val="21"/>
                      <w:szCs w:val="21"/>
                    </w:rPr>
                  </w:pPr>
                  <w:r>
                    <w:rPr>
                      <w:bCs/>
                      <w:color w:val="000000"/>
                      <w:sz w:val="21"/>
                      <w:szCs w:val="21"/>
                    </w:rPr>
                    <w:t>三级评价</w:t>
                  </w:r>
                </w:p>
              </w:tc>
              <w:tc>
                <w:tcPr>
                  <w:tcW w:w="4825" w:type="dxa"/>
                  <w:vAlign w:val="center"/>
                </w:tcPr>
                <w:p>
                  <w:pPr>
                    <w:adjustRightInd w:val="0"/>
                    <w:snapToGrid w:val="0"/>
                    <w:spacing w:line="240" w:lineRule="auto"/>
                    <w:jc w:val="center"/>
                    <w:rPr>
                      <w:bCs/>
                      <w:color w:val="000000"/>
                      <w:sz w:val="21"/>
                      <w:szCs w:val="21"/>
                    </w:rPr>
                  </w:pPr>
                  <w:r>
                    <w:rPr>
                      <w:bCs/>
                      <w:color w:val="000000"/>
                      <w:sz w:val="21"/>
                      <w:szCs w:val="21"/>
                    </w:rPr>
                    <w:t>Pmax＜1%</w:t>
                  </w:r>
                </w:p>
              </w:tc>
            </w:tr>
          </w:tbl>
          <w:p>
            <w:pPr>
              <w:widowControl w:val="0"/>
              <w:ind w:firstLine="480" w:firstLineChars="200"/>
              <w:rPr>
                <w:color w:val="000000"/>
              </w:rPr>
            </w:pPr>
            <w:r>
              <w:rPr>
                <w:color w:val="000000"/>
              </w:rPr>
              <w:t>根据导则，二级评价项目大气环境影响评价范围边长取5km，即以本项目</w:t>
            </w:r>
            <w:r>
              <w:rPr>
                <w:rFonts w:hint="eastAsia"/>
                <w:color w:val="000000"/>
              </w:rPr>
              <w:t>厂界</w:t>
            </w:r>
            <w:r>
              <w:rPr>
                <w:color w:val="000000"/>
              </w:rPr>
              <w:t>外延2.5km的矩形区域。</w:t>
            </w:r>
          </w:p>
          <w:p>
            <w:pPr>
              <w:widowControl w:val="0"/>
              <w:ind w:firstLine="480" w:firstLineChars="200"/>
              <w:rPr>
                <w:color w:val="000000"/>
              </w:rPr>
            </w:pPr>
            <w:r>
              <w:rPr>
                <w:color w:val="000000"/>
              </w:rPr>
              <w:t>2、大气污染物排放量核算</w:t>
            </w:r>
          </w:p>
          <w:p>
            <w:pPr>
              <w:widowControl w:val="0"/>
              <w:ind w:firstLine="480" w:firstLineChars="200"/>
              <w:rPr>
                <w:color w:val="000000"/>
              </w:rPr>
            </w:pPr>
            <w:r>
              <w:rPr>
                <w:color w:val="000000"/>
              </w:rPr>
              <w:t>本项目无组织大气污染物排放量核算情况见表</w:t>
            </w:r>
            <w:r>
              <w:rPr>
                <w:rFonts w:hint="eastAsia"/>
                <w:color w:val="000000"/>
              </w:rPr>
              <w:t>7-9</w:t>
            </w:r>
            <w:r>
              <w:rPr>
                <w:color w:val="000000"/>
              </w:rPr>
              <w:t>，大气污染物年排放量核算情况见表</w:t>
            </w:r>
            <w:r>
              <w:rPr>
                <w:rFonts w:hint="eastAsia"/>
                <w:color w:val="000000"/>
              </w:rPr>
              <w:t>7-10</w:t>
            </w:r>
            <w:r>
              <w:rPr>
                <w:color w:val="000000"/>
              </w:rPr>
              <w:t>。</w:t>
            </w:r>
          </w:p>
          <w:p>
            <w:pPr>
              <w:pStyle w:val="44"/>
              <w:widowControl w:val="0"/>
              <w:numPr>
                <w:ilvl w:val="0"/>
                <w:numId w:val="7"/>
              </w:numPr>
              <w:tabs>
                <w:tab w:val="left" w:pos="11"/>
              </w:tabs>
              <w:spacing w:line="240" w:lineRule="auto"/>
              <w:ind w:left="0" w:firstLine="0" w:firstLineChars="0"/>
              <w:jc w:val="center"/>
              <w:rPr>
                <w:b/>
                <w:sz w:val="21"/>
                <w:szCs w:val="21"/>
              </w:rPr>
            </w:pPr>
            <w:r>
              <w:rPr>
                <w:b/>
                <w:sz w:val="21"/>
                <w:szCs w:val="21"/>
              </w:rPr>
              <w:t>大气污染物无组织排放量核算表</w:t>
            </w:r>
          </w:p>
          <w:tbl>
            <w:tblPr>
              <w:tblStyle w:val="24"/>
              <w:tblW w:w="89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998"/>
              <w:gridCol w:w="2035"/>
              <w:gridCol w:w="2696"/>
              <w:gridCol w:w="1334"/>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12" w:type="dxa"/>
                  <w:vMerge w:val="restart"/>
                  <w:vAlign w:val="center"/>
                </w:tcPr>
                <w:p>
                  <w:pPr>
                    <w:spacing w:line="240" w:lineRule="auto"/>
                    <w:jc w:val="center"/>
                    <w:rPr>
                      <w:bCs/>
                      <w:color w:val="000000"/>
                      <w:sz w:val="21"/>
                      <w:szCs w:val="21"/>
                    </w:rPr>
                  </w:pPr>
                  <w:r>
                    <w:rPr>
                      <w:bCs/>
                      <w:color w:val="000000"/>
                      <w:sz w:val="21"/>
                      <w:szCs w:val="21"/>
                    </w:rPr>
                    <w:t>产污环节</w:t>
                  </w:r>
                </w:p>
              </w:tc>
              <w:tc>
                <w:tcPr>
                  <w:tcW w:w="998" w:type="dxa"/>
                  <w:vMerge w:val="restart"/>
                  <w:vAlign w:val="center"/>
                </w:tcPr>
                <w:p>
                  <w:pPr>
                    <w:spacing w:line="240" w:lineRule="auto"/>
                    <w:jc w:val="center"/>
                    <w:rPr>
                      <w:bCs/>
                      <w:color w:val="000000"/>
                      <w:sz w:val="21"/>
                      <w:szCs w:val="21"/>
                    </w:rPr>
                  </w:pPr>
                  <w:r>
                    <w:rPr>
                      <w:bCs/>
                      <w:color w:val="000000"/>
                      <w:sz w:val="21"/>
                      <w:szCs w:val="21"/>
                    </w:rPr>
                    <w:t>污染物</w:t>
                  </w:r>
                </w:p>
              </w:tc>
              <w:tc>
                <w:tcPr>
                  <w:tcW w:w="2035" w:type="dxa"/>
                  <w:vMerge w:val="restart"/>
                  <w:vAlign w:val="center"/>
                </w:tcPr>
                <w:p>
                  <w:pPr>
                    <w:spacing w:line="240" w:lineRule="auto"/>
                    <w:jc w:val="center"/>
                    <w:rPr>
                      <w:bCs/>
                      <w:color w:val="000000"/>
                      <w:sz w:val="21"/>
                      <w:szCs w:val="21"/>
                    </w:rPr>
                  </w:pPr>
                  <w:r>
                    <w:rPr>
                      <w:bCs/>
                      <w:color w:val="000000"/>
                      <w:sz w:val="21"/>
                      <w:szCs w:val="21"/>
                    </w:rPr>
                    <w:t>污染防治措施</w:t>
                  </w:r>
                </w:p>
              </w:tc>
              <w:tc>
                <w:tcPr>
                  <w:tcW w:w="4030" w:type="dxa"/>
                  <w:gridSpan w:val="2"/>
                  <w:vAlign w:val="center"/>
                </w:tcPr>
                <w:p>
                  <w:pPr>
                    <w:spacing w:line="240" w:lineRule="auto"/>
                    <w:jc w:val="center"/>
                    <w:rPr>
                      <w:bCs/>
                      <w:color w:val="000000"/>
                      <w:sz w:val="21"/>
                      <w:szCs w:val="21"/>
                    </w:rPr>
                  </w:pPr>
                  <w:r>
                    <w:rPr>
                      <w:bCs/>
                      <w:color w:val="000000"/>
                      <w:sz w:val="21"/>
                      <w:szCs w:val="21"/>
                    </w:rPr>
                    <w:t>污染物排放标准</w:t>
                  </w:r>
                </w:p>
              </w:tc>
              <w:tc>
                <w:tcPr>
                  <w:tcW w:w="1123" w:type="dxa"/>
                  <w:vMerge w:val="restart"/>
                  <w:vAlign w:val="center"/>
                </w:tcPr>
                <w:p>
                  <w:pPr>
                    <w:spacing w:line="240" w:lineRule="auto"/>
                    <w:jc w:val="center"/>
                    <w:rPr>
                      <w:bCs/>
                      <w:color w:val="000000"/>
                      <w:sz w:val="21"/>
                      <w:szCs w:val="21"/>
                    </w:rPr>
                  </w:pPr>
                  <w:r>
                    <w:rPr>
                      <w:bCs/>
                      <w:color w:val="000000"/>
                      <w:sz w:val="21"/>
                      <w:szCs w:val="21"/>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12" w:type="dxa"/>
                  <w:vMerge w:val="continue"/>
                  <w:vAlign w:val="center"/>
                </w:tcPr>
                <w:p>
                  <w:pPr>
                    <w:spacing w:line="240" w:lineRule="auto"/>
                    <w:jc w:val="left"/>
                    <w:rPr>
                      <w:bCs/>
                      <w:color w:val="000000"/>
                      <w:sz w:val="21"/>
                      <w:szCs w:val="21"/>
                    </w:rPr>
                  </w:pPr>
                </w:p>
              </w:tc>
              <w:tc>
                <w:tcPr>
                  <w:tcW w:w="998" w:type="dxa"/>
                  <w:vMerge w:val="continue"/>
                  <w:vAlign w:val="center"/>
                </w:tcPr>
                <w:p>
                  <w:pPr>
                    <w:spacing w:line="240" w:lineRule="auto"/>
                    <w:jc w:val="left"/>
                    <w:rPr>
                      <w:bCs/>
                      <w:color w:val="000000"/>
                      <w:sz w:val="21"/>
                      <w:szCs w:val="21"/>
                    </w:rPr>
                  </w:pPr>
                </w:p>
              </w:tc>
              <w:tc>
                <w:tcPr>
                  <w:tcW w:w="2035" w:type="dxa"/>
                  <w:vMerge w:val="continue"/>
                  <w:vAlign w:val="center"/>
                </w:tcPr>
                <w:p>
                  <w:pPr>
                    <w:spacing w:line="240" w:lineRule="auto"/>
                    <w:jc w:val="left"/>
                    <w:rPr>
                      <w:bCs/>
                      <w:color w:val="000000"/>
                      <w:sz w:val="21"/>
                      <w:szCs w:val="21"/>
                    </w:rPr>
                  </w:pPr>
                </w:p>
              </w:tc>
              <w:tc>
                <w:tcPr>
                  <w:tcW w:w="2696" w:type="dxa"/>
                  <w:vAlign w:val="center"/>
                </w:tcPr>
                <w:p>
                  <w:pPr>
                    <w:spacing w:line="240" w:lineRule="auto"/>
                    <w:jc w:val="center"/>
                    <w:rPr>
                      <w:bCs/>
                      <w:color w:val="000000"/>
                      <w:sz w:val="21"/>
                      <w:szCs w:val="21"/>
                    </w:rPr>
                  </w:pPr>
                  <w:r>
                    <w:rPr>
                      <w:bCs/>
                      <w:color w:val="000000"/>
                      <w:sz w:val="21"/>
                      <w:szCs w:val="21"/>
                    </w:rPr>
                    <w:t>标准名称</w:t>
                  </w:r>
                </w:p>
              </w:tc>
              <w:tc>
                <w:tcPr>
                  <w:tcW w:w="1334" w:type="dxa"/>
                  <w:vAlign w:val="center"/>
                </w:tcPr>
                <w:p>
                  <w:pPr>
                    <w:spacing w:line="240" w:lineRule="auto"/>
                    <w:jc w:val="center"/>
                    <w:rPr>
                      <w:bCs/>
                      <w:color w:val="000000"/>
                      <w:sz w:val="21"/>
                      <w:szCs w:val="21"/>
                    </w:rPr>
                  </w:pPr>
                  <w:r>
                    <w:rPr>
                      <w:bCs/>
                      <w:color w:val="000000"/>
                      <w:sz w:val="21"/>
                      <w:szCs w:val="21"/>
                    </w:rPr>
                    <w:t>浓度限值（mg/m</w:t>
                  </w:r>
                  <w:r>
                    <w:rPr>
                      <w:bCs/>
                      <w:color w:val="000000"/>
                      <w:sz w:val="21"/>
                      <w:szCs w:val="21"/>
                      <w:vertAlign w:val="superscript"/>
                    </w:rPr>
                    <w:t>3</w:t>
                  </w:r>
                  <w:r>
                    <w:rPr>
                      <w:bCs/>
                      <w:color w:val="000000"/>
                      <w:sz w:val="21"/>
                      <w:szCs w:val="21"/>
                    </w:rPr>
                    <w:t>）</w:t>
                  </w:r>
                </w:p>
              </w:tc>
              <w:tc>
                <w:tcPr>
                  <w:tcW w:w="1123" w:type="dxa"/>
                  <w:vMerge w:val="continue"/>
                  <w:vAlign w:val="center"/>
                </w:tcPr>
                <w:p>
                  <w:pPr>
                    <w:spacing w:line="240" w:lineRule="auto"/>
                    <w:jc w:val="left"/>
                    <w:rPr>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12" w:type="dxa"/>
                  <w:vAlign w:val="center"/>
                </w:tcPr>
                <w:p>
                  <w:pPr>
                    <w:spacing w:line="240" w:lineRule="auto"/>
                    <w:jc w:val="center"/>
                    <w:rPr>
                      <w:bCs/>
                      <w:color w:val="000000"/>
                      <w:sz w:val="21"/>
                      <w:szCs w:val="21"/>
                    </w:rPr>
                  </w:pPr>
                  <w:r>
                    <w:rPr>
                      <w:rFonts w:hint="eastAsia"/>
                      <w:bCs/>
                      <w:color w:val="000000"/>
                      <w:sz w:val="21"/>
                      <w:szCs w:val="21"/>
                    </w:rPr>
                    <w:t>厂区</w:t>
                  </w:r>
                </w:p>
              </w:tc>
              <w:tc>
                <w:tcPr>
                  <w:tcW w:w="998" w:type="dxa"/>
                  <w:vAlign w:val="center"/>
                </w:tcPr>
                <w:p>
                  <w:pPr>
                    <w:spacing w:line="240" w:lineRule="auto"/>
                    <w:jc w:val="center"/>
                    <w:rPr>
                      <w:bCs/>
                      <w:color w:val="000000"/>
                      <w:sz w:val="21"/>
                      <w:szCs w:val="21"/>
                    </w:rPr>
                  </w:pPr>
                  <w:r>
                    <w:rPr>
                      <w:rFonts w:hint="eastAsia"/>
                      <w:bCs/>
                      <w:color w:val="000000"/>
                      <w:sz w:val="21"/>
                      <w:szCs w:val="21"/>
                    </w:rPr>
                    <w:t>粉尘（TSP）</w:t>
                  </w:r>
                </w:p>
              </w:tc>
              <w:tc>
                <w:tcPr>
                  <w:tcW w:w="2035" w:type="dxa"/>
                  <w:vAlign w:val="center"/>
                </w:tcPr>
                <w:p>
                  <w:pPr>
                    <w:spacing w:line="240" w:lineRule="auto"/>
                    <w:jc w:val="center"/>
                    <w:rPr>
                      <w:bCs/>
                      <w:color w:val="000000"/>
                      <w:sz w:val="21"/>
                      <w:szCs w:val="21"/>
                    </w:rPr>
                  </w:pPr>
                  <w:r>
                    <w:rPr>
                      <w:rFonts w:hint="eastAsia"/>
                      <w:bCs/>
                      <w:color w:val="000000"/>
                      <w:sz w:val="21"/>
                      <w:szCs w:val="21"/>
                    </w:rPr>
                    <w:t>全</w:t>
                  </w:r>
                  <w:r>
                    <w:rPr>
                      <w:bCs/>
                      <w:color w:val="000000"/>
                      <w:sz w:val="21"/>
                      <w:szCs w:val="21"/>
                    </w:rPr>
                    <w:t>封闭</w:t>
                  </w:r>
                  <w:r>
                    <w:rPr>
                      <w:rFonts w:hint="eastAsia"/>
                      <w:bCs/>
                      <w:color w:val="000000"/>
                      <w:sz w:val="21"/>
                      <w:szCs w:val="21"/>
                    </w:rPr>
                    <w:t>厂房，破碎筛分工序独立封闭，雾化</w:t>
                  </w:r>
                  <w:r>
                    <w:rPr>
                      <w:bCs/>
                      <w:color w:val="000000"/>
                      <w:sz w:val="21"/>
                      <w:szCs w:val="21"/>
                    </w:rPr>
                    <w:t>喷淋设施</w:t>
                  </w:r>
                </w:p>
              </w:tc>
              <w:tc>
                <w:tcPr>
                  <w:tcW w:w="2696" w:type="dxa"/>
                  <w:vAlign w:val="center"/>
                </w:tcPr>
                <w:p>
                  <w:pPr>
                    <w:spacing w:line="240" w:lineRule="auto"/>
                    <w:jc w:val="center"/>
                    <w:rPr>
                      <w:bCs/>
                      <w:color w:val="000000"/>
                      <w:sz w:val="21"/>
                      <w:szCs w:val="21"/>
                      <w:lang w:val="zh-CN"/>
                    </w:rPr>
                  </w:pPr>
                  <w:r>
                    <w:rPr>
                      <w:bCs/>
                      <w:color w:val="000000"/>
                      <w:sz w:val="21"/>
                      <w:szCs w:val="21"/>
                      <w:lang w:val="zh-CN"/>
                    </w:rPr>
                    <w:t>《大气污染物综合排放标准》（GB16297-1996）</w:t>
                  </w:r>
                </w:p>
              </w:tc>
              <w:tc>
                <w:tcPr>
                  <w:tcW w:w="1334" w:type="dxa"/>
                  <w:vAlign w:val="center"/>
                </w:tcPr>
                <w:p>
                  <w:pPr>
                    <w:spacing w:line="240" w:lineRule="auto"/>
                    <w:jc w:val="center"/>
                    <w:rPr>
                      <w:bCs/>
                      <w:color w:val="000000"/>
                      <w:sz w:val="21"/>
                      <w:szCs w:val="21"/>
                    </w:rPr>
                  </w:pPr>
                  <w:r>
                    <w:rPr>
                      <w:bCs/>
                      <w:color w:val="000000"/>
                      <w:sz w:val="21"/>
                      <w:szCs w:val="21"/>
                    </w:rPr>
                    <w:t>1.0</w:t>
                  </w:r>
                </w:p>
              </w:tc>
              <w:tc>
                <w:tcPr>
                  <w:tcW w:w="1123" w:type="dxa"/>
                  <w:vAlign w:val="center"/>
                </w:tcPr>
                <w:p>
                  <w:pPr>
                    <w:pStyle w:val="91"/>
                    <w:spacing w:before="62" w:after="62"/>
                    <w:rPr>
                      <w:bCs/>
                      <w:color w:val="000000"/>
                      <w:szCs w:val="21"/>
                    </w:rPr>
                  </w:pPr>
                  <w:r>
                    <w:rPr>
                      <w:rFonts w:hint="eastAsia"/>
                      <w:bCs/>
                      <w:color w:val="000000"/>
                      <w:szCs w:val="21"/>
                    </w:rPr>
                    <w:t>0.</w:t>
                  </w:r>
                  <w:r>
                    <w:rPr>
                      <w:bCs/>
                      <w:color w:val="000000"/>
                      <w:szCs w:val="21"/>
                    </w:rPr>
                    <w:t>226</w:t>
                  </w:r>
                </w:p>
              </w:tc>
            </w:tr>
          </w:tbl>
          <w:p>
            <w:pPr>
              <w:pStyle w:val="44"/>
              <w:widowControl w:val="0"/>
              <w:numPr>
                <w:ilvl w:val="0"/>
                <w:numId w:val="7"/>
              </w:numPr>
              <w:tabs>
                <w:tab w:val="left" w:pos="11"/>
              </w:tabs>
              <w:spacing w:line="240" w:lineRule="auto"/>
              <w:ind w:left="0" w:firstLine="0" w:firstLineChars="0"/>
              <w:jc w:val="center"/>
              <w:rPr>
                <w:b/>
                <w:sz w:val="21"/>
                <w:szCs w:val="21"/>
              </w:rPr>
            </w:pPr>
            <w:r>
              <w:rPr>
                <w:b/>
                <w:sz w:val="21"/>
                <w:szCs w:val="21"/>
              </w:rPr>
              <w:t>大气污染物年排放量核算表</w:t>
            </w:r>
          </w:p>
          <w:tbl>
            <w:tblPr>
              <w:tblStyle w:val="24"/>
              <w:tblW w:w="89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32"/>
              <w:gridCol w:w="4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4432" w:type="dxa"/>
                  <w:vAlign w:val="center"/>
                </w:tcPr>
                <w:p>
                  <w:pPr>
                    <w:spacing w:line="240" w:lineRule="auto"/>
                    <w:jc w:val="center"/>
                    <w:rPr>
                      <w:bCs/>
                      <w:color w:val="000000"/>
                      <w:sz w:val="21"/>
                      <w:szCs w:val="21"/>
                    </w:rPr>
                  </w:pPr>
                  <w:r>
                    <w:rPr>
                      <w:bCs/>
                      <w:color w:val="000000"/>
                      <w:sz w:val="21"/>
                      <w:szCs w:val="21"/>
                    </w:rPr>
                    <w:t>污染物</w:t>
                  </w:r>
                </w:p>
              </w:tc>
              <w:tc>
                <w:tcPr>
                  <w:tcW w:w="4520" w:type="dxa"/>
                  <w:vAlign w:val="center"/>
                </w:tcPr>
                <w:p>
                  <w:pPr>
                    <w:spacing w:line="240" w:lineRule="auto"/>
                    <w:jc w:val="center"/>
                    <w:rPr>
                      <w:bCs/>
                      <w:color w:val="000000"/>
                      <w:sz w:val="21"/>
                      <w:szCs w:val="21"/>
                    </w:rPr>
                  </w:pPr>
                  <w:r>
                    <w:rPr>
                      <w:bCs/>
                      <w:color w:val="000000"/>
                      <w:sz w:val="21"/>
                      <w:szCs w:val="21"/>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4432" w:type="dxa"/>
                  <w:vAlign w:val="center"/>
                </w:tcPr>
                <w:p>
                  <w:pPr>
                    <w:spacing w:line="240" w:lineRule="auto"/>
                    <w:jc w:val="center"/>
                    <w:rPr>
                      <w:bCs/>
                      <w:color w:val="000000"/>
                      <w:sz w:val="21"/>
                      <w:szCs w:val="21"/>
                    </w:rPr>
                  </w:pPr>
                  <w:r>
                    <w:rPr>
                      <w:rFonts w:hint="eastAsia"/>
                      <w:bCs/>
                      <w:color w:val="000000"/>
                      <w:sz w:val="21"/>
                      <w:szCs w:val="21"/>
                    </w:rPr>
                    <w:t>粉尘</w:t>
                  </w:r>
                  <w:r>
                    <w:rPr>
                      <w:bCs/>
                      <w:color w:val="000000"/>
                      <w:sz w:val="21"/>
                      <w:szCs w:val="21"/>
                    </w:rPr>
                    <w:t>（</w:t>
                  </w:r>
                  <w:r>
                    <w:rPr>
                      <w:rFonts w:hint="eastAsia"/>
                      <w:bCs/>
                      <w:color w:val="000000"/>
                      <w:sz w:val="21"/>
                      <w:szCs w:val="21"/>
                    </w:rPr>
                    <w:t>TSP</w:t>
                  </w:r>
                  <w:r>
                    <w:rPr>
                      <w:bCs/>
                      <w:color w:val="000000"/>
                      <w:sz w:val="21"/>
                      <w:szCs w:val="21"/>
                    </w:rPr>
                    <w:t>）</w:t>
                  </w:r>
                </w:p>
              </w:tc>
              <w:tc>
                <w:tcPr>
                  <w:tcW w:w="4520" w:type="dxa"/>
                  <w:vAlign w:val="center"/>
                </w:tcPr>
                <w:p>
                  <w:pPr>
                    <w:adjustRightInd w:val="0"/>
                    <w:snapToGrid w:val="0"/>
                    <w:spacing w:line="240" w:lineRule="auto"/>
                    <w:jc w:val="center"/>
                    <w:rPr>
                      <w:bCs/>
                      <w:color w:val="000000"/>
                      <w:sz w:val="21"/>
                      <w:szCs w:val="21"/>
                    </w:rPr>
                  </w:pPr>
                  <w:r>
                    <w:rPr>
                      <w:rFonts w:hint="eastAsia"/>
                      <w:bCs/>
                      <w:color w:val="000000"/>
                      <w:sz w:val="21"/>
                      <w:szCs w:val="21"/>
                    </w:rPr>
                    <w:t>0.</w:t>
                  </w:r>
                  <w:r>
                    <w:rPr>
                      <w:bCs/>
                      <w:color w:val="000000"/>
                      <w:sz w:val="21"/>
                      <w:szCs w:val="21"/>
                    </w:rPr>
                    <w:t>226</w:t>
                  </w:r>
                </w:p>
              </w:tc>
            </w:tr>
          </w:tbl>
          <w:p>
            <w:pPr>
              <w:widowControl w:val="0"/>
              <w:ind w:left="480" w:leftChars="200"/>
              <w:rPr>
                <w:color w:val="000000"/>
              </w:rPr>
            </w:pPr>
            <w:r>
              <w:rPr>
                <w:color w:val="000000"/>
              </w:rPr>
              <w:t>3、食堂燃料废气和油烟废气</w:t>
            </w:r>
          </w:p>
          <w:p>
            <w:pPr>
              <w:widowControl w:val="0"/>
              <w:ind w:firstLine="480" w:firstLineChars="200"/>
              <w:rPr>
                <w:color w:val="000000"/>
                <w:kern w:val="0"/>
                <w:szCs w:val="22"/>
              </w:rPr>
            </w:pPr>
            <w:r>
              <w:rPr>
                <w:color w:val="000000"/>
                <w:kern w:val="0"/>
                <w:szCs w:val="22"/>
              </w:rPr>
              <w:t>本项目职工食堂采用清洁能源液化石油气作为燃料，其燃烧产生的大气污染物排放量较小，与油烟废气一同经专用烟道引至楼顶排放。食堂油烟采用油烟净化处理后油烟废气排放浓度为</w:t>
            </w:r>
            <w:r>
              <w:rPr>
                <w:rFonts w:hint="eastAsia"/>
                <w:color w:val="000000"/>
                <w:kern w:val="0"/>
                <w:szCs w:val="22"/>
              </w:rPr>
              <w:t>025</w:t>
            </w:r>
            <w:r>
              <w:rPr>
                <w:color w:val="000000"/>
                <w:kern w:val="0"/>
                <w:szCs w:val="22"/>
              </w:rPr>
              <w:t>mg/m</w:t>
            </w:r>
            <w:r>
              <w:rPr>
                <w:color w:val="000000"/>
                <w:kern w:val="0"/>
                <w:szCs w:val="22"/>
                <w:vertAlign w:val="superscript"/>
              </w:rPr>
              <w:t>3</w:t>
            </w:r>
            <w:r>
              <w:rPr>
                <w:color w:val="000000"/>
                <w:kern w:val="0"/>
                <w:szCs w:val="22"/>
              </w:rPr>
              <w:t>，可满足《饮食业油烟排放标准（试行）》（GB18483-2001）表2中“小型-最高允许排放速度2.0mg/m</w:t>
            </w:r>
            <w:r>
              <w:rPr>
                <w:color w:val="000000"/>
                <w:kern w:val="0"/>
                <w:szCs w:val="22"/>
                <w:vertAlign w:val="superscript"/>
              </w:rPr>
              <w:t>3</w:t>
            </w:r>
            <w:r>
              <w:rPr>
                <w:color w:val="000000"/>
                <w:kern w:val="0"/>
                <w:szCs w:val="22"/>
              </w:rPr>
              <w:t>，净化设施最低去除效率为60%”的标准要求，经专用排烟道引至楼顶排放，对周围大气环境影响较小。</w:t>
            </w:r>
          </w:p>
          <w:p>
            <w:pPr>
              <w:pStyle w:val="6"/>
              <w:widowControl w:val="0"/>
              <w:spacing w:line="360" w:lineRule="auto"/>
              <w:ind w:firstLine="480" w:firstLineChars="200"/>
              <w:jc w:val="left"/>
              <w:rPr>
                <w:rFonts w:ascii="Times New Roman" w:hAnsi="Times New Roman" w:eastAsia="宋体"/>
                <w:color w:val="000000"/>
                <w:sz w:val="24"/>
                <w:szCs w:val="24"/>
              </w:rPr>
            </w:pPr>
            <w:r>
              <w:rPr>
                <w:rFonts w:ascii="Times New Roman" w:hAnsi="Times New Roman"/>
                <w:color w:val="000000"/>
                <w:sz w:val="24"/>
              </w:rPr>
              <w:t>4</w:t>
            </w:r>
            <w:r>
              <w:rPr>
                <w:rFonts w:hint="eastAsia" w:ascii="宋体" w:hAnsi="宋体" w:eastAsia="宋体" w:cs="宋体"/>
                <w:color w:val="000000"/>
                <w:sz w:val="24"/>
              </w:rPr>
              <w:t>、</w:t>
            </w:r>
            <w:r>
              <w:rPr>
                <w:rFonts w:ascii="Times New Roman" w:hAnsi="Times New Roman" w:eastAsia="宋体"/>
                <w:color w:val="000000"/>
                <w:sz w:val="24"/>
                <w:szCs w:val="24"/>
              </w:rPr>
              <w:t>大气环境影响评价自查表</w:t>
            </w:r>
          </w:p>
          <w:p>
            <w:pPr>
              <w:widowControl w:val="0"/>
              <w:ind w:firstLine="480" w:firstLineChars="200"/>
            </w:pPr>
            <w:r>
              <w:t>本项目大气环境影响评价自查表见表</w:t>
            </w:r>
            <w:r>
              <w:rPr>
                <w:rFonts w:hint="eastAsia"/>
              </w:rPr>
              <w:t>7-</w:t>
            </w:r>
            <w:r>
              <w:t>11</w:t>
            </w:r>
            <w:r>
              <w:rPr>
                <w:rFonts w:hint="eastAsia"/>
              </w:rPr>
              <w:t>。</w:t>
            </w:r>
          </w:p>
          <w:p>
            <w:pPr>
              <w:pStyle w:val="44"/>
              <w:widowControl w:val="0"/>
              <w:numPr>
                <w:ilvl w:val="0"/>
                <w:numId w:val="7"/>
              </w:numPr>
              <w:tabs>
                <w:tab w:val="left" w:pos="11"/>
              </w:tabs>
              <w:spacing w:line="240" w:lineRule="auto"/>
              <w:ind w:left="0" w:firstLine="0" w:firstLineChars="0"/>
              <w:jc w:val="center"/>
              <w:rPr>
                <w:b/>
                <w:sz w:val="21"/>
                <w:szCs w:val="21"/>
              </w:rPr>
            </w:pPr>
            <w:r>
              <w:rPr>
                <w:rFonts w:hint="eastAsia"/>
                <w:b/>
                <w:sz w:val="21"/>
                <w:szCs w:val="21"/>
              </w:rPr>
              <w:t>本</w:t>
            </w:r>
            <w:r>
              <w:rPr>
                <w:b/>
                <w:sz w:val="21"/>
                <w:szCs w:val="21"/>
              </w:rPr>
              <w:t>项目大气环境影响评价自查表</w:t>
            </w:r>
          </w:p>
          <w:tbl>
            <w:tblPr>
              <w:tblStyle w:val="24"/>
              <w:tblW w:w="9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12"/>
              <w:gridCol w:w="1608"/>
              <w:gridCol w:w="967"/>
              <w:gridCol w:w="671"/>
              <w:gridCol w:w="445"/>
              <w:gridCol w:w="968"/>
              <w:gridCol w:w="1275"/>
              <w:gridCol w:w="792"/>
              <w:gridCol w:w="39"/>
              <w:gridCol w:w="161"/>
              <w:gridCol w:w="155"/>
              <w:gridCol w:w="544"/>
              <w:gridCol w:w="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 w:hRule="atLeast"/>
                <w:jc w:val="center"/>
              </w:trPr>
              <w:tc>
                <w:tcPr>
                  <w:tcW w:w="2581" w:type="dxa"/>
                  <w:gridSpan w:val="2"/>
                  <w:vAlign w:val="center"/>
                </w:tcPr>
                <w:p>
                  <w:pPr>
                    <w:spacing w:line="240" w:lineRule="auto"/>
                    <w:jc w:val="center"/>
                    <w:rPr>
                      <w:color w:val="000000"/>
                      <w:sz w:val="21"/>
                      <w:szCs w:val="21"/>
                    </w:rPr>
                  </w:pPr>
                  <w:r>
                    <w:rPr>
                      <w:color w:val="000000"/>
                      <w:sz w:val="21"/>
                      <w:szCs w:val="21"/>
                    </w:rPr>
                    <w:t>工作内容</w:t>
                  </w:r>
                </w:p>
              </w:tc>
              <w:tc>
                <w:tcPr>
                  <w:tcW w:w="6528" w:type="dxa"/>
                  <w:gridSpan w:val="11"/>
                  <w:vAlign w:val="center"/>
                </w:tcPr>
                <w:p>
                  <w:pPr>
                    <w:spacing w:line="240" w:lineRule="auto"/>
                    <w:jc w:val="center"/>
                    <w:rPr>
                      <w:color w:val="000000"/>
                      <w:sz w:val="21"/>
                      <w:szCs w:val="21"/>
                    </w:rPr>
                  </w:pPr>
                  <w:r>
                    <w:rPr>
                      <w:color w:val="000000"/>
                      <w:sz w:val="21"/>
                      <w:szCs w:val="21"/>
                    </w:rPr>
                    <w:t>自查项目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 w:hRule="atLeast"/>
                <w:jc w:val="center"/>
              </w:trPr>
              <w:tc>
                <w:tcPr>
                  <w:tcW w:w="935" w:type="dxa"/>
                  <w:vMerge w:val="restart"/>
                  <w:vAlign w:val="center"/>
                </w:tcPr>
                <w:p>
                  <w:pPr>
                    <w:spacing w:line="240" w:lineRule="auto"/>
                    <w:jc w:val="center"/>
                    <w:rPr>
                      <w:color w:val="000000"/>
                      <w:sz w:val="21"/>
                      <w:szCs w:val="21"/>
                    </w:rPr>
                  </w:pPr>
                  <w:r>
                    <w:rPr>
                      <w:color w:val="000000"/>
                      <w:sz w:val="21"/>
                      <w:szCs w:val="21"/>
                    </w:rPr>
                    <w:t>评价等级与范围</w:t>
                  </w:r>
                </w:p>
              </w:tc>
              <w:tc>
                <w:tcPr>
                  <w:tcW w:w="1646" w:type="dxa"/>
                  <w:vAlign w:val="center"/>
                </w:tcPr>
                <w:p>
                  <w:pPr>
                    <w:spacing w:line="240" w:lineRule="auto"/>
                    <w:jc w:val="center"/>
                    <w:rPr>
                      <w:color w:val="000000"/>
                      <w:sz w:val="21"/>
                      <w:szCs w:val="21"/>
                    </w:rPr>
                  </w:pPr>
                  <w:r>
                    <w:rPr>
                      <w:color w:val="000000"/>
                      <w:sz w:val="21"/>
                      <w:szCs w:val="21"/>
                    </w:rPr>
                    <w:t>评价等级</w:t>
                  </w:r>
                </w:p>
              </w:tc>
              <w:tc>
                <w:tcPr>
                  <w:tcW w:w="1560" w:type="dxa"/>
                  <w:gridSpan w:val="2"/>
                  <w:vAlign w:val="center"/>
                </w:tcPr>
                <w:p>
                  <w:pPr>
                    <w:spacing w:line="240" w:lineRule="auto"/>
                    <w:jc w:val="center"/>
                    <w:rPr>
                      <w:rFonts w:eastAsia="仿宋"/>
                      <w:color w:val="000000"/>
                      <w:sz w:val="21"/>
                      <w:szCs w:val="21"/>
                    </w:rPr>
                  </w:pPr>
                  <w:r>
                    <w:rPr>
                      <w:color w:val="000000"/>
                      <w:sz w:val="21"/>
                      <w:szCs w:val="21"/>
                    </w:rPr>
                    <w:t>一级</w:t>
                  </w:r>
                  <w:r>
                    <w:rPr>
                      <w:rFonts w:eastAsia="仿宋"/>
                      <w:color w:val="000000"/>
                      <w:sz w:val="21"/>
                      <w:szCs w:val="21"/>
                    </w:rPr>
                    <w:t>□</w:t>
                  </w:r>
                </w:p>
              </w:tc>
              <w:tc>
                <w:tcPr>
                  <w:tcW w:w="2693" w:type="dxa"/>
                  <w:gridSpan w:val="3"/>
                  <w:vAlign w:val="center"/>
                </w:tcPr>
                <w:p>
                  <w:pPr>
                    <w:spacing w:line="240" w:lineRule="auto"/>
                    <w:jc w:val="center"/>
                    <w:rPr>
                      <w:color w:val="000000"/>
                      <w:sz w:val="21"/>
                      <w:szCs w:val="21"/>
                    </w:rPr>
                  </w:pPr>
                  <w:r>
                    <w:rPr>
                      <w:color w:val="000000"/>
                      <w:sz w:val="21"/>
                      <w:szCs w:val="21"/>
                    </w:rPr>
                    <w:t>二级</w:t>
                  </w:r>
                  <w:r>
                    <w:rPr>
                      <w:rFonts w:eastAsia="仿宋"/>
                      <w:color w:val="000000"/>
                      <w:sz w:val="21"/>
                      <w:szCs w:val="21"/>
                    </w:rPr>
                    <w:sym w:font="Wingdings 2" w:char="0052"/>
                  </w:r>
                </w:p>
              </w:tc>
              <w:tc>
                <w:tcPr>
                  <w:tcW w:w="2275" w:type="dxa"/>
                  <w:gridSpan w:val="6"/>
                  <w:vAlign w:val="center"/>
                </w:tcPr>
                <w:p>
                  <w:pPr>
                    <w:spacing w:line="240" w:lineRule="auto"/>
                    <w:jc w:val="center"/>
                    <w:rPr>
                      <w:color w:val="000000"/>
                      <w:sz w:val="21"/>
                      <w:szCs w:val="21"/>
                    </w:rPr>
                  </w:pPr>
                  <w:r>
                    <w:rPr>
                      <w:color w:val="000000"/>
                      <w:sz w:val="21"/>
                      <w:szCs w:val="21"/>
                    </w:rPr>
                    <w:t>三级</w:t>
                  </w:r>
                  <w:r>
                    <w:rPr>
                      <w:rFonts w:eastAsia="仿宋"/>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jc w:val="center"/>
              </w:trPr>
              <w:tc>
                <w:tcPr>
                  <w:tcW w:w="935" w:type="dxa"/>
                  <w:vMerge w:val="continue"/>
                  <w:vAlign w:val="center"/>
                </w:tcPr>
                <w:p>
                  <w:pPr>
                    <w:spacing w:line="240" w:lineRule="auto"/>
                    <w:jc w:val="center"/>
                    <w:rPr>
                      <w:color w:val="000000"/>
                      <w:sz w:val="21"/>
                      <w:szCs w:val="21"/>
                    </w:rPr>
                  </w:pPr>
                </w:p>
              </w:tc>
              <w:tc>
                <w:tcPr>
                  <w:tcW w:w="1646" w:type="dxa"/>
                  <w:vAlign w:val="center"/>
                </w:tcPr>
                <w:p>
                  <w:pPr>
                    <w:spacing w:line="240" w:lineRule="auto"/>
                    <w:jc w:val="center"/>
                    <w:rPr>
                      <w:color w:val="000000"/>
                      <w:sz w:val="21"/>
                      <w:szCs w:val="21"/>
                    </w:rPr>
                  </w:pPr>
                  <w:r>
                    <w:rPr>
                      <w:color w:val="000000"/>
                      <w:sz w:val="21"/>
                      <w:szCs w:val="21"/>
                    </w:rPr>
                    <w:t>评价范围</w:t>
                  </w:r>
                </w:p>
              </w:tc>
              <w:tc>
                <w:tcPr>
                  <w:tcW w:w="1560" w:type="dxa"/>
                  <w:gridSpan w:val="2"/>
                  <w:vAlign w:val="center"/>
                </w:tcPr>
                <w:p>
                  <w:pPr>
                    <w:spacing w:line="240" w:lineRule="auto"/>
                    <w:jc w:val="center"/>
                    <w:rPr>
                      <w:color w:val="000000"/>
                      <w:sz w:val="21"/>
                      <w:szCs w:val="21"/>
                    </w:rPr>
                  </w:pPr>
                  <w:r>
                    <w:rPr>
                      <w:color w:val="000000"/>
                      <w:sz w:val="21"/>
                      <w:szCs w:val="21"/>
                    </w:rPr>
                    <w:t>边长=50km</w:t>
                  </w:r>
                  <w:r>
                    <w:rPr>
                      <w:rFonts w:eastAsia="仿宋"/>
                      <w:color w:val="000000"/>
                      <w:sz w:val="21"/>
                      <w:szCs w:val="21"/>
                    </w:rPr>
                    <w:t>□</w:t>
                  </w:r>
                </w:p>
              </w:tc>
              <w:tc>
                <w:tcPr>
                  <w:tcW w:w="2693" w:type="dxa"/>
                  <w:gridSpan w:val="3"/>
                  <w:vAlign w:val="center"/>
                </w:tcPr>
                <w:p>
                  <w:pPr>
                    <w:spacing w:line="240" w:lineRule="auto"/>
                    <w:jc w:val="center"/>
                    <w:rPr>
                      <w:rFonts w:eastAsia="仿宋"/>
                      <w:color w:val="000000"/>
                      <w:sz w:val="21"/>
                      <w:szCs w:val="21"/>
                    </w:rPr>
                  </w:pPr>
                  <w:r>
                    <w:rPr>
                      <w:color w:val="000000"/>
                      <w:sz w:val="21"/>
                      <w:szCs w:val="21"/>
                    </w:rPr>
                    <w:t>边长5～50km</w:t>
                  </w:r>
                  <w:r>
                    <w:rPr>
                      <w:rFonts w:eastAsia="仿宋"/>
                      <w:color w:val="000000"/>
                      <w:sz w:val="21"/>
                      <w:szCs w:val="21"/>
                    </w:rPr>
                    <w:t>□</w:t>
                  </w:r>
                </w:p>
              </w:tc>
              <w:tc>
                <w:tcPr>
                  <w:tcW w:w="2275" w:type="dxa"/>
                  <w:gridSpan w:val="6"/>
                  <w:vAlign w:val="center"/>
                </w:tcPr>
                <w:p>
                  <w:pPr>
                    <w:spacing w:line="240" w:lineRule="auto"/>
                    <w:jc w:val="center"/>
                    <w:rPr>
                      <w:color w:val="000000"/>
                      <w:sz w:val="21"/>
                      <w:szCs w:val="21"/>
                    </w:rPr>
                  </w:pPr>
                  <w:r>
                    <w:rPr>
                      <w:color w:val="000000"/>
                      <w:sz w:val="21"/>
                      <w:szCs w:val="21"/>
                    </w:rPr>
                    <w:t>边长=5 km</w:t>
                  </w:r>
                  <w:r>
                    <w:rPr>
                      <w:rFonts w:eastAsia="仿宋"/>
                      <w:color w:val="000000"/>
                      <w:sz w:val="21"/>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 w:hRule="atLeast"/>
                <w:jc w:val="center"/>
              </w:trPr>
              <w:tc>
                <w:tcPr>
                  <w:tcW w:w="935" w:type="dxa"/>
                  <w:vMerge w:val="restart"/>
                  <w:vAlign w:val="center"/>
                </w:tcPr>
                <w:p>
                  <w:pPr>
                    <w:spacing w:line="240" w:lineRule="auto"/>
                    <w:jc w:val="center"/>
                    <w:rPr>
                      <w:color w:val="000000"/>
                      <w:sz w:val="21"/>
                      <w:szCs w:val="21"/>
                    </w:rPr>
                  </w:pPr>
                  <w:r>
                    <w:rPr>
                      <w:color w:val="000000"/>
                      <w:sz w:val="21"/>
                      <w:szCs w:val="21"/>
                    </w:rPr>
                    <w:t>评价</w:t>
                  </w:r>
                </w:p>
                <w:p>
                  <w:pPr>
                    <w:spacing w:line="240" w:lineRule="auto"/>
                    <w:jc w:val="center"/>
                    <w:rPr>
                      <w:color w:val="000000"/>
                      <w:sz w:val="21"/>
                      <w:szCs w:val="21"/>
                    </w:rPr>
                  </w:pPr>
                  <w:r>
                    <w:rPr>
                      <w:color w:val="000000"/>
                      <w:sz w:val="21"/>
                      <w:szCs w:val="21"/>
                    </w:rPr>
                    <w:t>因子</w:t>
                  </w:r>
                </w:p>
              </w:tc>
              <w:tc>
                <w:tcPr>
                  <w:tcW w:w="1646" w:type="dxa"/>
                  <w:vAlign w:val="center"/>
                </w:tcPr>
                <w:p>
                  <w:pPr>
                    <w:spacing w:line="240" w:lineRule="auto"/>
                    <w:jc w:val="center"/>
                    <w:rPr>
                      <w:color w:val="000000"/>
                      <w:sz w:val="21"/>
                      <w:szCs w:val="21"/>
                    </w:rPr>
                  </w:pPr>
                  <w:r>
                    <w:rPr>
                      <w:color w:val="000000"/>
                      <w:sz w:val="21"/>
                      <w:szCs w:val="21"/>
                    </w:rPr>
                    <w:t>SO</w:t>
                  </w:r>
                  <w:r>
                    <w:rPr>
                      <w:color w:val="000000"/>
                      <w:sz w:val="21"/>
                      <w:szCs w:val="21"/>
                      <w:vertAlign w:val="subscript"/>
                    </w:rPr>
                    <w:t xml:space="preserve">2 </w:t>
                  </w:r>
                  <w:r>
                    <w:rPr>
                      <w:color w:val="000000"/>
                      <w:sz w:val="21"/>
                      <w:szCs w:val="21"/>
                    </w:rPr>
                    <w:t>+NO</w:t>
                  </w:r>
                  <w:r>
                    <w:rPr>
                      <w:i/>
                      <w:color w:val="000000"/>
                      <w:sz w:val="21"/>
                      <w:szCs w:val="21"/>
                      <w:vertAlign w:val="subscript"/>
                    </w:rPr>
                    <w:t>x</w:t>
                  </w:r>
                  <w:r>
                    <w:rPr>
                      <w:color w:val="000000"/>
                      <w:sz w:val="21"/>
                      <w:szCs w:val="21"/>
                    </w:rPr>
                    <w:t>排放量</w:t>
                  </w:r>
                </w:p>
              </w:tc>
              <w:tc>
                <w:tcPr>
                  <w:tcW w:w="1560" w:type="dxa"/>
                  <w:gridSpan w:val="2"/>
                  <w:vAlign w:val="center"/>
                </w:tcPr>
                <w:p>
                  <w:pPr>
                    <w:spacing w:line="240" w:lineRule="auto"/>
                    <w:jc w:val="center"/>
                    <w:rPr>
                      <w:color w:val="000000"/>
                      <w:sz w:val="21"/>
                      <w:szCs w:val="21"/>
                    </w:rPr>
                  </w:pPr>
                  <w:r>
                    <w:rPr>
                      <w:rFonts w:eastAsia="仿宋"/>
                      <w:color w:val="000000"/>
                      <w:sz w:val="21"/>
                      <w:szCs w:val="21"/>
                    </w:rPr>
                    <w:t>≥</w:t>
                  </w:r>
                  <w:r>
                    <w:rPr>
                      <w:color w:val="000000"/>
                      <w:sz w:val="21"/>
                      <w:szCs w:val="21"/>
                    </w:rPr>
                    <w:t xml:space="preserve"> 2000t/a</w:t>
                  </w:r>
                  <w:r>
                    <w:rPr>
                      <w:rFonts w:eastAsia="仿宋"/>
                      <w:color w:val="000000"/>
                      <w:sz w:val="21"/>
                      <w:szCs w:val="21"/>
                    </w:rPr>
                    <w:t>□</w:t>
                  </w:r>
                </w:p>
              </w:tc>
              <w:tc>
                <w:tcPr>
                  <w:tcW w:w="2693" w:type="dxa"/>
                  <w:gridSpan w:val="3"/>
                  <w:vAlign w:val="center"/>
                </w:tcPr>
                <w:p>
                  <w:pPr>
                    <w:spacing w:line="240" w:lineRule="auto"/>
                    <w:jc w:val="center"/>
                    <w:rPr>
                      <w:color w:val="000000"/>
                      <w:sz w:val="21"/>
                      <w:szCs w:val="21"/>
                    </w:rPr>
                  </w:pPr>
                  <w:r>
                    <w:rPr>
                      <w:rFonts w:eastAsia="仿宋"/>
                      <w:color w:val="000000"/>
                      <w:sz w:val="21"/>
                      <w:szCs w:val="21"/>
                    </w:rPr>
                    <w:t xml:space="preserve">500 ~ </w:t>
                  </w:r>
                  <w:r>
                    <w:rPr>
                      <w:color w:val="000000"/>
                      <w:sz w:val="21"/>
                      <w:szCs w:val="21"/>
                    </w:rPr>
                    <w:t>2000t/a</w:t>
                  </w:r>
                  <w:r>
                    <w:rPr>
                      <w:rFonts w:eastAsia="仿宋"/>
                      <w:color w:val="000000"/>
                      <w:sz w:val="21"/>
                      <w:szCs w:val="21"/>
                    </w:rPr>
                    <w:t>□</w:t>
                  </w:r>
                </w:p>
              </w:tc>
              <w:tc>
                <w:tcPr>
                  <w:tcW w:w="2275" w:type="dxa"/>
                  <w:gridSpan w:val="6"/>
                  <w:vAlign w:val="center"/>
                </w:tcPr>
                <w:p>
                  <w:pPr>
                    <w:spacing w:line="240" w:lineRule="auto"/>
                    <w:jc w:val="center"/>
                    <w:rPr>
                      <w:color w:val="000000"/>
                      <w:sz w:val="21"/>
                      <w:szCs w:val="21"/>
                    </w:rPr>
                  </w:pPr>
                  <w:r>
                    <w:rPr>
                      <w:rFonts w:eastAsia="仿宋"/>
                      <w:color w:val="000000"/>
                      <w:sz w:val="21"/>
                      <w:szCs w:val="21"/>
                    </w:rPr>
                    <w:t>＜</w:t>
                  </w:r>
                  <w:r>
                    <w:rPr>
                      <w:color w:val="000000"/>
                      <w:sz w:val="21"/>
                      <w:szCs w:val="21"/>
                    </w:rPr>
                    <w:t>500 t/a</w:t>
                  </w:r>
                  <w:r>
                    <w:rPr>
                      <w:rFonts w:eastAsia="仿宋"/>
                      <w:color w:val="000000"/>
                      <w:sz w:val="21"/>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8" w:hRule="atLeast"/>
                <w:jc w:val="center"/>
              </w:trPr>
              <w:tc>
                <w:tcPr>
                  <w:tcW w:w="935" w:type="dxa"/>
                  <w:vMerge w:val="continue"/>
                  <w:vAlign w:val="center"/>
                </w:tcPr>
                <w:p>
                  <w:pPr>
                    <w:spacing w:line="240" w:lineRule="auto"/>
                    <w:jc w:val="center"/>
                    <w:rPr>
                      <w:color w:val="000000"/>
                      <w:sz w:val="21"/>
                      <w:szCs w:val="21"/>
                    </w:rPr>
                  </w:pPr>
                </w:p>
              </w:tc>
              <w:tc>
                <w:tcPr>
                  <w:tcW w:w="1646" w:type="dxa"/>
                  <w:vAlign w:val="center"/>
                </w:tcPr>
                <w:p>
                  <w:pPr>
                    <w:spacing w:line="240" w:lineRule="auto"/>
                    <w:jc w:val="center"/>
                    <w:rPr>
                      <w:color w:val="000000"/>
                      <w:sz w:val="21"/>
                      <w:szCs w:val="21"/>
                    </w:rPr>
                  </w:pPr>
                  <w:r>
                    <w:rPr>
                      <w:color w:val="000000"/>
                      <w:sz w:val="21"/>
                      <w:szCs w:val="21"/>
                    </w:rPr>
                    <w:t>评价因子</w:t>
                  </w:r>
                </w:p>
              </w:tc>
              <w:tc>
                <w:tcPr>
                  <w:tcW w:w="4253" w:type="dxa"/>
                  <w:gridSpan w:val="5"/>
                  <w:vAlign w:val="center"/>
                </w:tcPr>
                <w:p>
                  <w:pPr>
                    <w:spacing w:line="240" w:lineRule="auto"/>
                    <w:jc w:val="center"/>
                    <w:rPr>
                      <w:color w:val="000000"/>
                      <w:sz w:val="21"/>
                      <w:szCs w:val="21"/>
                    </w:rPr>
                  </w:pPr>
                  <w:r>
                    <w:rPr>
                      <w:color w:val="000000"/>
                      <w:sz w:val="21"/>
                      <w:szCs w:val="21"/>
                    </w:rPr>
                    <w:t xml:space="preserve">基本污染物 </w:t>
                  </w:r>
                  <w:r>
                    <w:rPr>
                      <w:rFonts w:hint="eastAsia"/>
                      <w:color w:val="000000"/>
                      <w:sz w:val="21"/>
                      <w:szCs w:val="21"/>
                    </w:rPr>
                    <w:t>（</w:t>
                  </w:r>
                  <w:r>
                    <w:rPr>
                      <w:sz w:val="21"/>
                      <w:szCs w:val="21"/>
                    </w:rPr>
                    <w:t>SO</w:t>
                  </w:r>
                  <w:r>
                    <w:rPr>
                      <w:sz w:val="21"/>
                      <w:szCs w:val="21"/>
                      <w:vertAlign w:val="subscript"/>
                    </w:rPr>
                    <w:t>2</w:t>
                  </w:r>
                  <w:r>
                    <w:rPr>
                      <w:sz w:val="21"/>
                      <w:szCs w:val="21"/>
                    </w:rPr>
                    <w:t>、NO</w:t>
                  </w:r>
                  <w:r>
                    <w:rPr>
                      <w:rFonts w:hint="eastAsia"/>
                      <w:sz w:val="21"/>
                      <w:szCs w:val="21"/>
                      <w:vertAlign w:val="subscript"/>
                    </w:rPr>
                    <w:t>2</w:t>
                  </w:r>
                  <w:r>
                    <w:rPr>
                      <w:sz w:val="21"/>
                      <w:szCs w:val="21"/>
                    </w:rPr>
                    <w:t>、CO</w:t>
                  </w:r>
                  <w:r>
                    <w:rPr>
                      <w:rFonts w:hint="eastAsia"/>
                      <w:sz w:val="21"/>
                      <w:szCs w:val="21"/>
                    </w:rPr>
                    <w:t>、</w:t>
                  </w:r>
                  <w:r>
                    <w:rPr>
                      <w:sz w:val="21"/>
                      <w:szCs w:val="21"/>
                    </w:rPr>
                    <w:t>O</w:t>
                  </w:r>
                  <w:r>
                    <w:rPr>
                      <w:sz w:val="21"/>
                      <w:szCs w:val="21"/>
                      <w:vertAlign w:val="subscript"/>
                    </w:rPr>
                    <w:t>3</w:t>
                  </w:r>
                  <w:r>
                    <w:rPr>
                      <w:sz w:val="21"/>
                      <w:szCs w:val="21"/>
                    </w:rPr>
                    <w:t>、PM</w:t>
                  </w:r>
                  <w:r>
                    <w:rPr>
                      <w:sz w:val="21"/>
                      <w:szCs w:val="21"/>
                      <w:vertAlign w:val="subscript"/>
                    </w:rPr>
                    <w:t>10</w:t>
                  </w:r>
                  <w:r>
                    <w:rPr>
                      <w:sz w:val="21"/>
                      <w:szCs w:val="21"/>
                    </w:rPr>
                    <w:t>、PM</w:t>
                  </w:r>
                  <w:r>
                    <w:rPr>
                      <w:sz w:val="21"/>
                      <w:szCs w:val="21"/>
                      <w:vertAlign w:val="subscript"/>
                    </w:rPr>
                    <w:t>2.5</w:t>
                  </w:r>
                  <w:r>
                    <w:rPr>
                      <w:rFonts w:hint="eastAsia"/>
                      <w:color w:val="000000"/>
                      <w:sz w:val="21"/>
                      <w:szCs w:val="21"/>
                    </w:rPr>
                    <w:t>）</w:t>
                  </w:r>
                </w:p>
                <w:p>
                  <w:pPr>
                    <w:spacing w:line="240" w:lineRule="auto"/>
                    <w:ind w:firstLine="210" w:firstLineChars="100"/>
                    <w:rPr>
                      <w:color w:val="000000"/>
                      <w:sz w:val="21"/>
                      <w:szCs w:val="21"/>
                    </w:rPr>
                  </w:pPr>
                  <w:r>
                    <w:rPr>
                      <w:color w:val="000000"/>
                      <w:sz w:val="21"/>
                      <w:szCs w:val="21"/>
                    </w:rPr>
                    <w:t>其他污染物</w:t>
                  </w:r>
                  <w:r>
                    <w:rPr>
                      <w:rFonts w:hint="eastAsia"/>
                      <w:color w:val="000000"/>
                      <w:sz w:val="21"/>
                      <w:szCs w:val="21"/>
                    </w:rPr>
                    <w:t>（</w:t>
                  </w:r>
                  <w:r>
                    <w:rPr>
                      <w:rFonts w:hint="eastAsia"/>
                      <w:sz w:val="21"/>
                      <w:szCs w:val="21"/>
                    </w:rPr>
                    <w:t>TSP</w:t>
                  </w:r>
                  <w:r>
                    <w:rPr>
                      <w:rFonts w:hint="eastAsia"/>
                      <w:color w:val="000000"/>
                      <w:sz w:val="21"/>
                      <w:szCs w:val="21"/>
                    </w:rPr>
                    <w:t>）</w:t>
                  </w:r>
                </w:p>
              </w:tc>
              <w:tc>
                <w:tcPr>
                  <w:tcW w:w="2275" w:type="dxa"/>
                  <w:gridSpan w:val="6"/>
                  <w:vAlign w:val="center"/>
                </w:tcPr>
                <w:p>
                  <w:pPr>
                    <w:spacing w:line="240" w:lineRule="auto"/>
                    <w:jc w:val="center"/>
                    <w:rPr>
                      <w:color w:val="000000"/>
                      <w:sz w:val="21"/>
                      <w:szCs w:val="21"/>
                    </w:rPr>
                  </w:pPr>
                  <w:r>
                    <w:rPr>
                      <w:color w:val="000000"/>
                      <w:sz w:val="21"/>
                      <w:szCs w:val="21"/>
                    </w:rPr>
                    <w:t>包括二次PM</w:t>
                  </w:r>
                  <w:r>
                    <w:rPr>
                      <w:color w:val="000000"/>
                      <w:sz w:val="21"/>
                      <w:szCs w:val="21"/>
                      <w:vertAlign w:val="subscript"/>
                    </w:rPr>
                    <w:t>2.5</w:t>
                  </w:r>
                  <w:r>
                    <w:rPr>
                      <w:rFonts w:eastAsia="仿宋"/>
                      <w:color w:val="000000"/>
                      <w:sz w:val="21"/>
                      <w:szCs w:val="21"/>
                    </w:rPr>
                    <w:t>□</w:t>
                  </w:r>
                </w:p>
                <w:p>
                  <w:pPr>
                    <w:spacing w:line="240" w:lineRule="auto"/>
                    <w:jc w:val="center"/>
                    <w:rPr>
                      <w:color w:val="000000"/>
                      <w:sz w:val="21"/>
                      <w:szCs w:val="21"/>
                    </w:rPr>
                  </w:pPr>
                  <w:r>
                    <w:rPr>
                      <w:color w:val="000000"/>
                      <w:sz w:val="21"/>
                      <w:szCs w:val="21"/>
                    </w:rPr>
                    <w:t>不包括二次PM</w:t>
                  </w:r>
                  <w:r>
                    <w:rPr>
                      <w:color w:val="000000"/>
                      <w:sz w:val="21"/>
                      <w:szCs w:val="21"/>
                      <w:vertAlign w:val="subscript"/>
                    </w:rPr>
                    <w:t>2.5</w:t>
                  </w:r>
                  <w:r>
                    <w:rPr>
                      <w:rFonts w:eastAsia="仿宋"/>
                      <w:color w:val="000000"/>
                      <w:sz w:val="21"/>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 w:hRule="atLeast"/>
                <w:jc w:val="center"/>
              </w:trPr>
              <w:tc>
                <w:tcPr>
                  <w:tcW w:w="935" w:type="dxa"/>
                  <w:vAlign w:val="center"/>
                </w:tcPr>
                <w:p>
                  <w:pPr>
                    <w:spacing w:line="240" w:lineRule="auto"/>
                    <w:jc w:val="center"/>
                    <w:rPr>
                      <w:color w:val="000000"/>
                      <w:sz w:val="21"/>
                      <w:szCs w:val="21"/>
                    </w:rPr>
                  </w:pPr>
                  <w:r>
                    <w:rPr>
                      <w:color w:val="000000"/>
                      <w:sz w:val="21"/>
                      <w:szCs w:val="21"/>
                    </w:rPr>
                    <w:t>评价标准</w:t>
                  </w:r>
                </w:p>
              </w:tc>
              <w:tc>
                <w:tcPr>
                  <w:tcW w:w="1646" w:type="dxa"/>
                  <w:vAlign w:val="center"/>
                </w:tcPr>
                <w:p>
                  <w:pPr>
                    <w:spacing w:line="240" w:lineRule="auto"/>
                    <w:jc w:val="center"/>
                    <w:rPr>
                      <w:color w:val="000000"/>
                      <w:sz w:val="21"/>
                      <w:szCs w:val="21"/>
                    </w:rPr>
                  </w:pPr>
                  <w:r>
                    <w:rPr>
                      <w:color w:val="000000"/>
                      <w:sz w:val="21"/>
                      <w:szCs w:val="21"/>
                    </w:rPr>
                    <w:t>评价标准</w:t>
                  </w:r>
                </w:p>
              </w:tc>
              <w:tc>
                <w:tcPr>
                  <w:tcW w:w="1560" w:type="dxa"/>
                  <w:gridSpan w:val="2"/>
                  <w:vAlign w:val="center"/>
                </w:tcPr>
                <w:p>
                  <w:pPr>
                    <w:spacing w:line="240" w:lineRule="auto"/>
                    <w:jc w:val="center"/>
                    <w:rPr>
                      <w:color w:val="000000"/>
                      <w:sz w:val="21"/>
                      <w:szCs w:val="21"/>
                    </w:rPr>
                  </w:pPr>
                  <w:r>
                    <w:rPr>
                      <w:color w:val="000000"/>
                      <w:sz w:val="21"/>
                      <w:szCs w:val="21"/>
                    </w:rPr>
                    <w:t>国家标准</w:t>
                  </w:r>
                  <w:r>
                    <w:rPr>
                      <w:rFonts w:eastAsia="仿宋"/>
                      <w:color w:val="000000"/>
                      <w:sz w:val="21"/>
                      <w:szCs w:val="21"/>
                    </w:rPr>
                    <w:t>☑</w:t>
                  </w:r>
                </w:p>
              </w:tc>
              <w:tc>
                <w:tcPr>
                  <w:tcW w:w="1417" w:type="dxa"/>
                  <w:gridSpan w:val="2"/>
                  <w:vAlign w:val="center"/>
                </w:tcPr>
                <w:p>
                  <w:pPr>
                    <w:spacing w:line="240" w:lineRule="auto"/>
                    <w:jc w:val="center"/>
                    <w:rPr>
                      <w:color w:val="000000"/>
                      <w:sz w:val="21"/>
                      <w:szCs w:val="21"/>
                    </w:rPr>
                  </w:pPr>
                  <w:r>
                    <w:rPr>
                      <w:color w:val="000000"/>
                      <w:sz w:val="21"/>
                      <w:szCs w:val="21"/>
                    </w:rPr>
                    <w:t>地方标准</w:t>
                  </w:r>
                  <w:r>
                    <w:rPr>
                      <w:rFonts w:eastAsia="仿宋"/>
                      <w:color w:val="000000"/>
                      <w:sz w:val="21"/>
                      <w:szCs w:val="21"/>
                    </w:rPr>
                    <w:t>□</w:t>
                  </w:r>
                </w:p>
              </w:tc>
              <w:tc>
                <w:tcPr>
                  <w:tcW w:w="2424" w:type="dxa"/>
                  <w:gridSpan w:val="5"/>
                  <w:vAlign w:val="center"/>
                </w:tcPr>
                <w:p>
                  <w:pPr>
                    <w:spacing w:line="240" w:lineRule="auto"/>
                    <w:jc w:val="center"/>
                    <w:rPr>
                      <w:color w:val="000000"/>
                      <w:sz w:val="21"/>
                      <w:szCs w:val="21"/>
                    </w:rPr>
                  </w:pPr>
                  <w:r>
                    <w:rPr>
                      <w:color w:val="000000"/>
                      <w:sz w:val="21"/>
                      <w:szCs w:val="21"/>
                    </w:rPr>
                    <w:t xml:space="preserve">附录D </w:t>
                  </w:r>
                  <w:r>
                    <w:rPr>
                      <w:rFonts w:eastAsia="仿宋"/>
                      <w:color w:val="000000"/>
                      <w:sz w:val="21"/>
                      <w:szCs w:val="21"/>
                    </w:rPr>
                    <w:t>□</w:t>
                  </w:r>
                </w:p>
              </w:tc>
              <w:tc>
                <w:tcPr>
                  <w:tcW w:w="1127" w:type="dxa"/>
                  <w:gridSpan w:val="2"/>
                  <w:vAlign w:val="center"/>
                </w:tcPr>
                <w:p>
                  <w:pPr>
                    <w:spacing w:line="240" w:lineRule="auto"/>
                    <w:jc w:val="center"/>
                    <w:rPr>
                      <w:color w:val="000000"/>
                      <w:sz w:val="21"/>
                      <w:szCs w:val="21"/>
                    </w:rPr>
                  </w:pPr>
                  <w:r>
                    <w:rPr>
                      <w:color w:val="000000"/>
                      <w:sz w:val="21"/>
                      <w:szCs w:val="21"/>
                    </w:rPr>
                    <w:t>其他标准</w:t>
                  </w:r>
                  <w:r>
                    <w:rPr>
                      <w:rFonts w:eastAsia="仿宋"/>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 w:hRule="atLeast"/>
                <w:jc w:val="center"/>
              </w:trPr>
              <w:tc>
                <w:tcPr>
                  <w:tcW w:w="935" w:type="dxa"/>
                  <w:vMerge w:val="restart"/>
                  <w:vAlign w:val="center"/>
                </w:tcPr>
                <w:p>
                  <w:pPr>
                    <w:spacing w:line="240" w:lineRule="auto"/>
                    <w:jc w:val="center"/>
                    <w:rPr>
                      <w:color w:val="000000"/>
                      <w:sz w:val="21"/>
                      <w:szCs w:val="21"/>
                    </w:rPr>
                  </w:pPr>
                  <w:r>
                    <w:rPr>
                      <w:color w:val="000000"/>
                      <w:sz w:val="21"/>
                      <w:szCs w:val="21"/>
                    </w:rPr>
                    <w:t>现状</w:t>
                  </w:r>
                </w:p>
                <w:p>
                  <w:pPr>
                    <w:spacing w:line="240" w:lineRule="auto"/>
                    <w:jc w:val="center"/>
                    <w:rPr>
                      <w:color w:val="000000"/>
                      <w:sz w:val="21"/>
                      <w:szCs w:val="21"/>
                    </w:rPr>
                  </w:pPr>
                  <w:r>
                    <w:rPr>
                      <w:color w:val="000000"/>
                      <w:sz w:val="21"/>
                      <w:szCs w:val="21"/>
                    </w:rPr>
                    <w:t>评价</w:t>
                  </w:r>
                </w:p>
              </w:tc>
              <w:tc>
                <w:tcPr>
                  <w:tcW w:w="1646" w:type="dxa"/>
                  <w:vAlign w:val="center"/>
                </w:tcPr>
                <w:p>
                  <w:pPr>
                    <w:spacing w:line="240" w:lineRule="auto"/>
                    <w:jc w:val="center"/>
                    <w:rPr>
                      <w:color w:val="000000"/>
                      <w:sz w:val="21"/>
                      <w:szCs w:val="21"/>
                    </w:rPr>
                  </w:pPr>
                  <w:r>
                    <w:rPr>
                      <w:color w:val="000000"/>
                      <w:sz w:val="21"/>
                      <w:szCs w:val="21"/>
                    </w:rPr>
                    <w:t>环境功能区</w:t>
                  </w:r>
                </w:p>
              </w:tc>
              <w:tc>
                <w:tcPr>
                  <w:tcW w:w="1560" w:type="dxa"/>
                  <w:gridSpan w:val="2"/>
                  <w:vAlign w:val="center"/>
                </w:tcPr>
                <w:p>
                  <w:pPr>
                    <w:spacing w:line="240" w:lineRule="auto"/>
                    <w:jc w:val="center"/>
                    <w:rPr>
                      <w:color w:val="000000"/>
                      <w:sz w:val="21"/>
                      <w:szCs w:val="21"/>
                    </w:rPr>
                  </w:pPr>
                  <w:r>
                    <w:rPr>
                      <w:color w:val="000000"/>
                      <w:sz w:val="21"/>
                      <w:szCs w:val="21"/>
                    </w:rPr>
                    <w:t>一类区</w:t>
                  </w:r>
                  <w:r>
                    <w:rPr>
                      <w:rFonts w:eastAsia="仿宋"/>
                      <w:color w:val="000000"/>
                      <w:sz w:val="21"/>
                      <w:szCs w:val="21"/>
                    </w:rPr>
                    <w:t>□</w:t>
                  </w:r>
                </w:p>
              </w:tc>
              <w:tc>
                <w:tcPr>
                  <w:tcW w:w="1417" w:type="dxa"/>
                  <w:gridSpan w:val="2"/>
                  <w:vAlign w:val="center"/>
                </w:tcPr>
                <w:p>
                  <w:pPr>
                    <w:spacing w:line="240" w:lineRule="auto"/>
                    <w:jc w:val="center"/>
                    <w:rPr>
                      <w:color w:val="000000"/>
                      <w:sz w:val="21"/>
                      <w:szCs w:val="21"/>
                    </w:rPr>
                  </w:pPr>
                  <w:r>
                    <w:rPr>
                      <w:color w:val="000000"/>
                      <w:sz w:val="21"/>
                      <w:szCs w:val="21"/>
                    </w:rPr>
                    <w:t>二类区</w:t>
                  </w:r>
                  <w:r>
                    <w:rPr>
                      <w:rFonts w:eastAsia="仿宋"/>
                      <w:color w:val="000000"/>
                      <w:sz w:val="21"/>
                      <w:szCs w:val="21"/>
                    </w:rPr>
                    <w:t>☑</w:t>
                  </w:r>
                </w:p>
              </w:tc>
              <w:tc>
                <w:tcPr>
                  <w:tcW w:w="3551" w:type="dxa"/>
                  <w:gridSpan w:val="7"/>
                  <w:vAlign w:val="center"/>
                </w:tcPr>
                <w:p>
                  <w:pPr>
                    <w:spacing w:line="240" w:lineRule="auto"/>
                    <w:jc w:val="center"/>
                    <w:rPr>
                      <w:color w:val="000000"/>
                      <w:sz w:val="21"/>
                      <w:szCs w:val="21"/>
                    </w:rPr>
                  </w:pPr>
                  <w:r>
                    <w:rPr>
                      <w:color w:val="000000"/>
                      <w:sz w:val="21"/>
                      <w:szCs w:val="21"/>
                    </w:rPr>
                    <w:t>一类区和二类区</w:t>
                  </w:r>
                  <w:r>
                    <w:rPr>
                      <w:rFonts w:eastAsia="仿宋"/>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 w:hRule="atLeast"/>
                <w:jc w:val="center"/>
              </w:trPr>
              <w:tc>
                <w:tcPr>
                  <w:tcW w:w="935" w:type="dxa"/>
                  <w:vMerge w:val="continue"/>
                  <w:vAlign w:val="center"/>
                </w:tcPr>
                <w:p>
                  <w:pPr>
                    <w:spacing w:line="240" w:lineRule="auto"/>
                    <w:jc w:val="center"/>
                    <w:rPr>
                      <w:color w:val="000000"/>
                      <w:sz w:val="21"/>
                      <w:szCs w:val="21"/>
                    </w:rPr>
                  </w:pPr>
                </w:p>
              </w:tc>
              <w:tc>
                <w:tcPr>
                  <w:tcW w:w="1646" w:type="dxa"/>
                  <w:vAlign w:val="center"/>
                </w:tcPr>
                <w:p>
                  <w:pPr>
                    <w:spacing w:line="240" w:lineRule="auto"/>
                    <w:jc w:val="center"/>
                    <w:rPr>
                      <w:color w:val="000000"/>
                      <w:sz w:val="21"/>
                      <w:szCs w:val="21"/>
                    </w:rPr>
                  </w:pPr>
                  <w:r>
                    <w:rPr>
                      <w:color w:val="000000"/>
                      <w:sz w:val="21"/>
                      <w:szCs w:val="21"/>
                    </w:rPr>
                    <w:t>评价基准年</w:t>
                  </w:r>
                </w:p>
              </w:tc>
              <w:tc>
                <w:tcPr>
                  <w:tcW w:w="6528" w:type="dxa"/>
                  <w:gridSpan w:val="11"/>
                  <w:vAlign w:val="center"/>
                </w:tcPr>
                <w:p>
                  <w:pPr>
                    <w:spacing w:line="240" w:lineRule="auto"/>
                    <w:jc w:val="center"/>
                    <w:rPr>
                      <w:color w:val="000000"/>
                      <w:sz w:val="21"/>
                      <w:szCs w:val="21"/>
                    </w:rPr>
                  </w:pPr>
                  <w:r>
                    <w:rPr>
                      <w:color w:val="000000"/>
                      <w:sz w:val="21"/>
                      <w:szCs w:val="21"/>
                    </w:rPr>
                    <w:t>（20</w:t>
                  </w:r>
                  <w:r>
                    <w:rPr>
                      <w:rFonts w:hint="eastAsia"/>
                      <w:color w:val="000000"/>
                      <w:sz w:val="21"/>
                      <w:szCs w:val="21"/>
                    </w:rPr>
                    <w:t>19</w:t>
                  </w:r>
                  <w:r>
                    <w:rPr>
                      <w:color w:val="00000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 w:hRule="atLeast"/>
                <w:jc w:val="center"/>
              </w:trPr>
              <w:tc>
                <w:tcPr>
                  <w:tcW w:w="935" w:type="dxa"/>
                  <w:vMerge w:val="continue"/>
                  <w:vAlign w:val="center"/>
                </w:tcPr>
                <w:p>
                  <w:pPr>
                    <w:spacing w:line="240" w:lineRule="auto"/>
                    <w:jc w:val="center"/>
                    <w:rPr>
                      <w:color w:val="000000"/>
                      <w:sz w:val="21"/>
                      <w:szCs w:val="21"/>
                    </w:rPr>
                  </w:pPr>
                </w:p>
              </w:tc>
              <w:tc>
                <w:tcPr>
                  <w:tcW w:w="1646" w:type="dxa"/>
                  <w:vAlign w:val="center"/>
                </w:tcPr>
                <w:p>
                  <w:pPr>
                    <w:spacing w:line="240" w:lineRule="auto"/>
                    <w:jc w:val="center"/>
                    <w:rPr>
                      <w:color w:val="000000"/>
                      <w:sz w:val="21"/>
                      <w:szCs w:val="21"/>
                    </w:rPr>
                  </w:pPr>
                  <w:r>
                    <w:rPr>
                      <w:color w:val="000000"/>
                      <w:sz w:val="21"/>
                      <w:szCs w:val="21"/>
                    </w:rPr>
                    <w:t>环境空气质量现状调查数据来源</w:t>
                  </w:r>
                </w:p>
              </w:tc>
              <w:tc>
                <w:tcPr>
                  <w:tcW w:w="1560" w:type="dxa"/>
                  <w:gridSpan w:val="2"/>
                  <w:vAlign w:val="center"/>
                </w:tcPr>
                <w:p>
                  <w:pPr>
                    <w:spacing w:line="240" w:lineRule="auto"/>
                    <w:jc w:val="center"/>
                    <w:rPr>
                      <w:color w:val="000000"/>
                      <w:sz w:val="21"/>
                      <w:szCs w:val="21"/>
                    </w:rPr>
                  </w:pPr>
                  <w:r>
                    <w:rPr>
                      <w:color w:val="000000"/>
                      <w:sz w:val="21"/>
                      <w:szCs w:val="21"/>
                    </w:rPr>
                    <w:t>长期例行监测数据</w:t>
                  </w:r>
                  <w:r>
                    <w:rPr>
                      <w:rFonts w:eastAsia="仿宋"/>
                      <w:color w:val="000000"/>
                      <w:sz w:val="21"/>
                      <w:szCs w:val="21"/>
                    </w:rPr>
                    <w:t>□</w:t>
                  </w:r>
                </w:p>
              </w:tc>
              <w:tc>
                <w:tcPr>
                  <w:tcW w:w="3524" w:type="dxa"/>
                  <w:gridSpan w:val="5"/>
                  <w:vAlign w:val="center"/>
                </w:tcPr>
                <w:p>
                  <w:pPr>
                    <w:spacing w:line="240" w:lineRule="auto"/>
                    <w:jc w:val="center"/>
                    <w:rPr>
                      <w:color w:val="000000"/>
                      <w:sz w:val="21"/>
                      <w:szCs w:val="21"/>
                    </w:rPr>
                  </w:pPr>
                  <w:r>
                    <w:rPr>
                      <w:color w:val="000000"/>
                      <w:sz w:val="21"/>
                      <w:szCs w:val="21"/>
                    </w:rPr>
                    <w:t>主管部门发布的数据</w:t>
                  </w:r>
                  <w:r>
                    <w:rPr>
                      <w:rFonts w:eastAsia="仿宋"/>
                      <w:color w:val="000000"/>
                      <w:sz w:val="21"/>
                      <w:szCs w:val="21"/>
                    </w:rPr>
                    <w:t>☑</w:t>
                  </w:r>
                </w:p>
              </w:tc>
              <w:tc>
                <w:tcPr>
                  <w:tcW w:w="1444" w:type="dxa"/>
                  <w:gridSpan w:val="4"/>
                  <w:vAlign w:val="center"/>
                </w:tcPr>
                <w:p>
                  <w:pPr>
                    <w:spacing w:line="240" w:lineRule="auto"/>
                    <w:jc w:val="center"/>
                    <w:rPr>
                      <w:color w:val="000000"/>
                      <w:sz w:val="21"/>
                      <w:szCs w:val="21"/>
                    </w:rPr>
                  </w:pPr>
                  <w:r>
                    <w:rPr>
                      <w:color w:val="000000"/>
                      <w:sz w:val="21"/>
                      <w:szCs w:val="21"/>
                    </w:rPr>
                    <w:t>现状补充监测</w:t>
                  </w:r>
                  <w:r>
                    <w:rPr>
                      <w:rFonts w:eastAsia="仿宋"/>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 w:hRule="atLeast"/>
                <w:jc w:val="center"/>
              </w:trPr>
              <w:tc>
                <w:tcPr>
                  <w:tcW w:w="935" w:type="dxa"/>
                  <w:vMerge w:val="continue"/>
                  <w:vAlign w:val="center"/>
                </w:tcPr>
                <w:p>
                  <w:pPr>
                    <w:spacing w:line="240" w:lineRule="auto"/>
                    <w:jc w:val="center"/>
                    <w:rPr>
                      <w:color w:val="000000"/>
                      <w:sz w:val="21"/>
                      <w:szCs w:val="21"/>
                    </w:rPr>
                  </w:pPr>
                </w:p>
              </w:tc>
              <w:tc>
                <w:tcPr>
                  <w:tcW w:w="1646" w:type="dxa"/>
                  <w:vAlign w:val="center"/>
                </w:tcPr>
                <w:p>
                  <w:pPr>
                    <w:spacing w:line="240" w:lineRule="auto"/>
                    <w:jc w:val="center"/>
                    <w:rPr>
                      <w:color w:val="000000"/>
                      <w:sz w:val="21"/>
                      <w:szCs w:val="21"/>
                    </w:rPr>
                  </w:pPr>
                  <w:r>
                    <w:rPr>
                      <w:color w:val="000000"/>
                      <w:sz w:val="21"/>
                      <w:szCs w:val="21"/>
                    </w:rPr>
                    <w:t>现状评价</w:t>
                  </w:r>
                </w:p>
              </w:tc>
              <w:tc>
                <w:tcPr>
                  <w:tcW w:w="2977" w:type="dxa"/>
                  <w:gridSpan w:val="4"/>
                  <w:vAlign w:val="center"/>
                </w:tcPr>
                <w:p>
                  <w:pPr>
                    <w:spacing w:line="240" w:lineRule="auto"/>
                    <w:jc w:val="center"/>
                    <w:rPr>
                      <w:color w:val="000000"/>
                      <w:sz w:val="21"/>
                      <w:szCs w:val="21"/>
                    </w:rPr>
                  </w:pPr>
                  <w:r>
                    <w:rPr>
                      <w:color w:val="000000"/>
                      <w:sz w:val="21"/>
                      <w:szCs w:val="21"/>
                    </w:rPr>
                    <w:t>达标区</w:t>
                  </w:r>
                  <w:r>
                    <w:rPr>
                      <w:rFonts w:eastAsia="仿宋"/>
                      <w:color w:val="000000"/>
                      <w:sz w:val="21"/>
                      <w:szCs w:val="21"/>
                    </w:rPr>
                    <w:t>□</w:t>
                  </w:r>
                </w:p>
              </w:tc>
              <w:tc>
                <w:tcPr>
                  <w:tcW w:w="3551" w:type="dxa"/>
                  <w:gridSpan w:val="7"/>
                  <w:vAlign w:val="center"/>
                </w:tcPr>
                <w:p>
                  <w:pPr>
                    <w:spacing w:line="240" w:lineRule="auto"/>
                    <w:jc w:val="center"/>
                    <w:rPr>
                      <w:color w:val="000000"/>
                      <w:sz w:val="21"/>
                      <w:szCs w:val="21"/>
                    </w:rPr>
                  </w:pPr>
                  <w:r>
                    <w:rPr>
                      <w:color w:val="000000"/>
                      <w:sz w:val="21"/>
                      <w:szCs w:val="21"/>
                    </w:rPr>
                    <w:t>不达标区</w:t>
                  </w:r>
                  <w:r>
                    <w:rPr>
                      <w:rFonts w:eastAsia="仿宋"/>
                      <w:color w:val="000000"/>
                      <w:sz w:val="21"/>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 w:hRule="atLeast"/>
                <w:jc w:val="center"/>
              </w:trPr>
              <w:tc>
                <w:tcPr>
                  <w:tcW w:w="935" w:type="dxa"/>
                  <w:vAlign w:val="center"/>
                </w:tcPr>
                <w:p>
                  <w:pPr>
                    <w:spacing w:line="240" w:lineRule="auto"/>
                    <w:jc w:val="center"/>
                    <w:rPr>
                      <w:color w:val="000000"/>
                      <w:sz w:val="21"/>
                      <w:szCs w:val="21"/>
                    </w:rPr>
                  </w:pPr>
                  <w:r>
                    <w:rPr>
                      <w:color w:val="000000"/>
                      <w:sz w:val="21"/>
                      <w:szCs w:val="21"/>
                    </w:rPr>
                    <w:t>污染源</w:t>
                  </w:r>
                  <w:r>
                    <w:rPr>
                      <w:color w:val="000000"/>
                      <w:sz w:val="21"/>
                      <w:szCs w:val="21"/>
                    </w:rPr>
                    <w:br w:type="textWrapping"/>
                  </w:r>
                  <w:r>
                    <w:rPr>
                      <w:color w:val="000000"/>
                      <w:sz w:val="21"/>
                      <w:szCs w:val="21"/>
                    </w:rPr>
                    <w:t>调查</w:t>
                  </w:r>
                </w:p>
              </w:tc>
              <w:tc>
                <w:tcPr>
                  <w:tcW w:w="1646" w:type="dxa"/>
                  <w:vAlign w:val="center"/>
                </w:tcPr>
                <w:p>
                  <w:pPr>
                    <w:spacing w:line="240" w:lineRule="auto"/>
                    <w:jc w:val="center"/>
                    <w:rPr>
                      <w:color w:val="000000"/>
                      <w:sz w:val="21"/>
                      <w:szCs w:val="21"/>
                    </w:rPr>
                  </w:pPr>
                  <w:r>
                    <w:rPr>
                      <w:color w:val="000000"/>
                      <w:sz w:val="21"/>
                      <w:szCs w:val="21"/>
                    </w:rPr>
                    <w:t>调查内容</w:t>
                  </w:r>
                </w:p>
              </w:tc>
              <w:tc>
                <w:tcPr>
                  <w:tcW w:w="2009" w:type="dxa"/>
                  <w:gridSpan w:val="3"/>
                  <w:vAlign w:val="center"/>
                </w:tcPr>
                <w:p>
                  <w:pPr>
                    <w:spacing w:line="240" w:lineRule="auto"/>
                    <w:rPr>
                      <w:color w:val="000000"/>
                      <w:sz w:val="21"/>
                      <w:szCs w:val="21"/>
                    </w:rPr>
                  </w:pPr>
                  <w:r>
                    <w:rPr>
                      <w:color w:val="000000"/>
                      <w:sz w:val="21"/>
                      <w:szCs w:val="21"/>
                    </w:rPr>
                    <w:t xml:space="preserve">本项目正常排放源 </w:t>
                  </w:r>
                  <w:r>
                    <w:rPr>
                      <w:rFonts w:eastAsia="仿宋"/>
                      <w:color w:val="000000"/>
                      <w:sz w:val="21"/>
                      <w:szCs w:val="21"/>
                    </w:rPr>
                    <w:t>□</w:t>
                  </w:r>
                </w:p>
                <w:p>
                  <w:pPr>
                    <w:spacing w:line="240" w:lineRule="auto"/>
                    <w:rPr>
                      <w:color w:val="000000"/>
                      <w:sz w:val="21"/>
                      <w:szCs w:val="21"/>
                    </w:rPr>
                  </w:pPr>
                  <w:r>
                    <w:rPr>
                      <w:color w:val="000000"/>
                      <w:sz w:val="21"/>
                      <w:szCs w:val="21"/>
                    </w:rPr>
                    <w:t>本项目非正常排放源</w:t>
                  </w:r>
                  <w:r>
                    <w:rPr>
                      <w:rFonts w:eastAsia="仿宋"/>
                      <w:color w:val="000000"/>
                      <w:sz w:val="21"/>
                      <w:szCs w:val="21"/>
                    </w:rPr>
                    <w:t>□</w:t>
                  </w:r>
                </w:p>
                <w:p>
                  <w:pPr>
                    <w:spacing w:line="240" w:lineRule="auto"/>
                    <w:jc w:val="center"/>
                    <w:rPr>
                      <w:color w:val="000000"/>
                      <w:sz w:val="21"/>
                      <w:szCs w:val="21"/>
                    </w:rPr>
                  </w:pPr>
                  <w:r>
                    <w:rPr>
                      <w:color w:val="000000"/>
                      <w:sz w:val="21"/>
                      <w:szCs w:val="21"/>
                    </w:rPr>
                    <w:t>现有污染源</w:t>
                  </w:r>
                  <w:r>
                    <w:rPr>
                      <w:rFonts w:eastAsia="仿宋"/>
                      <w:color w:val="000000"/>
                      <w:sz w:val="21"/>
                      <w:szCs w:val="21"/>
                    </w:rPr>
                    <w:t>□</w:t>
                  </w:r>
                </w:p>
              </w:tc>
              <w:tc>
                <w:tcPr>
                  <w:tcW w:w="968" w:type="dxa"/>
                  <w:vAlign w:val="center"/>
                </w:tcPr>
                <w:p>
                  <w:pPr>
                    <w:spacing w:line="240" w:lineRule="auto"/>
                    <w:jc w:val="center"/>
                    <w:rPr>
                      <w:color w:val="000000"/>
                      <w:sz w:val="21"/>
                      <w:szCs w:val="21"/>
                    </w:rPr>
                  </w:pPr>
                  <w:r>
                    <w:rPr>
                      <w:color w:val="000000"/>
                      <w:sz w:val="21"/>
                      <w:szCs w:val="21"/>
                    </w:rPr>
                    <w:t>拟替代的污染源</w:t>
                  </w:r>
                  <w:r>
                    <w:rPr>
                      <w:rFonts w:eastAsia="仿宋"/>
                      <w:color w:val="000000"/>
                      <w:sz w:val="21"/>
                      <w:szCs w:val="21"/>
                    </w:rPr>
                    <w:t>□</w:t>
                  </w:r>
                </w:p>
              </w:tc>
              <w:tc>
                <w:tcPr>
                  <w:tcW w:w="2107" w:type="dxa"/>
                  <w:gridSpan w:val="3"/>
                  <w:vAlign w:val="center"/>
                </w:tcPr>
                <w:p>
                  <w:pPr>
                    <w:spacing w:line="240" w:lineRule="auto"/>
                    <w:jc w:val="center"/>
                    <w:rPr>
                      <w:color w:val="000000"/>
                      <w:sz w:val="21"/>
                      <w:szCs w:val="21"/>
                    </w:rPr>
                  </w:pPr>
                  <w:r>
                    <w:rPr>
                      <w:color w:val="000000"/>
                      <w:sz w:val="21"/>
                      <w:szCs w:val="21"/>
                    </w:rPr>
                    <w:t>其他在建、拟建项目</w:t>
                  </w:r>
                </w:p>
                <w:p>
                  <w:pPr>
                    <w:spacing w:line="240" w:lineRule="auto"/>
                    <w:jc w:val="center"/>
                    <w:rPr>
                      <w:color w:val="000000"/>
                      <w:sz w:val="21"/>
                      <w:szCs w:val="21"/>
                    </w:rPr>
                  </w:pPr>
                  <w:r>
                    <w:rPr>
                      <w:color w:val="000000"/>
                      <w:sz w:val="21"/>
                      <w:szCs w:val="21"/>
                    </w:rPr>
                    <w:t>污染源</w:t>
                  </w:r>
                  <w:r>
                    <w:rPr>
                      <w:rFonts w:eastAsia="仿宋"/>
                      <w:color w:val="000000"/>
                      <w:sz w:val="21"/>
                      <w:szCs w:val="21"/>
                    </w:rPr>
                    <w:t>□</w:t>
                  </w:r>
                </w:p>
              </w:tc>
              <w:tc>
                <w:tcPr>
                  <w:tcW w:w="1444" w:type="dxa"/>
                  <w:gridSpan w:val="4"/>
                  <w:vAlign w:val="center"/>
                </w:tcPr>
                <w:p>
                  <w:pPr>
                    <w:spacing w:line="240" w:lineRule="auto"/>
                    <w:rPr>
                      <w:color w:val="000000"/>
                      <w:sz w:val="21"/>
                      <w:szCs w:val="21"/>
                    </w:rPr>
                  </w:pPr>
                  <w:r>
                    <w:rPr>
                      <w:color w:val="000000"/>
                      <w:sz w:val="21"/>
                      <w:szCs w:val="21"/>
                    </w:rPr>
                    <w:t>区域污染源</w:t>
                  </w:r>
                  <w:r>
                    <w:rPr>
                      <w:rFonts w:eastAsia="仿宋"/>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 w:hRule="atLeast"/>
                <w:jc w:val="center"/>
              </w:trPr>
              <w:tc>
                <w:tcPr>
                  <w:tcW w:w="935" w:type="dxa"/>
                  <w:vMerge w:val="restart"/>
                  <w:vAlign w:val="center"/>
                </w:tcPr>
                <w:p>
                  <w:pPr>
                    <w:spacing w:line="240" w:lineRule="auto"/>
                    <w:jc w:val="center"/>
                    <w:rPr>
                      <w:color w:val="000000"/>
                      <w:sz w:val="21"/>
                      <w:szCs w:val="21"/>
                    </w:rPr>
                  </w:pPr>
                  <w:r>
                    <w:rPr>
                      <w:color w:val="000000"/>
                      <w:sz w:val="21"/>
                      <w:szCs w:val="21"/>
                    </w:rPr>
                    <w:t>大气环境影响预测</w:t>
                  </w:r>
                  <w:r>
                    <w:rPr>
                      <w:rFonts w:hint="eastAsia"/>
                      <w:color w:val="000000"/>
                      <w:sz w:val="21"/>
                      <w:szCs w:val="21"/>
                    </w:rPr>
                    <w:t>与</w:t>
                  </w:r>
                  <w:r>
                    <w:rPr>
                      <w:color w:val="000000"/>
                      <w:sz w:val="21"/>
                      <w:szCs w:val="21"/>
                    </w:rPr>
                    <w:t>评价</w:t>
                  </w:r>
                </w:p>
              </w:tc>
              <w:tc>
                <w:tcPr>
                  <w:tcW w:w="1646" w:type="dxa"/>
                  <w:vAlign w:val="center"/>
                </w:tcPr>
                <w:p>
                  <w:pPr>
                    <w:spacing w:line="240" w:lineRule="auto"/>
                    <w:jc w:val="center"/>
                    <w:rPr>
                      <w:color w:val="000000"/>
                      <w:sz w:val="21"/>
                      <w:szCs w:val="21"/>
                    </w:rPr>
                  </w:pPr>
                  <w:r>
                    <w:rPr>
                      <w:color w:val="000000"/>
                      <w:sz w:val="21"/>
                      <w:szCs w:val="21"/>
                    </w:rPr>
                    <w:t>预测模型</w:t>
                  </w:r>
                </w:p>
              </w:tc>
              <w:tc>
                <w:tcPr>
                  <w:tcW w:w="889" w:type="dxa"/>
                  <w:vAlign w:val="center"/>
                </w:tcPr>
                <w:p>
                  <w:pPr>
                    <w:spacing w:line="240" w:lineRule="auto"/>
                    <w:jc w:val="center"/>
                    <w:rPr>
                      <w:color w:val="000000"/>
                      <w:sz w:val="21"/>
                      <w:szCs w:val="21"/>
                    </w:rPr>
                  </w:pPr>
                  <w:r>
                    <w:rPr>
                      <w:color w:val="000000"/>
                      <w:sz w:val="21"/>
                      <w:szCs w:val="21"/>
                    </w:rPr>
                    <w:t>AERMOD</w:t>
                  </w:r>
                  <w:r>
                    <w:rPr>
                      <w:color w:val="000000"/>
                      <w:sz w:val="21"/>
                      <w:szCs w:val="21"/>
                    </w:rPr>
                    <w:br w:type="textWrapping"/>
                  </w:r>
                  <w:r>
                    <w:rPr>
                      <w:rFonts w:eastAsia="仿宋"/>
                      <w:color w:val="000000"/>
                      <w:sz w:val="21"/>
                      <w:szCs w:val="21"/>
                    </w:rPr>
                    <w:t>□</w:t>
                  </w:r>
                </w:p>
              </w:tc>
              <w:tc>
                <w:tcPr>
                  <w:tcW w:w="671" w:type="dxa"/>
                  <w:vAlign w:val="center"/>
                </w:tcPr>
                <w:p>
                  <w:pPr>
                    <w:spacing w:line="240" w:lineRule="auto"/>
                    <w:jc w:val="center"/>
                    <w:rPr>
                      <w:color w:val="000000"/>
                      <w:sz w:val="21"/>
                      <w:szCs w:val="21"/>
                    </w:rPr>
                  </w:pPr>
                  <w:r>
                    <w:rPr>
                      <w:color w:val="000000"/>
                      <w:sz w:val="21"/>
                      <w:szCs w:val="21"/>
                    </w:rPr>
                    <w:t>ADMS</w:t>
                  </w:r>
                </w:p>
                <w:p>
                  <w:pPr>
                    <w:spacing w:line="240" w:lineRule="auto"/>
                    <w:jc w:val="center"/>
                    <w:rPr>
                      <w:color w:val="000000"/>
                      <w:sz w:val="21"/>
                      <w:szCs w:val="21"/>
                    </w:rPr>
                  </w:pPr>
                  <w:r>
                    <w:rPr>
                      <w:rFonts w:eastAsia="仿宋"/>
                      <w:color w:val="000000"/>
                      <w:sz w:val="21"/>
                      <w:szCs w:val="21"/>
                    </w:rPr>
                    <w:t>□</w:t>
                  </w:r>
                </w:p>
              </w:tc>
              <w:tc>
                <w:tcPr>
                  <w:tcW w:w="1417" w:type="dxa"/>
                  <w:gridSpan w:val="2"/>
                  <w:vAlign w:val="center"/>
                </w:tcPr>
                <w:p>
                  <w:pPr>
                    <w:spacing w:line="240" w:lineRule="auto"/>
                    <w:jc w:val="center"/>
                    <w:rPr>
                      <w:color w:val="000000"/>
                      <w:sz w:val="21"/>
                      <w:szCs w:val="21"/>
                    </w:rPr>
                  </w:pPr>
                  <w:r>
                    <w:rPr>
                      <w:color w:val="000000"/>
                      <w:sz w:val="21"/>
                      <w:szCs w:val="21"/>
                    </w:rPr>
                    <w:t>AUSTAL2000</w:t>
                  </w:r>
                  <w:r>
                    <w:rPr>
                      <w:color w:val="000000"/>
                      <w:sz w:val="21"/>
                      <w:szCs w:val="21"/>
                    </w:rPr>
                    <w:br w:type="textWrapping"/>
                  </w:r>
                  <w:r>
                    <w:rPr>
                      <w:rFonts w:eastAsia="仿宋"/>
                      <w:color w:val="000000"/>
                      <w:sz w:val="21"/>
                      <w:szCs w:val="21"/>
                    </w:rPr>
                    <w:t>□</w:t>
                  </w:r>
                </w:p>
              </w:tc>
              <w:tc>
                <w:tcPr>
                  <w:tcW w:w="1276" w:type="dxa"/>
                  <w:vAlign w:val="center"/>
                </w:tcPr>
                <w:p>
                  <w:pPr>
                    <w:spacing w:line="240" w:lineRule="auto"/>
                    <w:jc w:val="center"/>
                    <w:rPr>
                      <w:color w:val="000000"/>
                      <w:sz w:val="21"/>
                      <w:szCs w:val="21"/>
                    </w:rPr>
                  </w:pPr>
                  <w:r>
                    <w:rPr>
                      <w:color w:val="000000"/>
                      <w:sz w:val="21"/>
                      <w:szCs w:val="21"/>
                    </w:rPr>
                    <w:t>EDMS/AEDT</w:t>
                  </w:r>
                  <w:r>
                    <w:rPr>
                      <w:color w:val="000000"/>
                      <w:sz w:val="21"/>
                      <w:szCs w:val="21"/>
                    </w:rPr>
                    <w:br w:type="textWrapping"/>
                  </w:r>
                  <w:r>
                    <w:rPr>
                      <w:rFonts w:eastAsia="仿宋"/>
                      <w:color w:val="000000"/>
                      <w:sz w:val="21"/>
                      <w:szCs w:val="21"/>
                    </w:rPr>
                    <w:t>□</w:t>
                  </w:r>
                </w:p>
              </w:tc>
              <w:tc>
                <w:tcPr>
                  <w:tcW w:w="992" w:type="dxa"/>
                  <w:gridSpan w:val="3"/>
                  <w:vAlign w:val="center"/>
                </w:tcPr>
                <w:p>
                  <w:pPr>
                    <w:spacing w:line="240" w:lineRule="auto"/>
                    <w:jc w:val="center"/>
                    <w:rPr>
                      <w:color w:val="000000"/>
                      <w:sz w:val="21"/>
                      <w:szCs w:val="21"/>
                    </w:rPr>
                  </w:pPr>
                  <w:r>
                    <w:rPr>
                      <w:color w:val="000000"/>
                      <w:sz w:val="21"/>
                      <w:szCs w:val="21"/>
                    </w:rPr>
                    <w:t>CALPUFF</w:t>
                  </w:r>
                  <w:r>
                    <w:rPr>
                      <w:color w:val="000000"/>
                      <w:sz w:val="21"/>
                      <w:szCs w:val="21"/>
                    </w:rPr>
                    <w:br w:type="textWrapping"/>
                  </w:r>
                  <w:r>
                    <w:rPr>
                      <w:rFonts w:eastAsia="仿宋"/>
                      <w:color w:val="000000"/>
                      <w:sz w:val="21"/>
                      <w:szCs w:val="21"/>
                    </w:rPr>
                    <w:t>□</w:t>
                  </w:r>
                </w:p>
              </w:tc>
              <w:tc>
                <w:tcPr>
                  <w:tcW w:w="709" w:type="dxa"/>
                  <w:gridSpan w:val="2"/>
                  <w:vAlign w:val="center"/>
                </w:tcPr>
                <w:p>
                  <w:pPr>
                    <w:spacing w:line="240" w:lineRule="auto"/>
                    <w:jc w:val="center"/>
                    <w:rPr>
                      <w:color w:val="000000"/>
                      <w:sz w:val="21"/>
                      <w:szCs w:val="21"/>
                    </w:rPr>
                  </w:pPr>
                  <w:r>
                    <w:rPr>
                      <w:color w:val="000000"/>
                      <w:sz w:val="21"/>
                      <w:szCs w:val="21"/>
                    </w:rPr>
                    <w:t>网格模型</w:t>
                  </w:r>
                  <w:r>
                    <w:rPr>
                      <w:rFonts w:eastAsia="仿宋"/>
                      <w:color w:val="000000"/>
                      <w:sz w:val="21"/>
                      <w:szCs w:val="21"/>
                    </w:rPr>
                    <w:t>□</w:t>
                  </w:r>
                </w:p>
              </w:tc>
              <w:tc>
                <w:tcPr>
                  <w:tcW w:w="574" w:type="dxa"/>
                  <w:vAlign w:val="center"/>
                </w:tcPr>
                <w:p>
                  <w:pPr>
                    <w:spacing w:line="240" w:lineRule="auto"/>
                    <w:jc w:val="center"/>
                    <w:rPr>
                      <w:color w:val="000000"/>
                      <w:sz w:val="21"/>
                      <w:szCs w:val="21"/>
                    </w:rPr>
                  </w:pPr>
                  <w:r>
                    <w:rPr>
                      <w:color w:val="000000"/>
                      <w:sz w:val="21"/>
                      <w:szCs w:val="21"/>
                    </w:rPr>
                    <w:t>其他</w:t>
                  </w:r>
                  <w:r>
                    <w:rPr>
                      <w:rFonts w:eastAsia="仿宋"/>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 w:hRule="atLeast"/>
                <w:jc w:val="center"/>
              </w:trPr>
              <w:tc>
                <w:tcPr>
                  <w:tcW w:w="935" w:type="dxa"/>
                  <w:vMerge w:val="continue"/>
                  <w:vAlign w:val="center"/>
                </w:tcPr>
                <w:p>
                  <w:pPr>
                    <w:spacing w:line="240" w:lineRule="auto"/>
                    <w:jc w:val="center"/>
                    <w:rPr>
                      <w:color w:val="000000"/>
                      <w:sz w:val="21"/>
                      <w:szCs w:val="21"/>
                    </w:rPr>
                  </w:pPr>
                </w:p>
              </w:tc>
              <w:tc>
                <w:tcPr>
                  <w:tcW w:w="1646" w:type="dxa"/>
                  <w:vAlign w:val="center"/>
                </w:tcPr>
                <w:p>
                  <w:pPr>
                    <w:spacing w:line="240" w:lineRule="auto"/>
                    <w:jc w:val="center"/>
                    <w:rPr>
                      <w:color w:val="000000"/>
                      <w:sz w:val="21"/>
                      <w:szCs w:val="21"/>
                    </w:rPr>
                  </w:pPr>
                  <w:r>
                    <w:rPr>
                      <w:color w:val="000000"/>
                      <w:sz w:val="21"/>
                      <w:szCs w:val="21"/>
                    </w:rPr>
                    <w:t>预测范围</w:t>
                  </w:r>
                </w:p>
              </w:tc>
              <w:tc>
                <w:tcPr>
                  <w:tcW w:w="1560" w:type="dxa"/>
                  <w:gridSpan w:val="2"/>
                  <w:vAlign w:val="center"/>
                </w:tcPr>
                <w:p>
                  <w:pPr>
                    <w:spacing w:line="240" w:lineRule="auto"/>
                    <w:jc w:val="center"/>
                    <w:rPr>
                      <w:color w:val="000000"/>
                      <w:sz w:val="21"/>
                      <w:szCs w:val="21"/>
                    </w:rPr>
                  </w:pPr>
                  <w:r>
                    <w:rPr>
                      <w:color w:val="000000"/>
                      <w:sz w:val="21"/>
                      <w:szCs w:val="21"/>
                    </w:rPr>
                    <w:t>边长</w:t>
                  </w:r>
                  <w:r>
                    <w:rPr>
                      <w:rFonts w:eastAsia="仿宋"/>
                      <w:color w:val="000000"/>
                      <w:sz w:val="21"/>
                      <w:szCs w:val="21"/>
                    </w:rPr>
                    <w:t>≥</w:t>
                  </w:r>
                  <w:r>
                    <w:rPr>
                      <w:color w:val="000000"/>
                      <w:sz w:val="21"/>
                      <w:szCs w:val="21"/>
                    </w:rPr>
                    <w:t xml:space="preserve"> 50km</w:t>
                  </w:r>
                  <w:r>
                    <w:rPr>
                      <w:rFonts w:eastAsia="仿宋"/>
                      <w:color w:val="000000"/>
                      <w:sz w:val="21"/>
                      <w:szCs w:val="21"/>
                    </w:rPr>
                    <w:t>□</w:t>
                  </w:r>
                </w:p>
              </w:tc>
              <w:tc>
                <w:tcPr>
                  <w:tcW w:w="3485" w:type="dxa"/>
                  <w:gridSpan w:val="4"/>
                  <w:vAlign w:val="center"/>
                </w:tcPr>
                <w:p>
                  <w:pPr>
                    <w:spacing w:line="240" w:lineRule="auto"/>
                    <w:jc w:val="center"/>
                    <w:rPr>
                      <w:color w:val="000000"/>
                      <w:sz w:val="21"/>
                      <w:szCs w:val="21"/>
                    </w:rPr>
                  </w:pPr>
                  <w:r>
                    <w:rPr>
                      <w:color w:val="000000"/>
                      <w:sz w:val="21"/>
                      <w:szCs w:val="21"/>
                    </w:rPr>
                    <w:t xml:space="preserve">边长5～50km </w:t>
                  </w:r>
                  <w:r>
                    <w:rPr>
                      <w:rFonts w:eastAsia="仿宋"/>
                      <w:color w:val="000000"/>
                      <w:sz w:val="21"/>
                      <w:szCs w:val="21"/>
                    </w:rPr>
                    <w:t>□</w:t>
                  </w:r>
                </w:p>
              </w:tc>
              <w:tc>
                <w:tcPr>
                  <w:tcW w:w="1483" w:type="dxa"/>
                  <w:gridSpan w:val="5"/>
                  <w:vAlign w:val="center"/>
                </w:tcPr>
                <w:p>
                  <w:pPr>
                    <w:spacing w:line="240" w:lineRule="auto"/>
                    <w:jc w:val="center"/>
                    <w:rPr>
                      <w:color w:val="000000"/>
                      <w:sz w:val="21"/>
                      <w:szCs w:val="21"/>
                    </w:rPr>
                  </w:pPr>
                  <w:r>
                    <w:rPr>
                      <w:color w:val="000000"/>
                      <w:sz w:val="21"/>
                      <w:szCs w:val="21"/>
                    </w:rPr>
                    <w:t>边长= 5 km</w:t>
                  </w:r>
                  <w:r>
                    <w:rPr>
                      <w:rFonts w:eastAsia="仿宋"/>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3" w:hRule="atLeast"/>
                <w:jc w:val="center"/>
              </w:trPr>
              <w:tc>
                <w:tcPr>
                  <w:tcW w:w="935" w:type="dxa"/>
                  <w:vMerge w:val="continue"/>
                  <w:vAlign w:val="center"/>
                </w:tcPr>
                <w:p>
                  <w:pPr>
                    <w:spacing w:line="240" w:lineRule="auto"/>
                    <w:jc w:val="center"/>
                    <w:rPr>
                      <w:color w:val="000000"/>
                      <w:sz w:val="21"/>
                      <w:szCs w:val="21"/>
                    </w:rPr>
                  </w:pPr>
                </w:p>
              </w:tc>
              <w:tc>
                <w:tcPr>
                  <w:tcW w:w="1646" w:type="dxa"/>
                  <w:vAlign w:val="center"/>
                </w:tcPr>
                <w:p>
                  <w:pPr>
                    <w:spacing w:line="240" w:lineRule="auto"/>
                    <w:jc w:val="center"/>
                    <w:rPr>
                      <w:color w:val="000000"/>
                      <w:sz w:val="21"/>
                      <w:szCs w:val="21"/>
                    </w:rPr>
                  </w:pPr>
                  <w:r>
                    <w:rPr>
                      <w:color w:val="000000"/>
                      <w:sz w:val="21"/>
                      <w:szCs w:val="21"/>
                    </w:rPr>
                    <w:t>预测因子</w:t>
                  </w:r>
                </w:p>
              </w:tc>
              <w:tc>
                <w:tcPr>
                  <w:tcW w:w="2977" w:type="dxa"/>
                  <w:gridSpan w:val="4"/>
                  <w:vAlign w:val="center"/>
                </w:tcPr>
                <w:p>
                  <w:pPr>
                    <w:spacing w:line="240" w:lineRule="auto"/>
                    <w:jc w:val="center"/>
                    <w:rPr>
                      <w:color w:val="000000"/>
                      <w:sz w:val="21"/>
                      <w:szCs w:val="21"/>
                    </w:rPr>
                  </w:pPr>
                  <w:r>
                    <w:rPr>
                      <w:color w:val="000000"/>
                      <w:sz w:val="21"/>
                      <w:szCs w:val="21"/>
                    </w:rPr>
                    <w:t>预测因子(</w:t>
                  </w:r>
                  <w:r>
                    <w:rPr>
                      <w:rFonts w:hint="eastAsia"/>
                      <w:color w:val="000000"/>
                      <w:sz w:val="21"/>
                      <w:szCs w:val="21"/>
                    </w:rPr>
                    <w:t xml:space="preserve"> TSP</w:t>
                  </w:r>
                  <w:r>
                    <w:rPr>
                      <w:rFonts w:hint="eastAsia"/>
                      <w:sz w:val="21"/>
                      <w:szCs w:val="21"/>
                    </w:rPr>
                    <w:t xml:space="preserve"> </w:t>
                  </w:r>
                  <w:r>
                    <w:rPr>
                      <w:color w:val="000000"/>
                      <w:sz w:val="21"/>
                      <w:szCs w:val="21"/>
                    </w:rPr>
                    <w:t>)</w:t>
                  </w:r>
                </w:p>
              </w:tc>
              <w:tc>
                <w:tcPr>
                  <w:tcW w:w="3551" w:type="dxa"/>
                  <w:gridSpan w:val="7"/>
                  <w:vAlign w:val="center"/>
                </w:tcPr>
                <w:p>
                  <w:pPr>
                    <w:spacing w:line="240" w:lineRule="auto"/>
                    <w:jc w:val="center"/>
                    <w:rPr>
                      <w:color w:val="000000"/>
                      <w:sz w:val="21"/>
                      <w:szCs w:val="21"/>
                    </w:rPr>
                  </w:pPr>
                  <w:r>
                    <w:rPr>
                      <w:color w:val="000000"/>
                      <w:sz w:val="21"/>
                      <w:szCs w:val="21"/>
                    </w:rPr>
                    <w:t>包括二次PM</w:t>
                  </w:r>
                  <w:r>
                    <w:rPr>
                      <w:color w:val="000000"/>
                      <w:sz w:val="21"/>
                      <w:szCs w:val="21"/>
                      <w:vertAlign w:val="subscript"/>
                    </w:rPr>
                    <w:t>2.5</w:t>
                  </w:r>
                  <w:r>
                    <w:rPr>
                      <w:color w:val="000000"/>
                      <w:sz w:val="21"/>
                      <w:szCs w:val="21"/>
                    </w:rPr>
                    <w:t xml:space="preserve"> </w:t>
                  </w:r>
                  <w:r>
                    <w:rPr>
                      <w:rFonts w:eastAsia="仿宋"/>
                      <w:color w:val="000000"/>
                      <w:sz w:val="21"/>
                      <w:szCs w:val="21"/>
                    </w:rPr>
                    <w:t>□</w:t>
                  </w:r>
                </w:p>
                <w:p>
                  <w:pPr>
                    <w:spacing w:line="240" w:lineRule="auto"/>
                    <w:jc w:val="center"/>
                    <w:rPr>
                      <w:color w:val="000000"/>
                      <w:sz w:val="21"/>
                      <w:szCs w:val="21"/>
                    </w:rPr>
                  </w:pPr>
                  <w:r>
                    <w:rPr>
                      <w:color w:val="000000"/>
                      <w:sz w:val="21"/>
                      <w:szCs w:val="21"/>
                    </w:rPr>
                    <w:t>不包括二次PM</w:t>
                  </w:r>
                  <w:r>
                    <w:rPr>
                      <w:color w:val="000000"/>
                      <w:sz w:val="21"/>
                      <w:szCs w:val="21"/>
                      <w:vertAlign w:val="subscript"/>
                    </w:rPr>
                    <w:t>2.5</w:t>
                  </w:r>
                  <w:r>
                    <w:rPr>
                      <w:color w:val="000000"/>
                      <w:sz w:val="21"/>
                      <w:szCs w:val="21"/>
                    </w:rPr>
                    <w:t xml:space="preserve"> </w:t>
                  </w:r>
                  <w:r>
                    <w:rPr>
                      <w:rFonts w:eastAsia="仿宋"/>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 w:hRule="atLeast"/>
                <w:jc w:val="center"/>
              </w:trPr>
              <w:tc>
                <w:tcPr>
                  <w:tcW w:w="935" w:type="dxa"/>
                  <w:vMerge w:val="continue"/>
                  <w:vAlign w:val="center"/>
                </w:tcPr>
                <w:p>
                  <w:pPr>
                    <w:spacing w:line="240" w:lineRule="auto"/>
                    <w:jc w:val="center"/>
                    <w:rPr>
                      <w:color w:val="000000"/>
                      <w:sz w:val="21"/>
                      <w:szCs w:val="21"/>
                    </w:rPr>
                  </w:pPr>
                </w:p>
              </w:tc>
              <w:tc>
                <w:tcPr>
                  <w:tcW w:w="1646" w:type="dxa"/>
                  <w:vAlign w:val="center"/>
                </w:tcPr>
                <w:p>
                  <w:pPr>
                    <w:spacing w:line="240" w:lineRule="auto"/>
                    <w:jc w:val="center"/>
                    <w:rPr>
                      <w:color w:val="000000"/>
                      <w:sz w:val="21"/>
                      <w:szCs w:val="21"/>
                    </w:rPr>
                  </w:pPr>
                  <w:r>
                    <w:rPr>
                      <w:color w:val="000000"/>
                      <w:sz w:val="21"/>
                      <w:szCs w:val="21"/>
                    </w:rPr>
                    <w:t>正常排放短期浓度贡献值</w:t>
                  </w:r>
                </w:p>
              </w:tc>
              <w:tc>
                <w:tcPr>
                  <w:tcW w:w="2977" w:type="dxa"/>
                  <w:gridSpan w:val="4"/>
                  <w:vAlign w:val="center"/>
                </w:tcPr>
                <w:p>
                  <w:pPr>
                    <w:spacing w:line="240" w:lineRule="auto"/>
                    <w:jc w:val="center"/>
                    <w:rPr>
                      <w:color w:val="000000"/>
                      <w:sz w:val="21"/>
                      <w:szCs w:val="21"/>
                    </w:rPr>
                  </w:pPr>
                  <w:r>
                    <w:rPr>
                      <w:color w:val="000000"/>
                      <w:sz w:val="21"/>
                      <w:szCs w:val="21"/>
                    </w:rPr>
                    <w:t>最大占标率</w:t>
                  </w:r>
                  <w:r>
                    <w:rPr>
                      <w:rFonts w:eastAsia="仿宋"/>
                      <w:color w:val="000000"/>
                      <w:sz w:val="21"/>
                      <w:szCs w:val="21"/>
                    </w:rPr>
                    <w:t>≤</w:t>
                  </w:r>
                  <w:r>
                    <w:rPr>
                      <w:color w:val="000000"/>
                      <w:sz w:val="21"/>
                      <w:szCs w:val="21"/>
                    </w:rPr>
                    <w:t>100%</w:t>
                  </w:r>
                  <w:r>
                    <w:rPr>
                      <w:rFonts w:eastAsia="仿宋"/>
                      <w:color w:val="000000"/>
                      <w:sz w:val="21"/>
                      <w:szCs w:val="21"/>
                    </w:rPr>
                    <w:t>□</w:t>
                  </w:r>
                </w:p>
              </w:tc>
              <w:tc>
                <w:tcPr>
                  <w:tcW w:w="3551" w:type="dxa"/>
                  <w:gridSpan w:val="7"/>
                  <w:vAlign w:val="center"/>
                </w:tcPr>
                <w:p>
                  <w:pPr>
                    <w:spacing w:line="240" w:lineRule="auto"/>
                    <w:jc w:val="center"/>
                    <w:rPr>
                      <w:color w:val="000000"/>
                      <w:sz w:val="21"/>
                      <w:szCs w:val="21"/>
                    </w:rPr>
                  </w:pPr>
                  <w:r>
                    <w:rPr>
                      <w:color w:val="000000"/>
                      <w:sz w:val="21"/>
                      <w:szCs w:val="21"/>
                    </w:rPr>
                    <w:t>最大占标率</w:t>
                  </w:r>
                  <w:r>
                    <w:rPr>
                      <w:rFonts w:eastAsia="仿宋"/>
                      <w:color w:val="000000"/>
                      <w:sz w:val="21"/>
                      <w:szCs w:val="21"/>
                    </w:rPr>
                    <w:t>＞</w:t>
                  </w:r>
                  <w:r>
                    <w:rPr>
                      <w:color w:val="000000"/>
                      <w:sz w:val="21"/>
                      <w:szCs w:val="21"/>
                    </w:rPr>
                    <w:t xml:space="preserve">100% </w:t>
                  </w:r>
                  <w:r>
                    <w:rPr>
                      <w:rFonts w:eastAsia="仿宋"/>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9" w:hRule="atLeast"/>
                <w:jc w:val="center"/>
              </w:trPr>
              <w:tc>
                <w:tcPr>
                  <w:tcW w:w="935" w:type="dxa"/>
                  <w:vMerge w:val="continue"/>
                  <w:vAlign w:val="center"/>
                </w:tcPr>
                <w:p>
                  <w:pPr>
                    <w:spacing w:line="240" w:lineRule="auto"/>
                    <w:jc w:val="center"/>
                    <w:rPr>
                      <w:color w:val="000000"/>
                      <w:sz w:val="21"/>
                      <w:szCs w:val="21"/>
                    </w:rPr>
                  </w:pPr>
                </w:p>
              </w:tc>
              <w:tc>
                <w:tcPr>
                  <w:tcW w:w="1646" w:type="dxa"/>
                  <w:vMerge w:val="restart"/>
                  <w:vAlign w:val="center"/>
                </w:tcPr>
                <w:p>
                  <w:pPr>
                    <w:spacing w:line="240" w:lineRule="auto"/>
                    <w:jc w:val="center"/>
                    <w:rPr>
                      <w:color w:val="000000"/>
                      <w:sz w:val="21"/>
                      <w:szCs w:val="21"/>
                    </w:rPr>
                  </w:pPr>
                  <w:r>
                    <w:rPr>
                      <w:color w:val="000000"/>
                      <w:sz w:val="21"/>
                      <w:szCs w:val="21"/>
                    </w:rPr>
                    <w:t>正常排放年均浓度贡献值</w:t>
                  </w:r>
                </w:p>
              </w:tc>
              <w:tc>
                <w:tcPr>
                  <w:tcW w:w="889" w:type="dxa"/>
                  <w:vAlign w:val="center"/>
                </w:tcPr>
                <w:p>
                  <w:pPr>
                    <w:spacing w:line="240" w:lineRule="auto"/>
                    <w:jc w:val="center"/>
                    <w:rPr>
                      <w:color w:val="000000"/>
                      <w:sz w:val="21"/>
                      <w:szCs w:val="21"/>
                    </w:rPr>
                  </w:pPr>
                  <w:r>
                    <w:rPr>
                      <w:color w:val="000000"/>
                      <w:sz w:val="21"/>
                      <w:szCs w:val="21"/>
                    </w:rPr>
                    <w:t>一类区</w:t>
                  </w:r>
                </w:p>
              </w:tc>
              <w:tc>
                <w:tcPr>
                  <w:tcW w:w="2088" w:type="dxa"/>
                  <w:gridSpan w:val="3"/>
                  <w:vAlign w:val="center"/>
                </w:tcPr>
                <w:p>
                  <w:pPr>
                    <w:spacing w:line="240" w:lineRule="auto"/>
                    <w:jc w:val="center"/>
                    <w:rPr>
                      <w:rFonts w:eastAsia="仿宋"/>
                      <w:color w:val="000000"/>
                      <w:sz w:val="21"/>
                      <w:szCs w:val="21"/>
                    </w:rPr>
                  </w:pPr>
                  <w:r>
                    <w:rPr>
                      <w:color w:val="000000"/>
                      <w:sz w:val="21"/>
                      <w:szCs w:val="21"/>
                    </w:rPr>
                    <w:t>最大占标率</w:t>
                  </w:r>
                  <w:bookmarkStart w:id="64" w:name="OLE_LINK7"/>
                  <w:bookmarkStart w:id="65" w:name="OLE_LINK5"/>
                  <w:r>
                    <w:rPr>
                      <w:rFonts w:eastAsia="仿宋"/>
                      <w:color w:val="000000"/>
                      <w:sz w:val="21"/>
                      <w:szCs w:val="21"/>
                    </w:rPr>
                    <w:t>≤</w:t>
                  </w:r>
                  <w:bookmarkEnd w:id="64"/>
                  <w:bookmarkEnd w:id="65"/>
                  <w:r>
                    <w:rPr>
                      <w:color w:val="000000"/>
                      <w:sz w:val="21"/>
                      <w:szCs w:val="21"/>
                    </w:rPr>
                    <w:t>10%</w:t>
                  </w:r>
                  <w:r>
                    <w:rPr>
                      <w:rFonts w:eastAsia="仿宋"/>
                      <w:color w:val="000000"/>
                      <w:sz w:val="21"/>
                      <w:szCs w:val="21"/>
                    </w:rPr>
                    <w:t>□</w:t>
                  </w:r>
                </w:p>
              </w:tc>
              <w:tc>
                <w:tcPr>
                  <w:tcW w:w="3551" w:type="dxa"/>
                  <w:gridSpan w:val="7"/>
                  <w:vAlign w:val="center"/>
                </w:tcPr>
                <w:p>
                  <w:pPr>
                    <w:spacing w:line="240" w:lineRule="auto"/>
                    <w:jc w:val="center"/>
                    <w:rPr>
                      <w:color w:val="000000"/>
                      <w:sz w:val="21"/>
                      <w:szCs w:val="21"/>
                    </w:rPr>
                  </w:pPr>
                  <w:r>
                    <w:rPr>
                      <w:color w:val="000000"/>
                      <w:sz w:val="21"/>
                      <w:szCs w:val="21"/>
                    </w:rPr>
                    <w:t>最大标率</w:t>
                  </w:r>
                  <w:r>
                    <w:rPr>
                      <w:rFonts w:eastAsia="仿宋"/>
                      <w:color w:val="000000"/>
                      <w:sz w:val="21"/>
                      <w:szCs w:val="21"/>
                    </w:rPr>
                    <w:t>＞</w:t>
                  </w:r>
                  <w:r>
                    <w:rPr>
                      <w:color w:val="000000"/>
                      <w:sz w:val="21"/>
                      <w:szCs w:val="21"/>
                    </w:rPr>
                    <w:t>10%</w:t>
                  </w:r>
                  <w:r>
                    <w:rPr>
                      <w:rFonts w:eastAsia="仿宋"/>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3" w:hRule="atLeast"/>
                <w:jc w:val="center"/>
              </w:trPr>
              <w:tc>
                <w:tcPr>
                  <w:tcW w:w="935" w:type="dxa"/>
                  <w:vMerge w:val="continue"/>
                  <w:vAlign w:val="center"/>
                </w:tcPr>
                <w:p>
                  <w:pPr>
                    <w:spacing w:line="240" w:lineRule="auto"/>
                    <w:jc w:val="center"/>
                    <w:rPr>
                      <w:color w:val="000000"/>
                      <w:sz w:val="21"/>
                      <w:szCs w:val="21"/>
                    </w:rPr>
                  </w:pPr>
                </w:p>
              </w:tc>
              <w:tc>
                <w:tcPr>
                  <w:tcW w:w="1646" w:type="dxa"/>
                  <w:vMerge w:val="continue"/>
                  <w:vAlign w:val="center"/>
                </w:tcPr>
                <w:p>
                  <w:pPr>
                    <w:spacing w:line="240" w:lineRule="auto"/>
                    <w:jc w:val="center"/>
                    <w:rPr>
                      <w:color w:val="000000"/>
                      <w:sz w:val="21"/>
                      <w:szCs w:val="21"/>
                    </w:rPr>
                  </w:pPr>
                </w:p>
              </w:tc>
              <w:tc>
                <w:tcPr>
                  <w:tcW w:w="889" w:type="dxa"/>
                  <w:vAlign w:val="center"/>
                </w:tcPr>
                <w:p>
                  <w:pPr>
                    <w:spacing w:line="240" w:lineRule="auto"/>
                    <w:jc w:val="center"/>
                    <w:rPr>
                      <w:color w:val="000000"/>
                      <w:sz w:val="21"/>
                      <w:szCs w:val="21"/>
                    </w:rPr>
                  </w:pPr>
                  <w:r>
                    <w:rPr>
                      <w:color w:val="000000"/>
                      <w:sz w:val="21"/>
                      <w:szCs w:val="21"/>
                    </w:rPr>
                    <w:t>二类区</w:t>
                  </w:r>
                </w:p>
              </w:tc>
              <w:tc>
                <w:tcPr>
                  <w:tcW w:w="2088" w:type="dxa"/>
                  <w:gridSpan w:val="3"/>
                  <w:vAlign w:val="center"/>
                </w:tcPr>
                <w:p>
                  <w:pPr>
                    <w:spacing w:line="240" w:lineRule="auto"/>
                    <w:jc w:val="center"/>
                    <w:rPr>
                      <w:color w:val="000000"/>
                      <w:sz w:val="21"/>
                      <w:szCs w:val="21"/>
                    </w:rPr>
                  </w:pPr>
                  <w:r>
                    <w:rPr>
                      <w:color w:val="000000"/>
                      <w:sz w:val="21"/>
                      <w:szCs w:val="21"/>
                    </w:rPr>
                    <w:t>最大占标率</w:t>
                  </w:r>
                  <w:r>
                    <w:rPr>
                      <w:rFonts w:eastAsia="仿宋"/>
                      <w:color w:val="000000"/>
                      <w:sz w:val="21"/>
                      <w:szCs w:val="21"/>
                    </w:rPr>
                    <w:t>≤</w:t>
                  </w:r>
                  <w:r>
                    <w:rPr>
                      <w:color w:val="000000"/>
                      <w:sz w:val="21"/>
                      <w:szCs w:val="21"/>
                    </w:rPr>
                    <w:t>30%</w:t>
                  </w:r>
                  <w:r>
                    <w:rPr>
                      <w:rFonts w:eastAsia="仿宋"/>
                      <w:color w:val="000000"/>
                      <w:sz w:val="21"/>
                      <w:szCs w:val="21"/>
                    </w:rPr>
                    <w:sym w:font="Wingdings 2" w:char="00A3"/>
                  </w:r>
                </w:p>
              </w:tc>
              <w:tc>
                <w:tcPr>
                  <w:tcW w:w="3551" w:type="dxa"/>
                  <w:gridSpan w:val="7"/>
                  <w:vAlign w:val="center"/>
                </w:tcPr>
                <w:p>
                  <w:pPr>
                    <w:spacing w:line="240" w:lineRule="auto"/>
                    <w:jc w:val="center"/>
                    <w:rPr>
                      <w:color w:val="000000"/>
                      <w:sz w:val="21"/>
                      <w:szCs w:val="21"/>
                    </w:rPr>
                  </w:pPr>
                  <w:r>
                    <w:rPr>
                      <w:color w:val="000000"/>
                      <w:sz w:val="21"/>
                      <w:szCs w:val="21"/>
                    </w:rPr>
                    <w:t>最大标率</w:t>
                  </w:r>
                  <w:r>
                    <w:rPr>
                      <w:rFonts w:eastAsia="仿宋"/>
                      <w:color w:val="000000"/>
                      <w:sz w:val="21"/>
                      <w:szCs w:val="21"/>
                    </w:rPr>
                    <w:t>＞</w:t>
                  </w:r>
                  <w:r>
                    <w:rPr>
                      <w:color w:val="000000"/>
                      <w:sz w:val="21"/>
                      <w:szCs w:val="21"/>
                    </w:rPr>
                    <w:t>30%</w:t>
                  </w:r>
                  <w:r>
                    <w:rPr>
                      <w:rFonts w:eastAsia="仿宋"/>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 w:hRule="atLeast"/>
                <w:jc w:val="center"/>
              </w:trPr>
              <w:tc>
                <w:tcPr>
                  <w:tcW w:w="935" w:type="dxa"/>
                  <w:vMerge w:val="continue"/>
                  <w:vAlign w:val="center"/>
                </w:tcPr>
                <w:p>
                  <w:pPr>
                    <w:spacing w:line="240" w:lineRule="auto"/>
                    <w:jc w:val="center"/>
                    <w:rPr>
                      <w:color w:val="000000"/>
                      <w:sz w:val="21"/>
                      <w:szCs w:val="21"/>
                    </w:rPr>
                  </w:pPr>
                </w:p>
              </w:tc>
              <w:tc>
                <w:tcPr>
                  <w:tcW w:w="1646" w:type="dxa"/>
                  <w:vAlign w:val="center"/>
                </w:tcPr>
                <w:p>
                  <w:pPr>
                    <w:spacing w:line="240" w:lineRule="auto"/>
                    <w:jc w:val="center"/>
                    <w:rPr>
                      <w:color w:val="000000"/>
                      <w:sz w:val="21"/>
                      <w:szCs w:val="21"/>
                    </w:rPr>
                  </w:pPr>
                  <w:r>
                    <w:rPr>
                      <w:color w:val="000000"/>
                      <w:sz w:val="21"/>
                      <w:szCs w:val="21"/>
                    </w:rPr>
                    <w:t>非正常排放1h浓度贡献值</w:t>
                  </w:r>
                </w:p>
              </w:tc>
              <w:tc>
                <w:tcPr>
                  <w:tcW w:w="1560" w:type="dxa"/>
                  <w:gridSpan w:val="2"/>
                  <w:vAlign w:val="center"/>
                </w:tcPr>
                <w:p>
                  <w:pPr>
                    <w:spacing w:line="240" w:lineRule="auto"/>
                    <w:jc w:val="center"/>
                    <w:rPr>
                      <w:color w:val="000000"/>
                      <w:sz w:val="21"/>
                      <w:szCs w:val="21"/>
                    </w:rPr>
                  </w:pPr>
                  <w:r>
                    <w:rPr>
                      <w:color w:val="000000"/>
                      <w:sz w:val="21"/>
                      <w:szCs w:val="21"/>
                    </w:rPr>
                    <w:t>非正常持续时长</w:t>
                  </w:r>
                  <w:r>
                    <w:rPr>
                      <w:color w:val="000000"/>
                      <w:sz w:val="21"/>
                      <w:szCs w:val="21"/>
                    </w:rPr>
                    <w:br w:type="textWrapping"/>
                  </w:r>
                  <w:r>
                    <w:rPr>
                      <w:color w:val="000000"/>
                      <w:sz w:val="21"/>
                      <w:szCs w:val="21"/>
                    </w:rPr>
                    <w:t>（</w:t>
                  </w:r>
                  <w:r>
                    <w:rPr>
                      <w:rFonts w:hint="eastAsia"/>
                      <w:color w:val="000000"/>
                      <w:sz w:val="21"/>
                      <w:szCs w:val="21"/>
                    </w:rPr>
                    <w:t xml:space="preserve"> / </w:t>
                  </w:r>
                  <w:r>
                    <w:rPr>
                      <w:color w:val="000000"/>
                      <w:sz w:val="21"/>
                      <w:szCs w:val="21"/>
                    </w:rPr>
                    <w:t>）h</w:t>
                  </w:r>
                </w:p>
              </w:tc>
              <w:tc>
                <w:tcPr>
                  <w:tcW w:w="2693" w:type="dxa"/>
                  <w:gridSpan w:val="3"/>
                  <w:vAlign w:val="center"/>
                </w:tcPr>
                <w:p>
                  <w:pPr>
                    <w:spacing w:line="240" w:lineRule="auto"/>
                    <w:jc w:val="center"/>
                    <w:rPr>
                      <w:color w:val="000000"/>
                      <w:sz w:val="21"/>
                      <w:szCs w:val="21"/>
                    </w:rPr>
                  </w:pPr>
                  <m:oMath>
                    <m:sSub>
                      <m:sSubPr>
                        <m:ctrlPr>
                          <w:rPr>
                            <w:rFonts w:ascii="Cambria Math" w:hAnsi="Cambria Math"/>
                            <w:i/>
                            <w:color w:val="000000"/>
                            <w:sz w:val="21"/>
                            <w:szCs w:val="21"/>
                          </w:rPr>
                        </m:ctrlPr>
                      </m:sSubPr>
                      <m:e>
                        <m:r>
                          <w:rPr>
                            <w:rFonts w:ascii="Cambria Math" w:hAnsi="Cambria Math"/>
                            <w:color w:val="000000"/>
                            <w:sz w:val="21"/>
                            <w:szCs w:val="21"/>
                          </w:rPr>
                          <m:t>C</m:t>
                        </m:r>
                        <m:ctrlPr>
                          <w:rPr>
                            <w:rFonts w:ascii="Cambria Math" w:hAnsi="Cambria Math"/>
                            <w:i/>
                            <w:color w:val="000000"/>
                            <w:sz w:val="21"/>
                            <w:szCs w:val="21"/>
                          </w:rPr>
                        </m:ctrlPr>
                      </m:e>
                      <m:sub>
                        <m:r>
                          <m:rPr>
                            <m:sty m:val="p"/>
                          </m:rPr>
                          <w:rPr>
                            <w:rFonts w:ascii="Cambria Math" w:hAnsi="Cambria Math"/>
                            <w:color w:val="000000"/>
                            <w:sz w:val="21"/>
                            <w:szCs w:val="21"/>
                          </w:rPr>
                          <m:t>非正常</m:t>
                        </m:r>
                        <m:ctrlPr>
                          <w:rPr>
                            <w:rFonts w:ascii="Cambria Math" w:hAnsi="Cambria Math"/>
                            <w:i/>
                            <w:color w:val="000000"/>
                            <w:sz w:val="21"/>
                            <w:szCs w:val="21"/>
                          </w:rPr>
                        </m:ctrlPr>
                      </m:sub>
                    </m:sSub>
                  </m:oMath>
                  <w:r>
                    <w:rPr>
                      <w:color w:val="000000"/>
                      <w:sz w:val="21"/>
                      <w:szCs w:val="21"/>
                    </w:rPr>
                    <w:t>占标率</w:t>
                  </w:r>
                  <w:r>
                    <w:rPr>
                      <w:rFonts w:eastAsia="仿宋"/>
                      <w:color w:val="000000"/>
                      <w:sz w:val="21"/>
                      <w:szCs w:val="21"/>
                    </w:rPr>
                    <w:t>≤</w:t>
                  </w:r>
                  <w:r>
                    <w:rPr>
                      <w:color w:val="000000"/>
                      <w:sz w:val="21"/>
                      <w:szCs w:val="21"/>
                    </w:rPr>
                    <w:t>100%</w:t>
                  </w:r>
                  <w:r>
                    <w:rPr>
                      <w:rFonts w:eastAsia="仿宋"/>
                      <w:color w:val="000000"/>
                      <w:sz w:val="21"/>
                      <w:szCs w:val="21"/>
                    </w:rPr>
                    <w:t>□</w:t>
                  </w:r>
                </w:p>
              </w:tc>
              <w:tc>
                <w:tcPr>
                  <w:tcW w:w="2275" w:type="dxa"/>
                  <w:gridSpan w:val="6"/>
                  <w:vAlign w:val="center"/>
                </w:tcPr>
                <w:p>
                  <w:pPr>
                    <w:spacing w:line="240" w:lineRule="auto"/>
                    <w:jc w:val="center"/>
                    <w:rPr>
                      <w:color w:val="000000"/>
                      <w:sz w:val="21"/>
                      <w:szCs w:val="21"/>
                    </w:rPr>
                  </w:pPr>
                  <m:oMath>
                    <m:sSub>
                      <m:sSubPr>
                        <m:ctrlPr>
                          <w:rPr>
                            <w:rFonts w:ascii="Cambria Math" w:hAnsi="Cambria Math"/>
                            <w:i/>
                            <w:color w:val="000000"/>
                            <w:sz w:val="21"/>
                            <w:szCs w:val="21"/>
                          </w:rPr>
                        </m:ctrlPr>
                      </m:sSubPr>
                      <m:e>
                        <m:r>
                          <w:rPr>
                            <w:rFonts w:ascii="Cambria Math" w:hAnsi="Cambria Math"/>
                            <w:color w:val="000000"/>
                            <w:sz w:val="21"/>
                            <w:szCs w:val="21"/>
                          </w:rPr>
                          <m:t>C</m:t>
                        </m:r>
                        <m:ctrlPr>
                          <w:rPr>
                            <w:rFonts w:ascii="Cambria Math" w:hAnsi="Cambria Math"/>
                            <w:i/>
                            <w:color w:val="000000"/>
                            <w:sz w:val="21"/>
                            <w:szCs w:val="21"/>
                          </w:rPr>
                        </m:ctrlPr>
                      </m:e>
                      <m:sub>
                        <m:r>
                          <m:rPr>
                            <m:sty m:val="p"/>
                          </m:rPr>
                          <w:rPr>
                            <w:rFonts w:ascii="Cambria Math" w:hAnsi="Cambria Math"/>
                            <w:color w:val="000000"/>
                            <w:sz w:val="21"/>
                            <w:szCs w:val="21"/>
                          </w:rPr>
                          <m:t>非正常</m:t>
                        </m:r>
                        <m:ctrlPr>
                          <w:rPr>
                            <w:rFonts w:ascii="Cambria Math" w:hAnsi="Cambria Math"/>
                            <w:i/>
                            <w:color w:val="000000"/>
                            <w:sz w:val="21"/>
                            <w:szCs w:val="21"/>
                          </w:rPr>
                        </m:ctrlPr>
                      </m:sub>
                    </m:sSub>
                  </m:oMath>
                  <w:r>
                    <w:rPr>
                      <w:color w:val="000000"/>
                      <w:sz w:val="21"/>
                      <w:szCs w:val="21"/>
                    </w:rPr>
                    <w:t>占标率</w:t>
                  </w:r>
                  <w:r>
                    <w:rPr>
                      <w:rFonts w:eastAsia="仿宋"/>
                      <w:color w:val="000000"/>
                      <w:sz w:val="21"/>
                      <w:szCs w:val="21"/>
                    </w:rPr>
                    <w:t>＞</w:t>
                  </w:r>
                  <w:r>
                    <w:rPr>
                      <w:color w:val="000000"/>
                      <w:sz w:val="21"/>
                      <w:szCs w:val="21"/>
                    </w:rPr>
                    <w:t>100%</w:t>
                  </w:r>
                  <w:r>
                    <w:rPr>
                      <w:rFonts w:eastAsia="仿宋"/>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6" w:hRule="atLeast"/>
                <w:jc w:val="center"/>
              </w:trPr>
              <w:tc>
                <w:tcPr>
                  <w:tcW w:w="935" w:type="dxa"/>
                  <w:vMerge w:val="continue"/>
                  <w:vAlign w:val="center"/>
                </w:tcPr>
                <w:p>
                  <w:pPr>
                    <w:spacing w:line="240" w:lineRule="auto"/>
                    <w:jc w:val="center"/>
                    <w:rPr>
                      <w:color w:val="000000"/>
                      <w:sz w:val="21"/>
                      <w:szCs w:val="21"/>
                    </w:rPr>
                  </w:pPr>
                </w:p>
              </w:tc>
              <w:tc>
                <w:tcPr>
                  <w:tcW w:w="1646" w:type="dxa"/>
                  <w:vAlign w:val="center"/>
                </w:tcPr>
                <w:p>
                  <w:pPr>
                    <w:spacing w:line="240" w:lineRule="auto"/>
                    <w:jc w:val="center"/>
                    <w:rPr>
                      <w:color w:val="000000"/>
                      <w:sz w:val="21"/>
                      <w:szCs w:val="21"/>
                    </w:rPr>
                  </w:pPr>
                  <w:r>
                    <w:rPr>
                      <w:color w:val="000000"/>
                      <w:sz w:val="21"/>
                      <w:szCs w:val="21"/>
                    </w:rPr>
                    <w:t>保证率日平均浓度和年平均浓度叠加值</w:t>
                  </w:r>
                </w:p>
              </w:tc>
              <w:tc>
                <w:tcPr>
                  <w:tcW w:w="2977" w:type="dxa"/>
                  <w:gridSpan w:val="4"/>
                  <w:vAlign w:val="center"/>
                </w:tcPr>
                <w:p>
                  <w:pPr>
                    <w:spacing w:line="240" w:lineRule="auto"/>
                    <w:jc w:val="center"/>
                    <w:rPr>
                      <w:color w:val="000000"/>
                      <w:sz w:val="21"/>
                      <w:szCs w:val="21"/>
                    </w:rPr>
                  </w:pPr>
                  <m:oMath>
                    <m:sSub>
                      <m:sSubPr>
                        <m:ctrlPr>
                          <w:rPr>
                            <w:rFonts w:ascii="Cambria Math" w:hAnsi="Cambria Math"/>
                            <w:i/>
                            <w:color w:val="000000"/>
                            <w:sz w:val="21"/>
                            <w:szCs w:val="21"/>
                          </w:rPr>
                        </m:ctrlPr>
                      </m:sSubPr>
                      <m:e>
                        <m:r>
                          <w:rPr>
                            <w:rFonts w:ascii="Cambria Math" w:hAnsi="Cambria Math"/>
                            <w:color w:val="000000"/>
                            <w:sz w:val="21"/>
                            <w:szCs w:val="21"/>
                          </w:rPr>
                          <m:t>C</m:t>
                        </m:r>
                        <m:ctrlPr>
                          <w:rPr>
                            <w:rFonts w:ascii="Cambria Math" w:hAnsi="Cambria Math"/>
                            <w:i/>
                            <w:color w:val="000000"/>
                            <w:sz w:val="21"/>
                            <w:szCs w:val="21"/>
                          </w:rPr>
                        </m:ctrlPr>
                      </m:e>
                      <m:sub>
                        <m:r>
                          <m:rPr>
                            <m:sty m:val="p"/>
                          </m:rPr>
                          <w:rPr>
                            <w:rFonts w:ascii="Cambria Math" w:hAnsi="Cambria Math"/>
                            <w:color w:val="000000"/>
                            <w:sz w:val="21"/>
                            <w:szCs w:val="21"/>
                          </w:rPr>
                          <m:t>叠加</m:t>
                        </m:r>
                        <m:ctrlPr>
                          <w:rPr>
                            <w:rFonts w:ascii="Cambria Math" w:hAnsi="Cambria Math"/>
                            <w:i/>
                            <w:color w:val="000000"/>
                            <w:sz w:val="21"/>
                            <w:szCs w:val="21"/>
                          </w:rPr>
                        </m:ctrlPr>
                      </m:sub>
                    </m:sSub>
                  </m:oMath>
                  <w:r>
                    <w:rPr>
                      <w:color w:val="000000"/>
                      <w:sz w:val="21"/>
                      <w:szCs w:val="21"/>
                    </w:rPr>
                    <w:t>达标</w:t>
                  </w:r>
                  <w:r>
                    <w:rPr>
                      <w:rFonts w:eastAsia="仿宋"/>
                      <w:color w:val="000000"/>
                      <w:sz w:val="21"/>
                      <w:szCs w:val="21"/>
                    </w:rPr>
                    <w:t>□</w:t>
                  </w:r>
                </w:p>
              </w:tc>
              <w:tc>
                <w:tcPr>
                  <w:tcW w:w="3551" w:type="dxa"/>
                  <w:gridSpan w:val="7"/>
                  <w:vAlign w:val="center"/>
                </w:tcPr>
                <w:p>
                  <w:pPr>
                    <w:spacing w:line="240" w:lineRule="auto"/>
                    <w:jc w:val="center"/>
                    <w:rPr>
                      <w:color w:val="000000"/>
                      <w:sz w:val="21"/>
                      <w:szCs w:val="21"/>
                    </w:rPr>
                  </w:pPr>
                  <m:oMath>
                    <m:sSub>
                      <m:sSubPr>
                        <m:ctrlPr>
                          <w:rPr>
                            <w:rFonts w:ascii="Cambria Math" w:hAnsi="Cambria Math"/>
                            <w:i/>
                            <w:color w:val="000000"/>
                            <w:sz w:val="21"/>
                            <w:szCs w:val="21"/>
                          </w:rPr>
                        </m:ctrlPr>
                      </m:sSubPr>
                      <m:e>
                        <m:r>
                          <w:rPr>
                            <w:rFonts w:ascii="Cambria Math" w:hAnsi="Cambria Math"/>
                            <w:color w:val="000000"/>
                            <w:sz w:val="21"/>
                            <w:szCs w:val="21"/>
                          </w:rPr>
                          <m:t>C</m:t>
                        </m:r>
                        <m:ctrlPr>
                          <w:rPr>
                            <w:rFonts w:ascii="Cambria Math" w:hAnsi="Cambria Math"/>
                            <w:i/>
                            <w:color w:val="000000"/>
                            <w:sz w:val="21"/>
                            <w:szCs w:val="21"/>
                          </w:rPr>
                        </m:ctrlPr>
                      </m:e>
                      <m:sub>
                        <m:r>
                          <m:rPr>
                            <m:sty m:val="p"/>
                          </m:rPr>
                          <w:rPr>
                            <w:rFonts w:ascii="Cambria Math" w:hAnsi="Cambria Math"/>
                            <w:color w:val="000000"/>
                            <w:sz w:val="21"/>
                            <w:szCs w:val="21"/>
                          </w:rPr>
                          <m:t>叠加</m:t>
                        </m:r>
                        <m:ctrlPr>
                          <w:rPr>
                            <w:rFonts w:ascii="Cambria Math" w:hAnsi="Cambria Math"/>
                            <w:i/>
                            <w:color w:val="000000"/>
                            <w:sz w:val="21"/>
                            <w:szCs w:val="21"/>
                          </w:rPr>
                        </m:ctrlPr>
                      </m:sub>
                    </m:sSub>
                  </m:oMath>
                  <w:r>
                    <w:rPr>
                      <w:color w:val="000000"/>
                      <w:sz w:val="21"/>
                      <w:szCs w:val="21"/>
                    </w:rPr>
                    <w:t>不达标</w:t>
                  </w:r>
                  <w:r>
                    <w:rPr>
                      <w:rFonts w:eastAsia="仿宋"/>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 w:hRule="atLeast"/>
                <w:jc w:val="center"/>
              </w:trPr>
              <w:tc>
                <w:tcPr>
                  <w:tcW w:w="935" w:type="dxa"/>
                  <w:vMerge w:val="continue"/>
                  <w:vAlign w:val="center"/>
                </w:tcPr>
                <w:p>
                  <w:pPr>
                    <w:spacing w:line="240" w:lineRule="auto"/>
                    <w:jc w:val="center"/>
                    <w:rPr>
                      <w:color w:val="000000"/>
                      <w:sz w:val="21"/>
                      <w:szCs w:val="21"/>
                    </w:rPr>
                  </w:pPr>
                </w:p>
              </w:tc>
              <w:tc>
                <w:tcPr>
                  <w:tcW w:w="1646" w:type="dxa"/>
                  <w:vAlign w:val="center"/>
                </w:tcPr>
                <w:p>
                  <w:pPr>
                    <w:spacing w:line="240" w:lineRule="auto"/>
                    <w:jc w:val="center"/>
                    <w:rPr>
                      <w:color w:val="000000"/>
                      <w:sz w:val="21"/>
                      <w:szCs w:val="21"/>
                    </w:rPr>
                  </w:pPr>
                  <w:r>
                    <w:rPr>
                      <w:color w:val="000000"/>
                      <w:sz w:val="21"/>
                      <w:szCs w:val="21"/>
                    </w:rPr>
                    <w:t>区域环境质量的整体变化情况</w:t>
                  </w:r>
                </w:p>
              </w:tc>
              <w:tc>
                <w:tcPr>
                  <w:tcW w:w="2977" w:type="dxa"/>
                  <w:gridSpan w:val="4"/>
                  <w:vAlign w:val="center"/>
                </w:tcPr>
                <w:p>
                  <w:pPr>
                    <w:spacing w:line="240" w:lineRule="auto"/>
                    <w:jc w:val="center"/>
                    <w:rPr>
                      <w:color w:val="000000"/>
                      <w:sz w:val="21"/>
                      <w:szCs w:val="21"/>
                    </w:rPr>
                  </w:pPr>
                  <w:r>
                    <w:rPr>
                      <w:i/>
                      <w:color w:val="000000"/>
                      <w:sz w:val="21"/>
                      <w:szCs w:val="21"/>
                    </w:rPr>
                    <w:t xml:space="preserve">k </w:t>
                  </w:r>
                  <w:r>
                    <w:rPr>
                      <w:rFonts w:eastAsia="仿宋"/>
                      <w:color w:val="000000"/>
                      <w:sz w:val="21"/>
                      <w:szCs w:val="21"/>
                    </w:rPr>
                    <w:t>≤</w:t>
                  </w:r>
                  <w:r>
                    <w:rPr>
                      <w:color w:val="000000"/>
                      <w:sz w:val="21"/>
                      <w:szCs w:val="21"/>
                    </w:rPr>
                    <w:t>-20%</w:t>
                  </w:r>
                  <w:r>
                    <w:rPr>
                      <w:rFonts w:eastAsia="仿宋"/>
                      <w:color w:val="000000"/>
                      <w:sz w:val="21"/>
                      <w:szCs w:val="21"/>
                    </w:rPr>
                    <w:t>□</w:t>
                  </w:r>
                </w:p>
              </w:tc>
              <w:tc>
                <w:tcPr>
                  <w:tcW w:w="3551" w:type="dxa"/>
                  <w:gridSpan w:val="7"/>
                  <w:vAlign w:val="center"/>
                </w:tcPr>
                <w:p>
                  <w:pPr>
                    <w:spacing w:line="240" w:lineRule="auto"/>
                    <w:jc w:val="center"/>
                    <w:rPr>
                      <w:color w:val="000000"/>
                      <w:sz w:val="21"/>
                      <w:szCs w:val="21"/>
                    </w:rPr>
                  </w:pPr>
                  <w:r>
                    <w:rPr>
                      <w:i/>
                      <w:color w:val="000000"/>
                      <w:sz w:val="21"/>
                      <w:szCs w:val="21"/>
                    </w:rPr>
                    <w:t>k</w:t>
                  </w:r>
                  <w:r>
                    <w:rPr>
                      <w:rFonts w:eastAsia="仿宋"/>
                      <w:color w:val="000000"/>
                      <w:sz w:val="21"/>
                      <w:szCs w:val="21"/>
                    </w:rPr>
                    <w:t>＞</w:t>
                  </w:r>
                  <w:r>
                    <w:rPr>
                      <w:color w:val="000000"/>
                      <w:sz w:val="21"/>
                      <w:szCs w:val="21"/>
                    </w:rPr>
                    <w:t xml:space="preserve">-20% </w:t>
                  </w:r>
                  <w:r>
                    <w:rPr>
                      <w:rFonts w:eastAsia="仿宋"/>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 w:hRule="atLeast"/>
                <w:jc w:val="center"/>
              </w:trPr>
              <w:tc>
                <w:tcPr>
                  <w:tcW w:w="935" w:type="dxa"/>
                  <w:vMerge w:val="restart"/>
                  <w:vAlign w:val="center"/>
                </w:tcPr>
                <w:p>
                  <w:pPr>
                    <w:spacing w:line="240" w:lineRule="auto"/>
                    <w:jc w:val="center"/>
                    <w:rPr>
                      <w:color w:val="000000"/>
                      <w:sz w:val="21"/>
                      <w:szCs w:val="21"/>
                    </w:rPr>
                  </w:pPr>
                  <w:r>
                    <w:rPr>
                      <w:color w:val="000000"/>
                      <w:sz w:val="21"/>
                      <w:szCs w:val="21"/>
                    </w:rPr>
                    <w:t>环境监测</w:t>
                  </w:r>
                  <w:r>
                    <w:rPr>
                      <w:color w:val="000000"/>
                      <w:sz w:val="21"/>
                      <w:szCs w:val="21"/>
                    </w:rPr>
                    <w:br w:type="textWrapping"/>
                  </w:r>
                  <w:r>
                    <w:rPr>
                      <w:color w:val="000000"/>
                      <w:sz w:val="21"/>
                      <w:szCs w:val="21"/>
                    </w:rPr>
                    <w:t>计划</w:t>
                  </w:r>
                </w:p>
              </w:tc>
              <w:tc>
                <w:tcPr>
                  <w:tcW w:w="1646" w:type="dxa"/>
                  <w:vAlign w:val="center"/>
                </w:tcPr>
                <w:p>
                  <w:pPr>
                    <w:spacing w:line="240" w:lineRule="auto"/>
                    <w:jc w:val="center"/>
                    <w:rPr>
                      <w:color w:val="000000"/>
                      <w:sz w:val="21"/>
                      <w:szCs w:val="21"/>
                    </w:rPr>
                  </w:pPr>
                  <w:r>
                    <w:rPr>
                      <w:color w:val="000000"/>
                      <w:sz w:val="21"/>
                      <w:szCs w:val="21"/>
                    </w:rPr>
                    <w:t>污染源监测</w:t>
                  </w:r>
                </w:p>
              </w:tc>
              <w:tc>
                <w:tcPr>
                  <w:tcW w:w="2977" w:type="dxa"/>
                  <w:gridSpan w:val="4"/>
                  <w:vAlign w:val="center"/>
                </w:tcPr>
                <w:p>
                  <w:pPr>
                    <w:spacing w:line="240" w:lineRule="auto"/>
                    <w:jc w:val="center"/>
                    <w:rPr>
                      <w:color w:val="000000"/>
                      <w:kern w:val="21"/>
                      <w:sz w:val="21"/>
                      <w:szCs w:val="21"/>
                    </w:rPr>
                  </w:pPr>
                  <w:r>
                    <w:rPr>
                      <w:color w:val="000000"/>
                      <w:kern w:val="21"/>
                      <w:sz w:val="21"/>
                      <w:szCs w:val="21"/>
                    </w:rPr>
                    <w:t>监测因子：（</w:t>
                  </w:r>
                  <w:r>
                    <w:rPr>
                      <w:rFonts w:hint="eastAsia"/>
                      <w:color w:val="000000"/>
                      <w:kern w:val="21"/>
                      <w:sz w:val="21"/>
                      <w:szCs w:val="21"/>
                    </w:rPr>
                    <w:t>TSP</w:t>
                  </w:r>
                  <w:r>
                    <w:rPr>
                      <w:color w:val="000000"/>
                      <w:kern w:val="21"/>
                      <w:sz w:val="21"/>
                      <w:szCs w:val="21"/>
                    </w:rPr>
                    <w:t>）</w:t>
                  </w:r>
                </w:p>
              </w:tc>
              <w:tc>
                <w:tcPr>
                  <w:tcW w:w="2424" w:type="dxa"/>
                  <w:gridSpan w:val="5"/>
                  <w:vAlign w:val="center"/>
                </w:tcPr>
                <w:p>
                  <w:pPr>
                    <w:spacing w:line="240" w:lineRule="auto"/>
                    <w:jc w:val="center"/>
                    <w:rPr>
                      <w:color w:val="000000"/>
                      <w:sz w:val="21"/>
                      <w:szCs w:val="21"/>
                    </w:rPr>
                  </w:pPr>
                  <w:r>
                    <w:rPr>
                      <w:color w:val="000000"/>
                      <w:sz w:val="21"/>
                      <w:szCs w:val="21"/>
                    </w:rPr>
                    <w:t>有组织废气监测</w:t>
                  </w:r>
                  <w:r>
                    <w:rPr>
                      <w:rFonts w:hint="eastAsia" w:eastAsia="仿宋"/>
                      <w:color w:val="000000"/>
                      <w:sz w:val="21"/>
                      <w:szCs w:val="21"/>
                    </w:rPr>
                    <w:sym w:font="Wingdings 2" w:char="0052"/>
                  </w:r>
                  <w:r>
                    <w:rPr>
                      <w:color w:val="000000"/>
                      <w:sz w:val="21"/>
                      <w:szCs w:val="21"/>
                    </w:rPr>
                    <w:t xml:space="preserve">    </w:t>
                  </w:r>
                  <w:r>
                    <w:rPr>
                      <w:color w:val="000000"/>
                      <w:sz w:val="21"/>
                      <w:szCs w:val="21"/>
                    </w:rPr>
                    <w:br w:type="textWrapping"/>
                  </w:r>
                  <w:r>
                    <w:rPr>
                      <w:color w:val="000000"/>
                      <w:sz w:val="21"/>
                      <w:szCs w:val="21"/>
                    </w:rPr>
                    <w:t>无组织废气监测</w:t>
                  </w:r>
                  <w:r>
                    <w:rPr>
                      <w:rFonts w:eastAsia="仿宋"/>
                      <w:color w:val="000000"/>
                      <w:sz w:val="21"/>
                      <w:szCs w:val="21"/>
                    </w:rPr>
                    <w:sym w:font="Wingdings 2" w:char="0052"/>
                  </w:r>
                </w:p>
              </w:tc>
              <w:tc>
                <w:tcPr>
                  <w:tcW w:w="1127" w:type="dxa"/>
                  <w:gridSpan w:val="2"/>
                  <w:vAlign w:val="center"/>
                </w:tcPr>
                <w:p>
                  <w:pPr>
                    <w:spacing w:line="240" w:lineRule="auto"/>
                    <w:jc w:val="center"/>
                    <w:rPr>
                      <w:color w:val="000000"/>
                      <w:sz w:val="21"/>
                      <w:szCs w:val="21"/>
                    </w:rPr>
                  </w:pPr>
                  <w:r>
                    <w:rPr>
                      <w:color w:val="000000"/>
                      <w:sz w:val="21"/>
                      <w:szCs w:val="21"/>
                    </w:rPr>
                    <w:t>无监测</w:t>
                  </w:r>
                  <w:r>
                    <w:rPr>
                      <w:rFonts w:eastAsia="仿宋"/>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 w:hRule="atLeast"/>
                <w:jc w:val="center"/>
              </w:trPr>
              <w:tc>
                <w:tcPr>
                  <w:tcW w:w="935" w:type="dxa"/>
                  <w:vMerge w:val="continue"/>
                  <w:vAlign w:val="center"/>
                </w:tcPr>
                <w:p>
                  <w:pPr>
                    <w:spacing w:line="240" w:lineRule="auto"/>
                    <w:jc w:val="center"/>
                    <w:rPr>
                      <w:color w:val="000000"/>
                      <w:sz w:val="21"/>
                      <w:szCs w:val="21"/>
                    </w:rPr>
                  </w:pPr>
                </w:p>
              </w:tc>
              <w:tc>
                <w:tcPr>
                  <w:tcW w:w="1646" w:type="dxa"/>
                  <w:vAlign w:val="center"/>
                </w:tcPr>
                <w:p>
                  <w:pPr>
                    <w:spacing w:line="240" w:lineRule="auto"/>
                    <w:jc w:val="center"/>
                    <w:rPr>
                      <w:color w:val="000000"/>
                      <w:sz w:val="21"/>
                      <w:szCs w:val="21"/>
                    </w:rPr>
                  </w:pPr>
                  <w:r>
                    <w:rPr>
                      <w:color w:val="000000"/>
                      <w:sz w:val="21"/>
                      <w:szCs w:val="21"/>
                    </w:rPr>
                    <w:t>环境质量监测</w:t>
                  </w:r>
                </w:p>
              </w:tc>
              <w:tc>
                <w:tcPr>
                  <w:tcW w:w="2977" w:type="dxa"/>
                  <w:gridSpan w:val="4"/>
                  <w:vAlign w:val="center"/>
                </w:tcPr>
                <w:p>
                  <w:pPr>
                    <w:spacing w:line="240" w:lineRule="auto"/>
                    <w:jc w:val="center"/>
                    <w:rPr>
                      <w:color w:val="000000"/>
                      <w:sz w:val="21"/>
                      <w:szCs w:val="21"/>
                    </w:rPr>
                  </w:pPr>
                  <w:r>
                    <w:rPr>
                      <w:color w:val="000000"/>
                      <w:sz w:val="21"/>
                      <w:szCs w:val="21"/>
                    </w:rPr>
                    <w:t>监测因子：（</w:t>
                  </w:r>
                  <w:r>
                    <w:rPr>
                      <w:rFonts w:hint="eastAsia"/>
                      <w:color w:val="000000"/>
                      <w:sz w:val="21"/>
                      <w:szCs w:val="21"/>
                    </w:rPr>
                    <w:t xml:space="preserve"> </w:t>
                  </w:r>
                  <w:r>
                    <w:rPr>
                      <w:rFonts w:hint="eastAsia"/>
                      <w:bCs/>
                      <w:sz w:val="21"/>
                      <w:szCs w:val="21"/>
                    </w:rPr>
                    <w:t xml:space="preserve">/ </w:t>
                  </w:r>
                  <w:r>
                    <w:rPr>
                      <w:color w:val="000000"/>
                      <w:sz w:val="21"/>
                      <w:szCs w:val="21"/>
                    </w:rPr>
                    <w:t>）</w:t>
                  </w:r>
                </w:p>
              </w:tc>
              <w:tc>
                <w:tcPr>
                  <w:tcW w:w="2424" w:type="dxa"/>
                  <w:gridSpan w:val="5"/>
                  <w:vAlign w:val="center"/>
                </w:tcPr>
                <w:p>
                  <w:pPr>
                    <w:spacing w:line="240" w:lineRule="auto"/>
                    <w:jc w:val="center"/>
                    <w:rPr>
                      <w:color w:val="000000"/>
                      <w:sz w:val="21"/>
                      <w:szCs w:val="21"/>
                    </w:rPr>
                  </w:pPr>
                  <w:r>
                    <w:rPr>
                      <w:color w:val="000000"/>
                      <w:sz w:val="21"/>
                      <w:szCs w:val="21"/>
                    </w:rPr>
                    <w:t>监测点位数（</w:t>
                  </w:r>
                  <w:r>
                    <w:rPr>
                      <w:rFonts w:hint="eastAsia"/>
                      <w:color w:val="000000"/>
                      <w:sz w:val="21"/>
                      <w:szCs w:val="21"/>
                    </w:rPr>
                    <w:t xml:space="preserve"> / </w:t>
                  </w:r>
                  <w:r>
                    <w:rPr>
                      <w:color w:val="000000"/>
                      <w:sz w:val="21"/>
                      <w:szCs w:val="21"/>
                    </w:rPr>
                    <w:t>）</w:t>
                  </w:r>
                </w:p>
              </w:tc>
              <w:tc>
                <w:tcPr>
                  <w:tcW w:w="1127" w:type="dxa"/>
                  <w:gridSpan w:val="2"/>
                  <w:vAlign w:val="center"/>
                </w:tcPr>
                <w:p>
                  <w:pPr>
                    <w:spacing w:line="240" w:lineRule="auto"/>
                    <w:jc w:val="center"/>
                    <w:rPr>
                      <w:color w:val="000000"/>
                      <w:sz w:val="21"/>
                      <w:szCs w:val="21"/>
                    </w:rPr>
                  </w:pPr>
                  <w:r>
                    <w:rPr>
                      <w:color w:val="000000"/>
                      <w:sz w:val="21"/>
                      <w:szCs w:val="21"/>
                    </w:rPr>
                    <w:t>无监测</w:t>
                  </w:r>
                  <w:r>
                    <w:rPr>
                      <w:rFonts w:eastAsia="仿宋"/>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6" w:hRule="atLeast"/>
                <w:jc w:val="center"/>
              </w:trPr>
              <w:tc>
                <w:tcPr>
                  <w:tcW w:w="935" w:type="dxa"/>
                  <w:vMerge w:val="restart"/>
                  <w:vAlign w:val="center"/>
                </w:tcPr>
                <w:p>
                  <w:pPr>
                    <w:spacing w:line="240" w:lineRule="auto"/>
                    <w:jc w:val="center"/>
                    <w:rPr>
                      <w:color w:val="000000"/>
                      <w:sz w:val="21"/>
                      <w:szCs w:val="21"/>
                    </w:rPr>
                  </w:pPr>
                  <w:r>
                    <w:rPr>
                      <w:color w:val="000000"/>
                      <w:sz w:val="21"/>
                      <w:szCs w:val="21"/>
                    </w:rPr>
                    <w:t>评价结论</w:t>
                  </w:r>
                </w:p>
              </w:tc>
              <w:tc>
                <w:tcPr>
                  <w:tcW w:w="1646" w:type="dxa"/>
                  <w:vAlign w:val="center"/>
                </w:tcPr>
                <w:p>
                  <w:pPr>
                    <w:spacing w:line="240" w:lineRule="auto"/>
                    <w:jc w:val="center"/>
                    <w:rPr>
                      <w:color w:val="000000"/>
                      <w:sz w:val="21"/>
                      <w:szCs w:val="21"/>
                    </w:rPr>
                  </w:pPr>
                  <w:r>
                    <w:rPr>
                      <w:color w:val="000000"/>
                      <w:sz w:val="21"/>
                      <w:szCs w:val="21"/>
                    </w:rPr>
                    <w:t>环境影响</w:t>
                  </w:r>
                </w:p>
              </w:tc>
              <w:tc>
                <w:tcPr>
                  <w:tcW w:w="6528" w:type="dxa"/>
                  <w:gridSpan w:val="11"/>
                  <w:vAlign w:val="center"/>
                </w:tcPr>
                <w:p>
                  <w:pPr>
                    <w:spacing w:line="240" w:lineRule="auto"/>
                    <w:jc w:val="center"/>
                    <w:rPr>
                      <w:color w:val="000000"/>
                      <w:sz w:val="21"/>
                      <w:szCs w:val="21"/>
                    </w:rPr>
                  </w:pPr>
                  <w:r>
                    <w:rPr>
                      <w:color w:val="000000"/>
                      <w:sz w:val="21"/>
                      <w:szCs w:val="21"/>
                    </w:rPr>
                    <w:t xml:space="preserve">可以接受 </w:t>
                  </w:r>
                  <w:r>
                    <w:rPr>
                      <w:rFonts w:eastAsia="仿宋"/>
                      <w:color w:val="000000"/>
                      <w:sz w:val="21"/>
                      <w:szCs w:val="21"/>
                    </w:rPr>
                    <w:t>☑</w:t>
                  </w:r>
                  <w:r>
                    <w:rPr>
                      <w:color w:val="000000"/>
                      <w:sz w:val="21"/>
                      <w:szCs w:val="21"/>
                    </w:rPr>
                    <w:t xml:space="preserve">       不可以接受 </w:t>
                  </w:r>
                  <w:r>
                    <w:rPr>
                      <w:rFonts w:eastAsia="仿宋"/>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0" w:hRule="atLeast"/>
                <w:jc w:val="center"/>
              </w:trPr>
              <w:tc>
                <w:tcPr>
                  <w:tcW w:w="935" w:type="dxa"/>
                  <w:vMerge w:val="continue"/>
                  <w:vAlign w:val="center"/>
                </w:tcPr>
                <w:p>
                  <w:pPr>
                    <w:spacing w:line="240" w:lineRule="auto"/>
                    <w:jc w:val="center"/>
                    <w:rPr>
                      <w:color w:val="000000"/>
                      <w:sz w:val="21"/>
                      <w:szCs w:val="21"/>
                    </w:rPr>
                  </w:pPr>
                </w:p>
              </w:tc>
              <w:tc>
                <w:tcPr>
                  <w:tcW w:w="1646" w:type="dxa"/>
                  <w:vAlign w:val="center"/>
                </w:tcPr>
                <w:p>
                  <w:pPr>
                    <w:spacing w:line="240" w:lineRule="auto"/>
                    <w:jc w:val="center"/>
                    <w:rPr>
                      <w:color w:val="000000"/>
                      <w:sz w:val="21"/>
                      <w:szCs w:val="21"/>
                    </w:rPr>
                  </w:pPr>
                  <w:r>
                    <w:rPr>
                      <w:color w:val="000000"/>
                      <w:sz w:val="21"/>
                      <w:szCs w:val="21"/>
                    </w:rPr>
                    <w:t>大气环境防护</w:t>
                  </w:r>
                </w:p>
                <w:p>
                  <w:pPr>
                    <w:spacing w:line="240" w:lineRule="auto"/>
                    <w:jc w:val="center"/>
                    <w:rPr>
                      <w:color w:val="000000"/>
                      <w:sz w:val="21"/>
                      <w:szCs w:val="21"/>
                    </w:rPr>
                  </w:pPr>
                  <w:r>
                    <w:rPr>
                      <w:color w:val="000000"/>
                      <w:sz w:val="21"/>
                      <w:szCs w:val="21"/>
                    </w:rPr>
                    <w:t>距离</w:t>
                  </w:r>
                </w:p>
              </w:tc>
              <w:tc>
                <w:tcPr>
                  <w:tcW w:w="6528" w:type="dxa"/>
                  <w:gridSpan w:val="11"/>
                  <w:vAlign w:val="center"/>
                </w:tcPr>
                <w:p>
                  <w:pPr>
                    <w:spacing w:line="240" w:lineRule="auto"/>
                    <w:jc w:val="center"/>
                    <w:rPr>
                      <w:color w:val="000000"/>
                      <w:sz w:val="21"/>
                      <w:szCs w:val="21"/>
                    </w:rPr>
                  </w:pPr>
                  <w:r>
                    <w:rPr>
                      <w:color w:val="000000"/>
                      <w:sz w:val="21"/>
                      <w:szCs w:val="21"/>
                    </w:rPr>
                    <w:t>距（</w:t>
                  </w:r>
                  <w:r>
                    <w:rPr>
                      <w:rFonts w:hint="eastAsia"/>
                      <w:color w:val="000000"/>
                      <w:sz w:val="21"/>
                      <w:szCs w:val="21"/>
                    </w:rPr>
                    <w:t>/</w:t>
                  </w:r>
                  <w:r>
                    <w:rPr>
                      <w:color w:val="000000"/>
                      <w:sz w:val="21"/>
                      <w:szCs w:val="21"/>
                    </w:rPr>
                    <w:t>）厂界最远（</w:t>
                  </w:r>
                  <w:r>
                    <w:rPr>
                      <w:rFonts w:hint="eastAsia"/>
                      <w:color w:val="000000"/>
                      <w:sz w:val="21"/>
                      <w:szCs w:val="21"/>
                    </w:rPr>
                    <w:t>/</w:t>
                  </w:r>
                  <w:r>
                    <w:rPr>
                      <w:color w:val="000000"/>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 w:hRule="atLeast"/>
                <w:jc w:val="center"/>
              </w:trPr>
              <w:tc>
                <w:tcPr>
                  <w:tcW w:w="935" w:type="dxa"/>
                  <w:vMerge w:val="continue"/>
                  <w:vAlign w:val="center"/>
                </w:tcPr>
                <w:p>
                  <w:pPr>
                    <w:spacing w:line="240" w:lineRule="auto"/>
                    <w:jc w:val="center"/>
                    <w:rPr>
                      <w:color w:val="000000"/>
                      <w:sz w:val="21"/>
                      <w:szCs w:val="21"/>
                    </w:rPr>
                  </w:pPr>
                </w:p>
              </w:tc>
              <w:tc>
                <w:tcPr>
                  <w:tcW w:w="1646" w:type="dxa"/>
                  <w:vAlign w:val="center"/>
                </w:tcPr>
                <w:p>
                  <w:pPr>
                    <w:spacing w:line="240" w:lineRule="auto"/>
                    <w:jc w:val="center"/>
                    <w:rPr>
                      <w:color w:val="000000"/>
                      <w:sz w:val="21"/>
                      <w:szCs w:val="21"/>
                    </w:rPr>
                  </w:pPr>
                  <w:r>
                    <w:rPr>
                      <w:color w:val="000000"/>
                      <w:sz w:val="21"/>
                      <w:szCs w:val="21"/>
                    </w:rPr>
                    <w:t>污染源年排放量</w:t>
                  </w:r>
                </w:p>
              </w:tc>
              <w:tc>
                <w:tcPr>
                  <w:tcW w:w="1560" w:type="dxa"/>
                  <w:gridSpan w:val="2"/>
                  <w:vAlign w:val="center"/>
                </w:tcPr>
                <w:p>
                  <w:pPr>
                    <w:spacing w:line="240" w:lineRule="auto"/>
                    <w:jc w:val="center"/>
                    <w:rPr>
                      <w:color w:val="000000"/>
                      <w:sz w:val="21"/>
                      <w:szCs w:val="21"/>
                    </w:rPr>
                  </w:pPr>
                  <w:r>
                    <w:rPr>
                      <w:color w:val="000000"/>
                      <w:sz w:val="21"/>
                      <w:szCs w:val="21"/>
                    </w:rPr>
                    <w:t>SO</w:t>
                  </w:r>
                  <w:r>
                    <w:rPr>
                      <w:color w:val="000000"/>
                      <w:sz w:val="21"/>
                      <w:szCs w:val="21"/>
                      <w:vertAlign w:val="subscript"/>
                    </w:rPr>
                    <w:t>2</w:t>
                  </w:r>
                  <w:r>
                    <w:rPr>
                      <w:color w:val="000000"/>
                      <w:sz w:val="21"/>
                      <w:szCs w:val="21"/>
                    </w:rPr>
                    <w:t>：（</w:t>
                  </w:r>
                  <w:r>
                    <w:rPr>
                      <w:color w:val="000000"/>
                      <w:kern w:val="0"/>
                      <w:sz w:val="21"/>
                      <w:szCs w:val="21"/>
                      <w:lang w:bidi="ar"/>
                    </w:rPr>
                    <w:t>/</w:t>
                  </w:r>
                  <w:r>
                    <w:rPr>
                      <w:color w:val="000000"/>
                      <w:sz w:val="21"/>
                      <w:szCs w:val="21"/>
                    </w:rPr>
                    <w:t>）t/a</w:t>
                  </w:r>
                </w:p>
              </w:tc>
              <w:tc>
                <w:tcPr>
                  <w:tcW w:w="1417" w:type="dxa"/>
                  <w:gridSpan w:val="2"/>
                  <w:vAlign w:val="center"/>
                </w:tcPr>
                <w:p>
                  <w:pPr>
                    <w:spacing w:line="240" w:lineRule="auto"/>
                    <w:jc w:val="center"/>
                    <w:rPr>
                      <w:color w:val="000000"/>
                      <w:sz w:val="21"/>
                      <w:szCs w:val="21"/>
                    </w:rPr>
                  </w:pPr>
                  <w:r>
                    <w:rPr>
                      <w:color w:val="000000"/>
                      <w:sz w:val="21"/>
                      <w:szCs w:val="21"/>
                    </w:rPr>
                    <w:t>NO</w:t>
                  </w:r>
                  <w:r>
                    <w:rPr>
                      <w:color w:val="000000"/>
                      <w:sz w:val="21"/>
                      <w:szCs w:val="21"/>
                      <w:vertAlign w:val="subscript"/>
                    </w:rPr>
                    <w:t>X</w:t>
                  </w:r>
                  <w:r>
                    <w:rPr>
                      <w:color w:val="000000"/>
                      <w:sz w:val="21"/>
                      <w:szCs w:val="21"/>
                    </w:rPr>
                    <w:t>：（</w:t>
                  </w:r>
                  <w:r>
                    <w:rPr>
                      <w:kern w:val="0"/>
                      <w:sz w:val="21"/>
                      <w:szCs w:val="21"/>
                      <w:lang w:bidi="ar"/>
                    </w:rPr>
                    <w:t>/</w:t>
                  </w:r>
                  <w:r>
                    <w:rPr>
                      <w:color w:val="000000"/>
                      <w:sz w:val="21"/>
                      <w:szCs w:val="21"/>
                    </w:rPr>
                    <w:t>）t/a</w:t>
                  </w:r>
                </w:p>
              </w:tc>
              <w:tc>
                <w:tcPr>
                  <w:tcW w:w="2424" w:type="dxa"/>
                  <w:gridSpan w:val="5"/>
                  <w:vAlign w:val="center"/>
                </w:tcPr>
                <w:p>
                  <w:pPr>
                    <w:spacing w:line="240" w:lineRule="auto"/>
                    <w:jc w:val="center"/>
                    <w:rPr>
                      <w:color w:val="000000"/>
                      <w:sz w:val="21"/>
                      <w:szCs w:val="21"/>
                    </w:rPr>
                  </w:pPr>
                  <w:r>
                    <w:rPr>
                      <w:color w:val="000000"/>
                      <w:sz w:val="21"/>
                      <w:szCs w:val="21"/>
                    </w:rPr>
                    <w:t>颗粒物：（</w:t>
                  </w:r>
                  <w:r>
                    <w:rPr>
                      <w:rFonts w:hint="eastAsia"/>
                      <w:color w:val="000000"/>
                      <w:sz w:val="21"/>
                      <w:szCs w:val="21"/>
                    </w:rPr>
                    <w:t xml:space="preserve"> </w:t>
                  </w:r>
                  <w:r>
                    <w:rPr>
                      <w:color w:val="000000"/>
                      <w:sz w:val="21"/>
                      <w:szCs w:val="21"/>
                    </w:rPr>
                    <w:t>）t/a</w:t>
                  </w:r>
                </w:p>
              </w:tc>
              <w:tc>
                <w:tcPr>
                  <w:tcW w:w="1127" w:type="dxa"/>
                  <w:gridSpan w:val="2"/>
                  <w:vAlign w:val="center"/>
                </w:tcPr>
                <w:p>
                  <w:pPr>
                    <w:spacing w:line="240" w:lineRule="auto"/>
                    <w:jc w:val="center"/>
                    <w:rPr>
                      <w:color w:val="000000"/>
                      <w:sz w:val="21"/>
                      <w:szCs w:val="21"/>
                    </w:rPr>
                  </w:pPr>
                  <w:r>
                    <w:rPr>
                      <w:color w:val="000000"/>
                      <w:sz w:val="21"/>
                      <w:szCs w:val="21"/>
                    </w:rPr>
                    <w:t>VOC</w:t>
                  </w:r>
                  <w:r>
                    <w:rPr>
                      <w:color w:val="000000"/>
                      <w:sz w:val="21"/>
                      <w:szCs w:val="21"/>
                      <w:vertAlign w:val="subscript"/>
                    </w:rPr>
                    <w:t>S</w:t>
                  </w:r>
                  <w:r>
                    <w:rPr>
                      <w:color w:val="000000"/>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1" w:hRule="atLeast"/>
                <w:jc w:val="center"/>
              </w:trPr>
              <w:tc>
                <w:tcPr>
                  <w:tcW w:w="9109" w:type="dxa"/>
                  <w:gridSpan w:val="13"/>
                  <w:vAlign w:val="center"/>
                </w:tcPr>
                <w:p>
                  <w:pPr>
                    <w:spacing w:line="240" w:lineRule="auto"/>
                    <w:jc w:val="left"/>
                    <w:rPr>
                      <w:color w:val="000000"/>
                      <w:sz w:val="21"/>
                      <w:szCs w:val="21"/>
                    </w:rPr>
                  </w:pPr>
                  <w:r>
                    <w:rPr>
                      <w:color w:val="000000"/>
                      <w:sz w:val="21"/>
                      <w:szCs w:val="21"/>
                    </w:rPr>
                    <w:t>注：“</w:t>
                  </w:r>
                  <w:r>
                    <w:rPr>
                      <w:rFonts w:eastAsia="仿宋"/>
                      <w:color w:val="000000"/>
                      <w:sz w:val="21"/>
                      <w:szCs w:val="21"/>
                    </w:rPr>
                    <w:t>□</w:t>
                  </w:r>
                  <w:r>
                    <w:rPr>
                      <w:color w:val="000000"/>
                      <w:sz w:val="21"/>
                      <w:szCs w:val="21"/>
                    </w:rPr>
                    <w:t>” 为勾选项 ，填“√” ；“（   ）” 为内容填写项</w:t>
                  </w:r>
                </w:p>
              </w:tc>
            </w:tr>
          </w:tbl>
          <w:p>
            <w:pPr>
              <w:widowControl w:val="0"/>
              <w:ind w:firstLine="480" w:firstLineChars="200"/>
              <w:rPr>
                <w:bCs/>
              </w:rPr>
            </w:pPr>
            <w:r>
              <w:rPr>
                <w:bCs/>
              </w:rPr>
              <w:t>二、水环境影响分析</w:t>
            </w:r>
          </w:p>
          <w:p>
            <w:pPr>
              <w:widowControl w:val="0"/>
              <w:ind w:firstLine="480" w:firstLineChars="200"/>
              <w:textAlignment w:val="baseline"/>
            </w:pPr>
            <w:r>
              <w:t>1、地表水环境影响分析</w:t>
            </w:r>
          </w:p>
          <w:p>
            <w:pPr>
              <w:widowControl w:val="0"/>
              <w:ind w:firstLine="480" w:firstLineChars="200"/>
            </w:pPr>
            <w:r>
              <w:t>项目运营期废水主要为生活污水和生产废水</w:t>
            </w:r>
            <w:r>
              <w:rPr>
                <w:rFonts w:hint="eastAsia"/>
              </w:rPr>
              <w:t>。</w:t>
            </w:r>
          </w:p>
          <w:p>
            <w:pPr>
              <w:widowControl w:val="0"/>
              <w:ind w:firstLine="480" w:firstLineChars="200"/>
            </w:pPr>
            <w:r>
              <w:rPr>
                <w:rFonts w:hint="eastAsia"/>
              </w:rPr>
              <w:t>生活污水：本</w:t>
            </w:r>
            <w:r>
              <w:t>项目生活污水产生量为</w:t>
            </w:r>
            <w:r>
              <w:rPr>
                <w:rFonts w:hint="eastAsia"/>
              </w:rPr>
              <w:t>0.384</w:t>
            </w:r>
            <w:r>
              <w:t>m</w:t>
            </w:r>
            <w:r>
              <w:rPr>
                <w:vertAlign w:val="superscript"/>
              </w:rPr>
              <w:t>3</w:t>
            </w:r>
            <w:r>
              <w:t>/d</w:t>
            </w:r>
            <w:r>
              <w:rPr>
                <w:rFonts w:hint="eastAsia"/>
              </w:rPr>
              <w:t>、</w:t>
            </w:r>
            <w:r>
              <w:t>99.84m</w:t>
            </w:r>
            <w:r>
              <w:rPr>
                <w:vertAlign w:val="superscript"/>
              </w:rPr>
              <w:t>3</w:t>
            </w:r>
            <w:r>
              <w:t>/a，生活污水经厂区化粪池处理后作为农肥用于周边</w:t>
            </w:r>
            <w:r>
              <w:rPr>
                <w:rFonts w:hint="eastAsia"/>
              </w:rPr>
              <w:t>林地浇灌</w:t>
            </w:r>
            <w:r>
              <w:t>，不外排。</w:t>
            </w:r>
          </w:p>
          <w:p>
            <w:pPr>
              <w:widowControl w:val="0"/>
              <w:ind w:firstLine="480" w:firstLineChars="200"/>
            </w:pPr>
            <w:r>
              <w:t>生产废水</w:t>
            </w:r>
            <w:r>
              <w:rPr>
                <w:rFonts w:hint="eastAsia"/>
              </w:rPr>
              <w:t>：洗砂废水</w:t>
            </w:r>
            <w:r>
              <w:t>产生量为</w:t>
            </w:r>
            <w:r>
              <w:rPr>
                <w:rFonts w:hint="eastAsia"/>
              </w:rPr>
              <w:t>9.23</w:t>
            </w:r>
            <w:r>
              <w:t>m</w:t>
            </w:r>
            <w:r>
              <w:rPr>
                <w:vertAlign w:val="superscript"/>
              </w:rPr>
              <w:t>3</w:t>
            </w:r>
            <w:r>
              <w:t>/d</w:t>
            </w:r>
            <w:r>
              <w:rPr>
                <w:rFonts w:hint="eastAsia"/>
              </w:rPr>
              <w:t>、2400</w:t>
            </w:r>
            <w:r>
              <w:t>m</w:t>
            </w:r>
            <w:r>
              <w:rPr>
                <w:vertAlign w:val="superscript"/>
              </w:rPr>
              <w:t>3</w:t>
            </w:r>
            <w:r>
              <w:t>/a</w:t>
            </w:r>
            <w:r>
              <w:rPr>
                <w:rFonts w:hint="eastAsia"/>
              </w:rPr>
              <w:t>，运输</w:t>
            </w:r>
            <w:r>
              <w:t>车辆冲洗废水产生量为</w:t>
            </w:r>
            <w:r>
              <w:rPr>
                <w:rFonts w:hint="eastAsia"/>
              </w:rPr>
              <w:t>0.54</w:t>
            </w:r>
            <w:r>
              <w:t>m</w:t>
            </w:r>
            <w:r>
              <w:rPr>
                <w:vertAlign w:val="superscript"/>
              </w:rPr>
              <w:t>3</w:t>
            </w:r>
            <w:r>
              <w:t>/d</w:t>
            </w:r>
            <w:r>
              <w:rPr>
                <w:rFonts w:hint="eastAsia"/>
              </w:rPr>
              <w:t>、140.4</w:t>
            </w:r>
            <w:r>
              <w:t>m</w:t>
            </w:r>
            <w:r>
              <w:rPr>
                <w:vertAlign w:val="superscript"/>
              </w:rPr>
              <w:t>3</w:t>
            </w:r>
            <w:r>
              <w:t>/a</w:t>
            </w:r>
            <w:r>
              <w:rPr>
                <w:rFonts w:hint="eastAsia"/>
              </w:rPr>
              <w:t>，</w:t>
            </w:r>
            <w:r>
              <w:t>进入沉淀池，经沉淀处理后</w:t>
            </w:r>
            <w:r>
              <w:rPr>
                <w:rFonts w:hint="eastAsia"/>
              </w:rPr>
              <w:t>循环</w:t>
            </w:r>
            <w:r>
              <w:t>使用</w:t>
            </w:r>
            <w:r>
              <w:rPr>
                <w:rFonts w:hint="eastAsia"/>
              </w:rPr>
              <w:t>，</w:t>
            </w:r>
            <w:r>
              <w:t>不外排；喷雾废水部分进入产品</w:t>
            </w:r>
            <w:r>
              <w:rPr>
                <w:rFonts w:hint="eastAsia"/>
              </w:rPr>
              <w:t>，</w:t>
            </w:r>
            <w:r>
              <w:t>部分随粉尘沉降，不形成径流。</w:t>
            </w:r>
          </w:p>
          <w:p>
            <w:pPr>
              <w:widowControl w:val="0"/>
              <w:ind w:firstLine="480" w:firstLineChars="200"/>
            </w:pPr>
            <w:r>
              <w:rPr>
                <w:rFonts w:hint="eastAsia"/>
              </w:rPr>
              <w:t>根据《环境影响评价技术导则-地表水》（HJ2.3-2018），本项目属于水污染影响型建设项目，废水作为回水利用，不排放到外环境，按三级B评价。根据导则要求，三级B项目可不进行水环境影响预测。</w:t>
            </w:r>
          </w:p>
          <w:p>
            <w:pPr>
              <w:widowControl w:val="0"/>
              <w:ind w:firstLine="480"/>
            </w:pPr>
            <w:r>
              <w:rPr>
                <w:rFonts w:hint="eastAsia"/>
              </w:rPr>
              <w:t>2、废水处理可行性分析</w:t>
            </w:r>
          </w:p>
          <w:p>
            <w:pPr>
              <w:widowControl w:val="0"/>
              <w:ind w:firstLine="480"/>
            </w:pPr>
            <w:r>
              <w:rPr>
                <w:rFonts w:hint="eastAsia" w:ascii="宋体" w:hAnsi="宋体"/>
              </w:rPr>
              <w:t>⑴</w:t>
            </w:r>
            <w:r>
              <w:t>生活污水处理可行性分析</w:t>
            </w:r>
          </w:p>
          <w:p>
            <w:pPr>
              <w:widowControl w:val="0"/>
              <w:ind w:firstLine="480"/>
            </w:pPr>
            <w:r>
              <w:t>根据现场调查</w:t>
            </w:r>
            <w:r>
              <w:rPr>
                <w:rFonts w:hint="eastAsia"/>
              </w:rPr>
              <w:t>，</w:t>
            </w:r>
            <w:r>
              <w:t>项目周边均为林地</w:t>
            </w:r>
            <w:r>
              <w:rPr>
                <w:rFonts w:hint="eastAsia"/>
              </w:rPr>
              <w:t>，</w:t>
            </w:r>
            <w:r>
              <w:t>有能力消耗本项目产生的生活污水</w:t>
            </w:r>
            <w:r>
              <w:rPr>
                <w:rFonts w:hint="eastAsia"/>
              </w:rPr>
              <w:t>，</w:t>
            </w:r>
            <w:r>
              <w:t>生活污水用于林地施肥可行</w:t>
            </w:r>
            <w:r>
              <w:rPr>
                <w:rFonts w:hint="eastAsia"/>
              </w:rPr>
              <w:t>。</w:t>
            </w:r>
          </w:p>
          <w:p>
            <w:pPr>
              <w:widowControl w:val="0"/>
              <w:ind w:firstLine="480"/>
              <w:rPr>
                <w:highlight w:val="green"/>
              </w:rPr>
            </w:pPr>
            <w:r>
              <w:rPr>
                <w:rFonts w:hint="eastAsia" w:ascii="宋体" w:hAnsi="宋体"/>
                <w:highlight w:val="green"/>
              </w:rPr>
              <w:t>⑵</w:t>
            </w:r>
            <w:r>
              <w:rPr>
                <w:rFonts w:hint="eastAsia"/>
                <w:highlight w:val="green"/>
              </w:rPr>
              <w:t>生产废水处理工艺及循环利用可行性分析</w:t>
            </w:r>
          </w:p>
          <w:p>
            <w:pPr>
              <w:widowControl w:val="0"/>
              <w:ind w:firstLine="480"/>
              <w:rPr>
                <w:highlight w:val="green"/>
              </w:rPr>
            </w:pPr>
            <w:r>
              <w:rPr>
                <w:rFonts w:hint="eastAsia"/>
                <w:highlight w:val="green"/>
              </w:rPr>
              <w:t>建设单位拟建1座容积为</w:t>
            </w:r>
            <w:r>
              <w:rPr>
                <w:highlight w:val="green"/>
              </w:rPr>
              <w:t>20</w:t>
            </w:r>
            <w:r>
              <w:rPr>
                <w:rFonts w:hint="eastAsia"/>
                <w:highlight w:val="green"/>
              </w:rPr>
              <w:t>0m</w:t>
            </w:r>
            <w:r>
              <w:rPr>
                <w:rFonts w:hint="eastAsia"/>
                <w:highlight w:val="green"/>
                <w:vertAlign w:val="superscript"/>
              </w:rPr>
              <w:t>3</w:t>
            </w:r>
            <w:r>
              <w:rPr>
                <w:rFonts w:hint="eastAsia"/>
                <w:highlight w:val="green"/>
              </w:rPr>
              <w:t>的沉淀池，在生产车间作业区设置废水收集管道，将洗砂废水收集后汇至沉淀池处理后全部回用，不外排。</w:t>
            </w:r>
          </w:p>
          <w:p>
            <w:pPr>
              <w:widowControl w:val="0"/>
              <w:jc w:val="center"/>
              <w:rPr>
                <w:highlight w:val="green"/>
              </w:rPr>
            </w:pPr>
            <w:r>
              <w:rPr>
                <w:highlight w:val="green"/>
              </w:rPr>
              <w:drawing>
                <wp:inline distT="0" distB="0" distL="0" distR="0">
                  <wp:extent cx="3254375" cy="2141855"/>
                  <wp:effectExtent l="0" t="0" r="3175" b="0"/>
                  <wp:docPr id="1" name="图片 1" descr="C:\Users\ADMINI~1\AppData\Local\Temp\WeChat Files\db1f093eebf0515d921ddde3d03e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db1f093eebf0515d921ddde3d03e3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286939" cy="2162957"/>
                          </a:xfrm>
                          <a:prstGeom prst="rect">
                            <a:avLst/>
                          </a:prstGeom>
                          <a:noFill/>
                          <a:ln>
                            <a:noFill/>
                          </a:ln>
                        </pic:spPr>
                      </pic:pic>
                    </a:graphicData>
                  </a:graphic>
                </wp:inline>
              </w:drawing>
            </w:r>
          </w:p>
          <w:p>
            <w:pPr>
              <w:widowControl w:val="0"/>
              <w:ind w:firstLine="480"/>
              <w:jc w:val="center"/>
              <w:rPr>
                <w:b/>
                <w:sz w:val="21"/>
                <w:szCs w:val="21"/>
                <w:highlight w:val="green"/>
              </w:rPr>
            </w:pPr>
            <w:r>
              <w:rPr>
                <w:rFonts w:hint="eastAsia"/>
                <w:b/>
                <w:sz w:val="21"/>
                <w:szCs w:val="21"/>
                <w:highlight w:val="green"/>
              </w:rPr>
              <w:t>图7-</w:t>
            </w:r>
            <w:r>
              <w:rPr>
                <w:b/>
                <w:sz w:val="21"/>
                <w:szCs w:val="21"/>
                <w:highlight w:val="green"/>
              </w:rPr>
              <w:t xml:space="preserve">1  </w:t>
            </w:r>
            <w:r>
              <w:rPr>
                <w:rFonts w:hint="eastAsia"/>
                <w:b/>
                <w:sz w:val="21"/>
                <w:szCs w:val="21"/>
                <w:highlight w:val="green"/>
              </w:rPr>
              <w:t>沉淀池处理工艺图</w:t>
            </w:r>
          </w:p>
          <w:p>
            <w:pPr>
              <w:widowControl w:val="0"/>
              <w:ind w:firstLine="480"/>
            </w:pPr>
            <w:r>
              <w:rPr>
                <w:rFonts w:hint="eastAsia"/>
                <w:highlight w:val="green"/>
              </w:rPr>
              <w:t>沉淀池由进、出水口、水流部分和污泥斗三个部分组成。池体平面为矩形，进出口分别设在池子的两端，进口一般采用淹没进水孔，水由进水渠通过均匀分布的进水孔流入池体，进水孔后设有挡板，使水流均匀地分布在整个池宽的横断面；出口多采用溢流堰，以保证沉淀后的澄清水可沿池宽均匀地流入出水渠。堰前设浮渣槽和挡板以截留水面浮渣。水流部分是池的主体，池宽和池深要保证水流沿池的过水断面布水均匀，依设计流速缓慢而稳定地流过。污泥斗用来积聚沉淀下来的污泥，多设在池前部的池底以下，斗底有排泥管，定期排泥。排出的污泥经泥浆压滤一体机处理后泥饼在弃渣场妥善处置。该处理工艺广泛用于该行业废水处理，根据行业经验，从技术经济角度分析，该废水处理工艺具备可行性。</w:t>
            </w:r>
          </w:p>
          <w:p>
            <w:pPr>
              <w:widowControl w:val="0"/>
              <w:ind w:firstLine="480"/>
            </w:pPr>
            <w:r>
              <w:rPr>
                <w:rFonts w:hint="eastAsia"/>
              </w:rPr>
              <w:t>综上所述</w:t>
            </w:r>
            <w:r>
              <w:t>，本项目运营期废水对周边地表水环境影响</w:t>
            </w:r>
            <w:r>
              <w:rPr>
                <w:rFonts w:hint="eastAsia"/>
              </w:rPr>
              <w:t>较小</w:t>
            </w:r>
            <w:r>
              <w:t>。</w:t>
            </w:r>
          </w:p>
          <w:p>
            <w:pPr>
              <w:pStyle w:val="58"/>
              <w:spacing w:line="360" w:lineRule="auto"/>
              <w:ind w:firstLine="480" w:firstLineChars="200"/>
            </w:pPr>
            <w:r>
              <w:rPr>
                <w:rFonts w:ascii="Times New Roman" w:cs="Times New Roman"/>
              </w:rPr>
              <w:t>2、</w:t>
            </w:r>
            <w:r>
              <w:rPr>
                <w:rFonts w:hint="eastAsia"/>
              </w:rPr>
              <w:t>地表水环境影响评价自查表</w:t>
            </w:r>
          </w:p>
          <w:p>
            <w:pPr>
              <w:keepNext/>
              <w:widowControl w:val="0"/>
              <w:ind w:firstLine="480" w:firstLineChars="200"/>
              <w:rPr>
                <w:color w:val="000000"/>
                <w:kern w:val="21"/>
              </w:rPr>
            </w:pPr>
            <w:r>
              <w:rPr>
                <w:color w:val="000000"/>
                <w:kern w:val="21"/>
              </w:rPr>
              <w:t>本项目</w:t>
            </w:r>
            <w:r>
              <w:rPr>
                <w:rFonts w:hint="eastAsia"/>
                <w:color w:val="000000"/>
                <w:kern w:val="21"/>
              </w:rPr>
              <w:t>地表水</w:t>
            </w:r>
            <w:r>
              <w:rPr>
                <w:color w:val="000000"/>
                <w:kern w:val="21"/>
              </w:rPr>
              <w:t>环境影响自查表详见表7</w:t>
            </w:r>
            <w:r>
              <w:rPr>
                <w:rFonts w:hint="eastAsia"/>
                <w:color w:val="000000"/>
                <w:kern w:val="21"/>
              </w:rPr>
              <w:t>-</w:t>
            </w:r>
            <w:r>
              <w:rPr>
                <w:color w:val="000000"/>
                <w:kern w:val="21"/>
              </w:rPr>
              <w:t>12。</w:t>
            </w:r>
          </w:p>
          <w:p>
            <w:pPr>
              <w:pStyle w:val="44"/>
              <w:widowControl w:val="0"/>
              <w:numPr>
                <w:ilvl w:val="0"/>
                <w:numId w:val="7"/>
              </w:numPr>
              <w:tabs>
                <w:tab w:val="left" w:pos="11"/>
              </w:tabs>
              <w:spacing w:line="240" w:lineRule="auto"/>
              <w:ind w:left="0" w:firstLine="0" w:firstLineChars="0"/>
              <w:jc w:val="center"/>
              <w:rPr>
                <w:b/>
                <w:sz w:val="21"/>
                <w:szCs w:val="21"/>
              </w:rPr>
            </w:pPr>
            <w:r>
              <w:rPr>
                <w:rFonts w:hint="eastAsia"/>
                <w:b/>
                <w:sz w:val="21"/>
                <w:szCs w:val="21"/>
              </w:rPr>
              <w:t>本项目地表水环境影响评价自查表</w:t>
            </w:r>
          </w:p>
          <w:tbl>
            <w:tblPr>
              <w:tblStyle w:val="24"/>
              <w:tblW w:w="9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1420"/>
              <w:gridCol w:w="1197"/>
              <w:gridCol w:w="718"/>
              <w:gridCol w:w="270"/>
              <w:gridCol w:w="585"/>
              <w:gridCol w:w="1083"/>
              <w:gridCol w:w="29"/>
              <w:gridCol w:w="485"/>
              <w:gridCol w:w="18"/>
              <w:gridCol w:w="432"/>
              <w:gridCol w:w="290"/>
              <w:gridCol w:w="1054"/>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1816" w:type="dxa"/>
                  <w:gridSpan w:val="2"/>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工作内容</w:t>
                  </w:r>
                </w:p>
              </w:tc>
              <w:tc>
                <w:tcPr>
                  <w:tcW w:w="7262" w:type="dxa"/>
                  <w:gridSpan w:val="12"/>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自查项目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6" w:type="dxa"/>
                  <w:vMerge w:val="restart"/>
                  <w:tcBorders>
                    <w:tl2br w:val="nil"/>
                    <w:tr2bl w:val="nil"/>
                  </w:tcBorders>
                  <w:shd w:val="clear" w:color="auto" w:fill="auto"/>
                  <w:vAlign w:val="center"/>
                </w:tcPr>
                <w:p>
                  <w:pPr>
                    <w:spacing w:line="280" w:lineRule="exact"/>
                    <w:rPr>
                      <w:color w:val="000000"/>
                      <w:sz w:val="18"/>
                      <w:szCs w:val="18"/>
                    </w:rPr>
                  </w:pPr>
                  <w:r>
                    <w:rPr>
                      <w:color w:val="000000"/>
                      <w:sz w:val="18"/>
                      <w:szCs w:val="18"/>
                    </w:rPr>
                    <w:t>影响识别</w:t>
                  </w:r>
                </w:p>
              </w:tc>
              <w:tc>
                <w:tcPr>
                  <w:tcW w:w="1420" w:type="dxa"/>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影响类型</w:t>
                  </w:r>
                </w:p>
              </w:tc>
              <w:tc>
                <w:tcPr>
                  <w:tcW w:w="7262" w:type="dxa"/>
                  <w:gridSpan w:val="12"/>
                  <w:tcBorders>
                    <w:tl2br w:val="nil"/>
                    <w:tr2bl w:val="nil"/>
                  </w:tcBorders>
                  <w:shd w:val="clear" w:color="auto" w:fill="auto"/>
                  <w:vAlign w:val="center"/>
                </w:tcPr>
                <w:p>
                  <w:pPr>
                    <w:spacing w:line="280" w:lineRule="exact"/>
                    <w:rPr>
                      <w:color w:val="000000"/>
                      <w:sz w:val="18"/>
                      <w:szCs w:val="18"/>
                    </w:rPr>
                  </w:pPr>
                  <w:r>
                    <w:rPr>
                      <w:color w:val="000000"/>
                      <w:sz w:val="18"/>
                      <w:szCs w:val="18"/>
                    </w:rPr>
                    <w:t>水污染影响型</w:t>
                  </w:r>
                  <w:r>
                    <w:rPr>
                      <w:color w:val="000000"/>
                      <w:sz w:val="18"/>
                      <w:szCs w:val="18"/>
                    </w:rPr>
                    <w:sym w:font="Wingdings 2" w:char="0052"/>
                  </w:r>
                  <w:r>
                    <w:rPr>
                      <w:color w:val="000000"/>
                      <w:sz w:val="18"/>
                      <w:szCs w:val="18"/>
                    </w:rPr>
                    <w:t>；水文要素影响型</w:t>
                  </w:r>
                  <w:r>
                    <w:rPr>
                      <w:color w:val="000000"/>
                      <w:sz w:val="18"/>
                      <w:szCs w:val="1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continue"/>
                  <w:tcBorders>
                    <w:tl2br w:val="nil"/>
                    <w:tr2bl w:val="nil"/>
                  </w:tcBorders>
                  <w:shd w:val="clear" w:color="auto" w:fill="auto"/>
                  <w:vAlign w:val="center"/>
                </w:tcPr>
                <w:p>
                  <w:pPr>
                    <w:spacing w:line="280" w:lineRule="exact"/>
                    <w:jc w:val="center"/>
                    <w:rPr>
                      <w:color w:val="000000"/>
                      <w:sz w:val="18"/>
                      <w:szCs w:val="18"/>
                    </w:rPr>
                  </w:pPr>
                </w:p>
              </w:tc>
              <w:tc>
                <w:tcPr>
                  <w:tcW w:w="1420" w:type="dxa"/>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水环境保护</w:t>
                  </w:r>
                </w:p>
                <w:p>
                  <w:pPr>
                    <w:spacing w:line="280" w:lineRule="exact"/>
                    <w:jc w:val="center"/>
                    <w:rPr>
                      <w:color w:val="000000"/>
                      <w:sz w:val="18"/>
                      <w:szCs w:val="18"/>
                    </w:rPr>
                  </w:pPr>
                  <w:r>
                    <w:rPr>
                      <w:color w:val="000000"/>
                      <w:sz w:val="18"/>
                      <w:szCs w:val="18"/>
                    </w:rPr>
                    <w:t>目标</w:t>
                  </w:r>
                </w:p>
              </w:tc>
              <w:tc>
                <w:tcPr>
                  <w:tcW w:w="7262" w:type="dxa"/>
                  <w:gridSpan w:val="12"/>
                  <w:tcBorders>
                    <w:tl2br w:val="nil"/>
                    <w:tr2bl w:val="nil"/>
                  </w:tcBorders>
                  <w:shd w:val="clear" w:color="auto" w:fill="auto"/>
                  <w:vAlign w:val="center"/>
                </w:tcPr>
                <w:p>
                  <w:pPr>
                    <w:spacing w:line="280" w:lineRule="exact"/>
                    <w:rPr>
                      <w:color w:val="000000"/>
                      <w:sz w:val="18"/>
                      <w:szCs w:val="18"/>
                    </w:rPr>
                  </w:pPr>
                  <w:r>
                    <w:rPr>
                      <w:color w:val="000000"/>
                      <w:sz w:val="18"/>
                      <w:szCs w:val="18"/>
                    </w:rPr>
                    <w:t>饮用水水源保护区</w:t>
                  </w:r>
                  <w:r>
                    <w:rPr>
                      <w:color w:val="000000"/>
                      <w:sz w:val="18"/>
                      <w:szCs w:val="18"/>
                    </w:rPr>
                    <w:sym w:font="Wingdings 2" w:char="00A3"/>
                  </w:r>
                  <w:r>
                    <w:rPr>
                      <w:color w:val="000000"/>
                      <w:sz w:val="18"/>
                      <w:szCs w:val="18"/>
                    </w:rPr>
                    <w:t>；饮用水取水口；涉水的自然保护区</w:t>
                  </w:r>
                  <w:r>
                    <w:rPr>
                      <w:color w:val="000000"/>
                      <w:sz w:val="18"/>
                      <w:szCs w:val="18"/>
                    </w:rPr>
                    <w:sym w:font="Wingdings 2" w:char="00A3"/>
                  </w:r>
                  <w:r>
                    <w:rPr>
                      <w:color w:val="000000"/>
                      <w:sz w:val="18"/>
                      <w:szCs w:val="18"/>
                    </w:rPr>
                    <w:t>；重要湿地</w:t>
                  </w:r>
                  <w:r>
                    <w:rPr>
                      <w:color w:val="000000"/>
                      <w:sz w:val="18"/>
                      <w:szCs w:val="18"/>
                    </w:rPr>
                    <w:sym w:font="Wingdings 2" w:char="00A3"/>
                  </w:r>
                  <w:r>
                    <w:rPr>
                      <w:color w:val="000000"/>
                      <w:sz w:val="18"/>
                      <w:szCs w:val="18"/>
                    </w:rPr>
                    <w:t>；</w:t>
                  </w:r>
                </w:p>
                <w:p>
                  <w:pPr>
                    <w:spacing w:line="280" w:lineRule="exact"/>
                    <w:rPr>
                      <w:color w:val="000000"/>
                      <w:sz w:val="18"/>
                      <w:szCs w:val="18"/>
                    </w:rPr>
                  </w:pPr>
                  <w:r>
                    <w:rPr>
                      <w:color w:val="000000"/>
                      <w:sz w:val="18"/>
                      <w:szCs w:val="18"/>
                    </w:rPr>
                    <w:t>重点保护与珍稀水生生物的栖息地</w:t>
                  </w:r>
                  <w:r>
                    <w:rPr>
                      <w:color w:val="000000"/>
                      <w:sz w:val="18"/>
                      <w:szCs w:val="18"/>
                    </w:rPr>
                    <w:sym w:font="Wingdings 2" w:char="00A3"/>
                  </w:r>
                  <w:r>
                    <w:rPr>
                      <w:color w:val="000000"/>
                      <w:sz w:val="18"/>
                      <w:szCs w:val="18"/>
                    </w:rPr>
                    <w:t>；重要水生生物的自然产卵场及索饵场、越冬场和洄游通道、天然渔场等渔业水体</w:t>
                  </w:r>
                  <w:r>
                    <w:rPr>
                      <w:color w:val="000000"/>
                      <w:sz w:val="18"/>
                      <w:szCs w:val="18"/>
                    </w:rPr>
                    <w:sym w:font="Wingdings 2" w:char="00A3"/>
                  </w:r>
                  <w:r>
                    <w:rPr>
                      <w:color w:val="000000"/>
                      <w:sz w:val="18"/>
                      <w:szCs w:val="18"/>
                    </w:rPr>
                    <w:t>；涉水的风景名胜区</w:t>
                  </w:r>
                  <w:r>
                    <w:rPr>
                      <w:color w:val="000000"/>
                      <w:sz w:val="18"/>
                      <w:szCs w:val="18"/>
                    </w:rPr>
                    <w:sym w:font="Wingdings 2" w:char="00A3"/>
                  </w:r>
                  <w:r>
                    <w:rPr>
                      <w:color w:val="000000"/>
                      <w:sz w:val="18"/>
                      <w:szCs w:val="18"/>
                    </w:rPr>
                    <w:t xml:space="preserve">；其他 </w:t>
                  </w:r>
                  <w:r>
                    <w:rPr>
                      <w:color w:val="000000"/>
                      <w:sz w:val="18"/>
                      <w:szCs w:val="1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continue"/>
                  <w:tcBorders>
                    <w:tl2br w:val="nil"/>
                    <w:tr2bl w:val="nil"/>
                  </w:tcBorders>
                  <w:shd w:val="clear" w:color="auto" w:fill="auto"/>
                  <w:vAlign w:val="center"/>
                </w:tcPr>
                <w:p>
                  <w:pPr>
                    <w:spacing w:line="280" w:lineRule="exact"/>
                    <w:jc w:val="center"/>
                    <w:rPr>
                      <w:color w:val="000000"/>
                      <w:sz w:val="18"/>
                      <w:szCs w:val="18"/>
                    </w:rPr>
                  </w:pPr>
                </w:p>
              </w:tc>
              <w:tc>
                <w:tcPr>
                  <w:tcW w:w="1420" w:type="dxa"/>
                  <w:vMerge w:val="restart"/>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影响途径</w:t>
                  </w:r>
                </w:p>
              </w:tc>
              <w:tc>
                <w:tcPr>
                  <w:tcW w:w="3853" w:type="dxa"/>
                  <w:gridSpan w:val="5"/>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水污染影响型</w:t>
                  </w:r>
                </w:p>
              </w:tc>
              <w:tc>
                <w:tcPr>
                  <w:tcW w:w="3409" w:type="dxa"/>
                  <w:gridSpan w:val="7"/>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水文要素影响型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continue"/>
                  <w:tcBorders>
                    <w:tl2br w:val="nil"/>
                    <w:tr2bl w:val="nil"/>
                  </w:tcBorders>
                  <w:shd w:val="clear" w:color="auto" w:fill="auto"/>
                  <w:vAlign w:val="center"/>
                </w:tcPr>
                <w:p>
                  <w:pPr>
                    <w:spacing w:line="280" w:lineRule="exact"/>
                    <w:jc w:val="center"/>
                    <w:rPr>
                      <w:color w:val="000000"/>
                      <w:sz w:val="18"/>
                      <w:szCs w:val="18"/>
                    </w:rPr>
                  </w:pPr>
                </w:p>
              </w:tc>
              <w:tc>
                <w:tcPr>
                  <w:tcW w:w="1420" w:type="dxa"/>
                  <w:vMerge w:val="continue"/>
                  <w:tcBorders>
                    <w:tl2br w:val="nil"/>
                    <w:tr2bl w:val="nil"/>
                  </w:tcBorders>
                  <w:shd w:val="clear" w:color="auto" w:fill="auto"/>
                  <w:vAlign w:val="center"/>
                </w:tcPr>
                <w:p>
                  <w:pPr>
                    <w:spacing w:line="280" w:lineRule="exact"/>
                    <w:jc w:val="center"/>
                    <w:rPr>
                      <w:color w:val="000000"/>
                      <w:sz w:val="18"/>
                      <w:szCs w:val="18"/>
                    </w:rPr>
                  </w:pPr>
                </w:p>
              </w:tc>
              <w:tc>
                <w:tcPr>
                  <w:tcW w:w="3853" w:type="dxa"/>
                  <w:gridSpan w:val="5"/>
                  <w:tcBorders>
                    <w:tl2br w:val="nil"/>
                    <w:tr2bl w:val="nil"/>
                  </w:tcBorders>
                  <w:shd w:val="clear" w:color="auto" w:fill="auto"/>
                  <w:vAlign w:val="center"/>
                </w:tcPr>
                <w:p>
                  <w:pPr>
                    <w:spacing w:line="280" w:lineRule="exact"/>
                    <w:rPr>
                      <w:color w:val="000000"/>
                      <w:sz w:val="18"/>
                      <w:szCs w:val="18"/>
                    </w:rPr>
                  </w:pPr>
                  <w:r>
                    <w:rPr>
                      <w:color w:val="000000"/>
                      <w:sz w:val="18"/>
                      <w:szCs w:val="18"/>
                    </w:rPr>
                    <w:t>直接排放</w:t>
                  </w:r>
                  <w:r>
                    <w:rPr>
                      <w:color w:val="000000"/>
                      <w:sz w:val="18"/>
                      <w:szCs w:val="18"/>
                    </w:rPr>
                    <w:sym w:font="Wingdings 2" w:char="00A3"/>
                  </w:r>
                  <w:r>
                    <w:rPr>
                      <w:color w:val="000000"/>
                      <w:sz w:val="18"/>
                      <w:szCs w:val="18"/>
                    </w:rPr>
                    <w:t>；间接排放</w:t>
                  </w:r>
                  <w:r>
                    <w:rPr>
                      <w:color w:val="000000"/>
                      <w:sz w:val="18"/>
                      <w:szCs w:val="18"/>
                    </w:rPr>
                    <w:sym w:font="Wingdings 2" w:char="0052"/>
                  </w:r>
                  <w:r>
                    <w:rPr>
                      <w:color w:val="000000"/>
                      <w:sz w:val="18"/>
                      <w:szCs w:val="18"/>
                    </w:rPr>
                    <w:t>；其他</w:t>
                  </w:r>
                  <w:r>
                    <w:rPr>
                      <w:color w:val="000000"/>
                      <w:sz w:val="18"/>
                      <w:szCs w:val="18"/>
                    </w:rPr>
                    <w:sym w:font="Wingdings 2" w:char="00A3"/>
                  </w:r>
                </w:p>
              </w:tc>
              <w:tc>
                <w:tcPr>
                  <w:tcW w:w="3409" w:type="dxa"/>
                  <w:gridSpan w:val="7"/>
                  <w:tcBorders>
                    <w:tl2br w:val="nil"/>
                    <w:tr2bl w:val="nil"/>
                  </w:tcBorders>
                  <w:shd w:val="clear" w:color="auto" w:fill="auto"/>
                  <w:vAlign w:val="center"/>
                </w:tcPr>
                <w:p>
                  <w:pPr>
                    <w:spacing w:line="280" w:lineRule="exact"/>
                    <w:rPr>
                      <w:color w:val="000000"/>
                      <w:sz w:val="18"/>
                      <w:szCs w:val="18"/>
                    </w:rPr>
                  </w:pPr>
                  <w:r>
                    <w:rPr>
                      <w:color w:val="000000"/>
                      <w:sz w:val="18"/>
                      <w:szCs w:val="18"/>
                    </w:rPr>
                    <w:t>水温</w:t>
                  </w:r>
                  <w:r>
                    <w:rPr>
                      <w:color w:val="000000"/>
                      <w:sz w:val="18"/>
                      <w:szCs w:val="18"/>
                    </w:rPr>
                    <w:sym w:font="Wingdings 2" w:char="00A3"/>
                  </w:r>
                  <w:r>
                    <w:rPr>
                      <w:color w:val="000000"/>
                      <w:sz w:val="18"/>
                      <w:szCs w:val="18"/>
                    </w:rPr>
                    <w:t>；径流</w:t>
                  </w:r>
                  <w:r>
                    <w:rPr>
                      <w:color w:val="000000"/>
                      <w:sz w:val="18"/>
                      <w:szCs w:val="18"/>
                    </w:rPr>
                    <w:sym w:font="Wingdings 2" w:char="00A3"/>
                  </w:r>
                  <w:r>
                    <w:rPr>
                      <w:color w:val="000000"/>
                      <w:sz w:val="18"/>
                      <w:szCs w:val="18"/>
                    </w:rPr>
                    <w:t>；水域面积</w:t>
                  </w:r>
                  <w:r>
                    <w:rPr>
                      <w:color w:val="000000"/>
                      <w:sz w:val="18"/>
                      <w:szCs w:val="1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continue"/>
                  <w:tcBorders>
                    <w:tl2br w:val="nil"/>
                    <w:tr2bl w:val="nil"/>
                  </w:tcBorders>
                  <w:shd w:val="clear" w:color="auto" w:fill="auto"/>
                  <w:vAlign w:val="center"/>
                </w:tcPr>
                <w:p>
                  <w:pPr>
                    <w:spacing w:line="280" w:lineRule="exact"/>
                    <w:jc w:val="center"/>
                    <w:rPr>
                      <w:color w:val="000000"/>
                      <w:sz w:val="18"/>
                      <w:szCs w:val="18"/>
                    </w:rPr>
                  </w:pPr>
                </w:p>
              </w:tc>
              <w:tc>
                <w:tcPr>
                  <w:tcW w:w="1420" w:type="dxa"/>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影响因子</w:t>
                  </w:r>
                </w:p>
              </w:tc>
              <w:tc>
                <w:tcPr>
                  <w:tcW w:w="3853" w:type="dxa"/>
                  <w:gridSpan w:val="5"/>
                  <w:tcBorders>
                    <w:tl2br w:val="nil"/>
                    <w:tr2bl w:val="nil"/>
                  </w:tcBorders>
                  <w:shd w:val="clear" w:color="auto" w:fill="auto"/>
                  <w:vAlign w:val="center"/>
                </w:tcPr>
                <w:p>
                  <w:pPr>
                    <w:spacing w:line="280" w:lineRule="exact"/>
                    <w:rPr>
                      <w:color w:val="000000"/>
                      <w:sz w:val="18"/>
                      <w:szCs w:val="18"/>
                    </w:rPr>
                  </w:pPr>
                  <w:r>
                    <w:rPr>
                      <w:color w:val="000000"/>
                      <w:sz w:val="18"/>
                      <w:szCs w:val="18"/>
                    </w:rPr>
                    <w:t>持久性污染物</w:t>
                  </w:r>
                  <w:r>
                    <w:rPr>
                      <w:color w:val="000000"/>
                      <w:sz w:val="18"/>
                      <w:szCs w:val="18"/>
                    </w:rPr>
                    <w:sym w:font="Wingdings 2" w:char="00A3"/>
                  </w:r>
                  <w:r>
                    <w:rPr>
                      <w:color w:val="000000"/>
                      <w:sz w:val="18"/>
                      <w:szCs w:val="18"/>
                    </w:rPr>
                    <w:t>；有毒有害污染物</w:t>
                  </w:r>
                  <w:r>
                    <w:rPr>
                      <w:color w:val="000000"/>
                      <w:sz w:val="18"/>
                      <w:szCs w:val="18"/>
                    </w:rPr>
                    <w:sym w:font="Wingdings 2" w:char="00A3"/>
                  </w:r>
                  <w:r>
                    <w:rPr>
                      <w:color w:val="000000"/>
                      <w:sz w:val="18"/>
                      <w:szCs w:val="18"/>
                    </w:rPr>
                    <w:t>；非持久性污染物</w:t>
                  </w:r>
                  <w:r>
                    <w:rPr>
                      <w:color w:val="000000"/>
                      <w:sz w:val="18"/>
                      <w:szCs w:val="18"/>
                    </w:rPr>
                    <w:sym w:font="Wingdings 2" w:char="00A3"/>
                  </w:r>
                  <w:r>
                    <w:rPr>
                      <w:color w:val="000000"/>
                      <w:sz w:val="18"/>
                      <w:szCs w:val="18"/>
                    </w:rPr>
                    <w:t>；pH值</w:t>
                  </w:r>
                  <w:r>
                    <w:rPr>
                      <w:color w:val="000000"/>
                      <w:sz w:val="18"/>
                      <w:szCs w:val="18"/>
                    </w:rPr>
                    <w:sym w:font="Wingdings 2" w:char="00A3"/>
                  </w:r>
                  <w:r>
                    <w:rPr>
                      <w:color w:val="000000"/>
                      <w:sz w:val="18"/>
                      <w:szCs w:val="18"/>
                    </w:rPr>
                    <w:t>；热污染</w:t>
                  </w:r>
                  <w:r>
                    <w:rPr>
                      <w:color w:val="000000"/>
                      <w:sz w:val="18"/>
                      <w:szCs w:val="18"/>
                    </w:rPr>
                    <w:sym w:font="Wingdings 2" w:char="00A3"/>
                  </w:r>
                  <w:r>
                    <w:rPr>
                      <w:color w:val="000000"/>
                      <w:sz w:val="18"/>
                      <w:szCs w:val="18"/>
                    </w:rPr>
                    <w:t>；富营养化</w:t>
                  </w:r>
                  <w:r>
                    <w:rPr>
                      <w:color w:val="000000"/>
                      <w:sz w:val="18"/>
                      <w:szCs w:val="18"/>
                    </w:rPr>
                    <w:sym w:font="Wingdings 2" w:char="00A3"/>
                  </w:r>
                  <w:r>
                    <w:rPr>
                      <w:color w:val="000000"/>
                      <w:sz w:val="18"/>
                      <w:szCs w:val="18"/>
                    </w:rPr>
                    <w:t xml:space="preserve">；其他 </w:t>
                  </w:r>
                  <w:r>
                    <w:rPr>
                      <w:color w:val="000000"/>
                      <w:sz w:val="18"/>
                      <w:szCs w:val="18"/>
                    </w:rPr>
                    <w:sym w:font="Wingdings 2" w:char="0052"/>
                  </w:r>
                </w:p>
              </w:tc>
              <w:tc>
                <w:tcPr>
                  <w:tcW w:w="3409" w:type="dxa"/>
                  <w:gridSpan w:val="7"/>
                  <w:tcBorders>
                    <w:tl2br w:val="nil"/>
                    <w:tr2bl w:val="nil"/>
                  </w:tcBorders>
                  <w:shd w:val="clear" w:color="auto" w:fill="auto"/>
                  <w:vAlign w:val="center"/>
                </w:tcPr>
                <w:p>
                  <w:pPr>
                    <w:spacing w:line="280" w:lineRule="exact"/>
                    <w:rPr>
                      <w:color w:val="000000"/>
                      <w:sz w:val="18"/>
                      <w:szCs w:val="18"/>
                    </w:rPr>
                  </w:pPr>
                  <w:r>
                    <w:rPr>
                      <w:color w:val="000000"/>
                      <w:sz w:val="18"/>
                      <w:szCs w:val="18"/>
                    </w:rPr>
                    <w:t>水温</w:t>
                  </w:r>
                  <w:r>
                    <w:rPr>
                      <w:color w:val="000000"/>
                      <w:sz w:val="18"/>
                      <w:szCs w:val="18"/>
                    </w:rPr>
                    <w:sym w:font="Wingdings 2" w:char="00A3"/>
                  </w:r>
                  <w:r>
                    <w:rPr>
                      <w:color w:val="000000"/>
                      <w:sz w:val="18"/>
                      <w:szCs w:val="18"/>
                    </w:rPr>
                    <w:t>；水位（水深）</w:t>
                  </w:r>
                  <w:r>
                    <w:rPr>
                      <w:color w:val="000000"/>
                      <w:sz w:val="18"/>
                      <w:szCs w:val="18"/>
                    </w:rPr>
                    <w:sym w:font="Wingdings 2" w:char="00A3"/>
                  </w:r>
                  <w:r>
                    <w:rPr>
                      <w:color w:val="000000"/>
                      <w:sz w:val="18"/>
                      <w:szCs w:val="18"/>
                    </w:rPr>
                    <w:t>；流速</w:t>
                  </w:r>
                  <w:r>
                    <w:rPr>
                      <w:color w:val="000000"/>
                      <w:sz w:val="18"/>
                      <w:szCs w:val="18"/>
                    </w:rPr>
                    <w:sym w:font="Wingdings 2" w:char="00A3"/>
                  </w:r>
                  <w:r>
                    <w:rPr>
                      <w:color w:val="000000"/>
                      <w:sz w:val="18"/>
                      <w:szCs w:val="18"/>
                    </w:rPr>
                    <w:t>；流量</w:t>
                  </w:r>
                  <w:r>
                    <w:rPr>
                      <w:color w:val="000000"/>
                      <w:sz w:val="18"/>
                      <w:szCs w:val="18"/>
                    </w:rPr>
                    <w:sym w:font="Wingdings 2" w:char="00A3"/>
                  </w:r>
                  <w:r>
                    <w:rPr>
                      <w:color w:val="000000"/>
                      <w:sz w:val="18"/>
                      <w:szCs w:val="18"/>
                    </w:rPr>
                    <w:t>；其他</w:t>
                  </w:r>
                  <w:r>
                    <w:rPr>
                      <w:color w:val="000000"/>
                      <w:sz w:val="18"/>
                      <w:szCs w:val="1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gridSpan w:val="2"/>
                  <w:vMerge w:val="restart"/>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评价等级</w:t>
                  </w:r>
                </w:p>
              </w:tc>
              <w:tc>
                <w:tcPr>
                  <w:tcW w:w="3853" w:type="dxa"/>
                  <w:gridSpan w:val="5"/>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水污染影响型</w:t>
                  </w:r>
                </w:p>
              </w:tc>
              <w:tc>
                <w:tcPr>
                  <w:tcW w:w="3409" w:type="dxa"/>
                  <w:gridSpan w:val="7"/>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水文要素影响型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gridSpan w:val="2"/>
                  <w:vMerge w:val="continue"/>
                  <w:tcBorders>
                    <w:tl2br w:val="nil"/>
                    <w:tr2bl w:val="nil"/>
                  </w:tcBorders>
                  <w:shd w:val="clear" w:color="auto" w:fill="auto"/>
                  <w:vAlign w:val="center"/>
                </w:tcPr>
                <w:p>
                  <w:pPr>
                    <w:spacing w:line="280" w:lineRule="exact"/>
                    <w:jc w:val="center"/>
                    <w:rPr>
                      <w:color w:val="000000"/>
                      <w:sz w:val="18"/>
                      <w:szCs w:val="18"/>
                    </w:rPr>
                  </w:pPr>
                </w:p>
              </w:tc>
              <w:tc>
                <w:tcPr>
                  <w:tcW w:w="3853" w:type="dxa"/>
                  <w:gridSpan w:val="5"/>
                  <w:tcBorders>
                    <w:tl2br w:val="nil"/>
                    <w:tr2bl w:val="nil"/>
                  </w:tcBorders>
                  <w:shd w:val="clear" w:color="auto" w:fill="auto"/>
                  <w:vAlign w:val="center"/>
                </w:tcPr>
                <w:p>
                  <w:pPr>
                    <w:spacing w:line="280" w:lineRule="exact"/>
                    <w:rPr>
                      <w:color w:val="000000"/>
                      <w:sz w:val="18"/>
                      <w:szCs w:val="18"/>
                    </w:rPr>
                  </w:pPr>
                  <w:r>
                    <w:rPr>
                      <w:color w:val="000000"/>
                      <w:sz w:val="18"/>
                      <w:szCs w:val="18"/>
                    </w:rPr>
                    <w:t>一级</w:t>
                  </w:r>
                  <w:r>
                    <w:rPr>
                      <w:color w:val="000000"/>
                      <w:sz w:val="18"/>
                      <w:szCs w:val="18"/>
                    </w:rPr>
                    <w:sym w:font="Wingdings 2" w:char="00A3"/>
                  </w:r>
                  <w:r>
                    <w:rPr>
                      <w:color w:val="000000"/>
                      <w:sz w:val="18"/>
                      <w:szCs w:val="18"/>
                    </w:rPr>
                    <w:t>；二级</w:t>
                  </w:r>
                  <w:r>
                    <w:rPr>
                      <w:color w:val="000000"/>
                      <w:sz w:val="18"/>
                      <w:szCs w:val="18"/>
                    </w:rPr>
                    <w:sym w:font="Wingdings 2" w:char="00A3"/>
                  </w:r>
                  <w:r>
                    <w:rPr>
                      <w:color w:val="000000"/>
                      <w:sz w:val="18"/>
                      <w:szCs w:val="18"/>
                    </w:rPr>
                    <w:t xml:space="preserve">；三级A </w:t>
                  </w:r>
                  <w:r>
                    <w:rPr>
                      <w:color w:val="000000"/>
                      <w:sz w:val="18"/>
                      <w:szCs w:val="18"/>
                    </w:rPr>
                    <w:sym w:font="Wingdings 2" w:char="00A3"/>
                  </w:r>
                  <w:r>
                    <w:rPr>
                      <w:color w:val="000000"/>
                      <w:sz w:val="18"/>
                      <w:szCs w:val="18"/>
                    </w:rPr>
                    <w:t xml:space="preserve">；三级B </w:t>
                  </w:r>
                  <w:r>
                    <w:rPr>
                      <w:color w:val="000000"/>
                      <w:sz w:val="18"/>
                      <w:szCs w:val="18"/>
                    </w:rPr>
                    <w:sym w:font="Wingdings 2" w:char="0052"/>
                  </w:r>
                  <w:r>
                    <w:rPr>
                      <w:color w:val="000000"/>
                      <w:sz w:val="18"/>
                      <w:szCs w:val="18"/>
                    </w:rPr>
                    <w:t>；</w:t>
                  </w:r>
                </w:p>
              </w:tc>
              <w:tc>
                <w:tcPr>
                  <w:tcW w:w="3409" w:type="dxa"/>
                  <w:gridSpan w:val="7"/>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一级</w:t>
                  </w:r>
                  <w:r>
                    <w:rPr>
                      <w:color w:val="000000"/>
                      <w:sz w:val="18"/>
                      <w:szCs w:val="18"/>
                    </w:rPr>
                    <w:sym w:font="Wingdings 2" w:char="00A3"/>
                  </w:r>
                  <w:r>
                    <w:rPr>
                      <w:color w:val="000000"/>
                      <w:sz w:val="18"/>
                      <w:szCs w:val="18"/>
                    </w:rPr>
                    <w:t>；二级</w:t>
                  </w:r>
                  <w:r>
                    <w:rPr>
                      <w:color w:val="000000"/>
                      <w:sz w:val="18"/>
                      <w:szCs w:val="18"/>
                    </w:rPr>
                    <w:sym w:font="Wingdings 2" w:char="00A3"/>
                  </w:r>
                  <w:r>
                    <w:rPr>
                      <w:color w:val="000000"/>
                      <w:sz w:val="18"/>
                      <w:szCs w:val="18"/>
                    </w:rPr>
                    <w:t>；三级</w:t>
                  </w:r>
                  <w:r>
                    <w:rPr>
                      <w:color w:val="000000"/>
                      <w:sz w:val="18"/>
                      <w:szCs w:val="1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restart"/>
                  <w:tcBorders>
                    <w:tl2br w:val="nil"/>
                    <w:tr2bl w:val="nil"/>
                  </w:tcBorders>
                  <w:shd w:val="clear" w:color="auto" w:fill="auto"/>
                  <w:vAlign w:val="center"/>
                </w:tcPr>
                <w:p>
                  <w:pPr>
                    <w:spacing w:line="280" w:lineRule="exact"/>
                    <w:rPr>
                      <w:color w:val="000000"/>
                      <w:sz w:val="18"/>
                      <w:szCs w:val="18"/>
                    </w:rPr>
                  </w:pPr>
                  <w:r>
                    <w:rPr>
                      <w:color w:val="000000"/>
                      <w:sz w:val="18"/>
                      <w:szCs w:val="18"/>
                    </w:rPr>
                    <w:t>现状调查</w:t>
                  </w:r>
                </w:p>
              </w:tc>
              <w:tc>
                <w:tcPr>
                  <w:tcW w:w="1420" w:type="dxa"/>
                  <w:vMerge w:val="restart"/>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区域污染源</w:t>
                  </w:r>
                </w:p>
              </w:tc>
              <w:tc>
                <w:tcPr>
                  <w:tcW w:w="3853" w:type="dxa"/>
                  <w:gridSpan w:val="5"/>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调查项目</w:t>
                  </w:r>
                </w:p>
              </w:tc>
              <w:tc>
                <w:tcPr>
                  <w:tcW w:w="3409" w:type="dxa"/>
                  <w:gridSpan w:val="7"/>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continue"/>
                  <w:tcBorders>
                    <w:tl2br w:val="nil"/>
                    <w:tr2bl w:val="nil"/>
                  </w:tcBorders>
                  <w:shd w:val="clear" w:color="auto" w:fill="auto"/>
                  <w:vAlign w:val="center"/>
                </w:tcPr>
                <w:p>
                  <w:pPr>
                    <w:spacing w:line="280" w:lineRule="exact"/>
                    <w:jc w:val="center"/>
                    <w:rPr>
                      <w:color w:val="000000"/>
                      <w:sz w:val="18"/>
                      <w:szCs w:val="18"/>
                    </w:rPr>
                  </w:pPr>
                </w:p>
              </w:tc>
              <w:tc>
                <w:tcPr>
                  <w:tcW w:w="1420" w:type="dxa"/>
                  <w:vMerge w:val="continue"/>
                  <w:tcBorders>
                    <w:tl2br w:val="nil"/>
                    <w:tr2bl w:val="nil"/>
                  </w:tcBorders>
                  <w:shd w:val="clear" w:color="auto" w:fill="auto"/>
                  <w:vAlign w:val="center"/>
                </w:tcPr>
                <w:p>
                  <w:pPr>
                    <w:spacing w:line="280" w:lineRule="exact"/>
                    <w:jc w:val="center"/>
                    <w:rPr>
                      <w:color w:val="000000"/>
                      <w:sz w:val="18"/>
                      <w:szCs w:val="18"/>
                    </w:rPr>
                  </w:pPr>
                </w:p>
              </w:tc>
              <w:tc>
                <w:tcPr>
                  <w:tcW w:w="2185" w:type="dxa"/>
                  <w:gridSpan w:val="3"/>
                  <w:tcBorders>
                    <w:tl2br w:val="nil"/>
                    <w:tr2bl w:val="nil"/>
                  </w:tcBorders>
                  <w:shd w:val="clear" w:color="auto" w:fill="auto"/>
                  <w:vAlign w:val="center"/>
                </w:tcPr>
                <w:p>
                  <w:pPr>
                    <w:spacing w:line="280" w:lineRule="exact"/>
                    <w:rPr>
                      <w:color w:val="000000"/>
                      <w:sz w:val="18"/>
                      <w:szCs w:val="18"/>
                    </w:rPr>
                  </w:pPr>
                  <w:r>
                    <w:rPr>
                      <w:color w:val="000000"/>
                      <w:sz w:val="18"/>
                      <w:szCs w:val="18"/>
                    </w:rPr>
                    <w:t>已建</w:t>
                  </w:r>
                  <w:r>
                    <w:rPr>
                      <w:color w:val="000000"/>
                      <w:sz w:val="18"/>
                      <w:szCs w:val="18"/>
                    </w:rPr>
                    <w:sym w:font="Wingdings 2" w:char="00A3"/>
                  </w:r>
                  <w:r>
                    <w:rPr>
                      <w:color w:val="000000"/>
                      <w:sz w:val="18"/>
                      <w:szCs w:val="18"/>
                    </w:rPr>
                    <w:t>；在建</w:t>
                  </w:r>
                  <w:r>
                    <w:rPr>
                      <w:color w:val="000000"/>
                      <w:sz w:val="18"/>
                      <w:szCs w:val="18"/>
                    </w:rPr>
                    <w:sym w:font="Wingdings 2" w:char="00A3"/>
                  </w:r>
                  <w:r>
                    <w:rPr>
                      <w:color w:val="000000"/>
                      <w:sz w:val="18"/>
                      <w:szCs w:val="18"/>
                    </w:rPr>
                    <w:t>；拟建</w:t>
                  </w:r>
                  <w:r>
                    <w:rPr>
                      <w:color w:val="000000"/>
                      <w:sz w:val="18"/>
                      <w:szCs w:val="18"/>
                    </w:rPr>
                    <w:sym w:font="Wingdings 2" w:char="00A3"/>
                  </w:r>
                  <w:r>
                    <w:rPr>
                      <w:color w:val="000000"/>
                      <w:sz w:val="18"/>
                      <w:szCs w:val="18"/>
                    </w:rPr>
                    <w:t>；其他</w:t>
                  </w:r>
                  <w:r>
                    <w:rPr>
                      <w:color w:val="000000"/>
                      <w:sz w:val="18"/>
                      <w:szCs w:val="18"/>
                    </w:rPr>
                    <w:sym w:font="Wingdings 2" w:char="00A3"/>
                  </w:r>
                </w:p>
              </w:tc>
              <w:tc>
                <w:tcPr>
                  <w:tcW w:w="1668" w:type="dxa"/>
                  <w:gridSpan w:val="2"/>
                  <w:tcBorders>
                    <w:tl2br w:val="nil"/>
                    <w:tr2bl w:val="nil"/>
                  </w:tcBorders>
                  <w:shd w:val="clear" w:color="auto" w:fill="auto"/>
                  <w:vAlign w:val="center"/>
                </w:tcPr>
                <w:p>
                  <w:pPr>
                    <w:spacing w:line="280" w:lineRule="exact"/>
                    <w:rPr>
                      <w:color w:val="000000"/>
                      <w:sz w:val="18"/>
                      <w:szCs w:val="18"/>
                    </w:rPr>
                  </w:pPr>
                  <w:r>
                    <w:rPr>
                      <w:color w:val="000000"/>
                      <w:sz w:val="18"/>
                      <w:szCs w:val="18"/>
                    </w:rPr>
                    <w:t>拟替代的污染物</w:t>
                  </w:r>
                  <w:r>
                    <w:rPr>
                      <w:color w:val="000000"/>
                      <w:sz w:val="18"/>
                      <w:szCs w:val="18"/>
                    </w:rPr>
                    <w:sym w:font="Wingdings 2" w:char="00A3"/>
                  </w:r>
                </w:p>
              </w:tc>
              <w:tc>
                <w:tcPr>
                  <w:tcW w:w="3409" w:type="dxa"/>
                  <w:gridSpan w:val="7"/>
                  <w:tcBorders>
                    <w:tl2br w:val="nil"/>
                    <w:tr2bl w:val="nil"/>
                  </w:tcBorders>
                  <w:shd w:val="clear" w:color="auto" w:fill="auto"/>
                  <w:vAlign w:val="center"/>
                </w:tcPr>
                <w:p>
                  <w:pPr>
                    <w:spacing w:line="280" w:lineRule="exact"/>
                    <w:rPr>
                      <w:color w:val="000000"/>
                      <w:sz w:val="18"/>
                      <w:szCs w:val="18"/>
                    </w:rPr>
                  </w:pPr>
                  <w:r>
                    <w:rPr>
                      <w:color w:val="000000"/>
                      <w:sz w:val="18"/>
                      <w:szCs w:val="18"/>
                    </w:rPr>
                    <w:t>排污许可证</w:t>
                  </w:r>
                  <w:r>
                    <w:rPr>
                      <w:color w:val="000000"/>
                      <w:sz w:val="18"/>
                      <w:szCs w:val="18"/>
                    </w:rPr>
                    <w:sym w:font="Wingdings 2" w:char="00A3"/>
                  </w:r>
                  <w:r>
                    <w:rPr>
                      <w:color w:val="000000"/>
                      <w:sz w:val="18"/>
                      <w:szCs w:val="18"/>
                    </w:rPr>
                    <w:t>；环评</w:t>
                  </w:r>
                  <w:r>
                    <w:rPr>
                      <w:color w:val="000000"/>
                      <w:sz w:val="18"/>
                      <w:szCs w:val="18"/>
                    </w:rPr>
                    <w:sym w:font="Wingdings 2" w:char="00A3"/>
                  </w:r>
                  <w:r>
                    <w:rPr>
                      <w:color w:val="000000"/>
                      <w:sz w:val="18"/>
                      <w:szCs w:val="18"/>
                    </w:rPr>
                    <w:t>；环保验收</w:t>
                  </w:r>
                  <w:r>
                    <w:rPr>
                      <w:color w:val="000000"/>
                      <w:sz w:val="18"/>
                      <w:szCs w:val="18"/>
                    </w:rPr>
                    <w:sym w:font="Wingdings 2" w:char="00A3"/>
                  </w:r>
                  <w:r>
                    <w:rPr>
                      <w:color w:val="000000"/>
                      <w:sz w:val="18"/>
                      <w:szCs w:val="18"/>
                    </w:rPr>
                    <w:t>；既有实测</w:t>
                  </w:r>
                  <w:r>
                    <w:rPr>
                      <w:color w:val="000000"/>
                      <w:sz w:val="18"/>
                      <w:szCs w:val="18"/>
                    </w:rPr>
                    <w:sym w:font="Wingdings 2" w:char="00A3"/>
                  </w:r>
                  <w:r>
                    <w:rPr>
                      <w:color w:val="000000"/>
                      <w:sz w:val="18"/>
                      <w:szCs w:val="18"/>
                    </w:rPr>
                    <w:t>；现场监测</w:t>
                  </w:r>
                  <w:r>
                    <w:rPr>
                      <w:color w:val="000000"/>
                      <w:sz w:val="18"/>
                      <w:szCs w:val="18"/>
                    </w:rPr>
                    <w:sym w:font="Wingdings 2" w:char="00A3"/>
                  </w:r>
                  <w:r>
                    <w:rPr>
                      <w:color w:val="000000"/>
                      <w:sz w:val="18"/>
                      <w:szCs w:val="18"/>
                    </w:rPr>
                    <w:t>；入河排放口数据</w:t>
                  </w:r>
                  <w:r>
                    <w:rPr>
                      <w:color w:val="000000"/>
                      <w:sz w:val="18"/>
                      <w:szCs w:val="18"/>
                    </w:rPr>
                    <w:sym w:font="Wingdings 2" w:char="00A3"/>
                  </w:r>
                  <w:r>
                    <w:rPr>
                      <w:color w:val="000000"/>
                      <w:sz w:val="18"/>
                      <w:szCs w:val="18"/>
                    </w:rPr>
                    <w:t>；其他</w:t>
                  </w:r>
                  <w:r>
                    <w:rPr>
                      <w:color w:val="000000"/>
                      <w:sz w:val="18"/>
                      <w:szCs w:val="1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continue"/>
                  <w:tcBorders>
                    <w:tl2br w:val="nil"/>
                    <w:tr2bl w:val="nil"/>
                  </w:tcBorders>
                  <w:shd w:val="clear" w:color="auto" w:fill="auto"/>
                  <w:vAlign w:val="center"/>
                </w:tcPr>
                <w:p>
                  <w:pPr>
                    <w:spacing w:line="280" w:lineRule="exact"/>
                    <w:jc w:val="center"/>
                    <w:rPr>
                      <w:color w:val="000000"/>
                      <w:sz w:val="18"/>
                      <w:szCs w:val="18"/>
                    </w:rPr>
                  </w:pPr>
                </w:p>
              </w:tc>
              <w:tc>
                <w:tcPr>
                  <w:tcW w:w="1420" w:type="dxa"/>
                  <w:vMerge w:val="restart"/>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受影响水体水环境质量</w:t>
                  </w:r>
                </w:p>
              </w:tc>
              <w:tc>
                <w:tcPr>
                  <w:tcW w:w="3853" w:type="dxa"/>
                  <w:gridSpan w:val="5"/>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调查时期</w:t>
                  </w:r>
                </w:p>
              </w:tc>
              <w:tc>
                <w:tcPr>
                  <w:tcW w:w="3409" w:type="dxa"/>
                  <w:gridSpan w:val="7"/>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continue"/>
                  <w:tcBorders>
                    <w:tl2br w:val="nil"/>
                    <w:tr2bl w:val="nil"/>
                  </w:tcBorders>
                  <w:shd w:val="clear" w:color="auto" w:fill="auto"/>
                  <w:vAlign w:val="center"/>
                </w:tcPr>
                <w:p>
                  <w:pPr>
                    <w:spacing w:line="280" w:lineRule="exact"/>
                    <w:jc w:val="center"/>
                    <w:rPr>
                      <w:color w:val="000000"/>
                      <w:sz w:val="18"/>
                      <w:szCs w:val="18"/>
                    </w:rPr>
                  </w:pPr>
                </w:p>
              </w:tc>
              <w:tc>
                <w:tcPr>
                  <w:tcW w:w="1420" w:type="dxa"/>
                  <w:vMerge w:val="continue"/>
                  <w:tcBorders>
                    <w:tl2br w:val="nil"/>
                    <w:tr2bl w:val="nil"/>
                  </w:tcBorders>
                  <w:shd w:val="clear" w:color="auto" w:fill="auto"/>
                  <w:vAlign w:val="center"/>
                </w:tcPr>
                <w:p>
                  <w:pPr>
                    <w:spacing w:line="280" w:lineRule="exact"/>
                    <w:jc w:val="center"/>
                    <w:rPr>
                      <w:color w:val="000000"/>
                      <w:sz w:val="18"/>
                      <w:szCs w:val="18"/>
                    </w:rPr>
                  </w:pPr>
                </w:p>
              </w:tc>
              <w:tc>
                <w:tcPr>
                  <w:tcW w:w="3853" w:type="dxa"/>
                  <w:gridSpan w:val="5"/>
                  <w:tcBorders>
                    <w:tl2br w:val="nil"/>
                    <w:tr2bl w:val="nil"/>
                  </w:tcBorders>
                  <w:shd w:val="clear" w:color="auto" w:fill="auto"/>
                  <w:vAlign w:val="center"/>
                </w:tcPr>
                <w:p>
                  <w:pPr>
                    <w:spacing w:line="280" w:lineRule="exact"/>
                    <w:rPr>
                      <w:color w:val="000000"/>
                      <w:sz w:val="18"/>
                      <w:szCs w:val="18"/>
                    </w:rPr>
                  </w:pPr>
                  <w:r>
                    <w:rPr>
                      <w:color w:val="000000"/>
                      <w:sz w:val="18"/>
                      <w:szCs w:val="18"/>
                    </w:rPr>
                    <w:t>丰水期</w:t>
                  </w:r>
                  <w:r>
                    <w:rPr>
                      <w:color w:val="000000"/>
                      <w:sz w:val="18"/>
                      <w:szCs w:val="18"/>
                    </w:rPr>
                    <w:sym w:font="Wingdings 2" w:char="00A3"/>
                  </w:r>
                  <w:r>
                    <w:rPr>
                      <w:color w:val="000000"/>
                      <w:sz w:val="18"/>
                      <w:szCs w:val="18"/>
                    </w:rPr>
                    <w:t>；平水期</w:t>
                  </w:r>
                  <w:r>
                    <w:rPr>
                      <w:color w:val="000000"/>
                      <w:sz w:val="18"/>
                      <w:szCs w:val="18"/>
                    </w:rPr>
                    <w:sym w:font="Wingdings 2" w:char="00A3"/>
                  </w:r>
                  <w:r>
                    <w:rPr>
                      <w:color w:val="000000"/>
                      <w:sz w:val="18"/>
                      <w:szCs w:val="18"/>
                    </w:rPr>
                    <w:t>；枯水期</w:t>
                  </w:r>
                  <w:r>
                    <w:rPr>
                      <w:color w:val="000000"/>
                      <w:sz w:val="18"/>
                      <w:szCs w:val="18"/>
                    </w:rPr>
                    <w:sym w:font="Wingdings 2" w:char="00A3"/>
                  </w:r>
                  <w:r>
                    <w:rPr>
                      <w:color w:val="000000"/>
                      <w:sz w:val="18"/>
                      <w:szCs w:val="18"/>
                    </w:rPr>
                    <w:t>；冰封期</w:t>
                  </w:r>
                  <w:r>
                    <w:rPr>
                      <w:color w:val="000000"/>
                      <w:sz w:val="18"/>
                      <w:szCs w:val="18"/>
                    </w:rPr>
                    <w:sym w:font="Wingdings 2" w:char="00A3"/>
                  </w:r>
                </w:p>
                <w:p>
                  <w:pPr>
                    <w:spacing w:line="280" w:lineRule="exact"/>
                    <w:rPr>
                      <w:color w:val="000000"/>
                      <w:sz w:val="18"/>
                      <w:szCs w:val="18"/>
                    </w:rPr>
                  </w:pPr>
                  <w:r>
                    <w:rPr>
                      <w:color w:val="000000"/>
                      <w:sz w:val="18"/>
                      <w:szCs w:val="18"/>
                    </w:rPr>
                    <w:t>春季</w:t>
                  </w:r>
                  <w:r>
                    <w:rPr>
                      <w:color w:val="000000"/>
                      <w:sz w:val="18"/>
                      <w:szCs w:val="18"/>
                    </w:rPr>
                    <w:sym w:font="Wingdings 2" w:char="00A3"/>
                  </w:r>
                  <w:r>
                    <w:rPr>
                      <w:color w:val="000000"/>
                      <w:sz w:val="18"/>
                      <w:szCs w:val="18"/>
                    </w:rPr>
                    <w:t>；夏季</w:t>
                  </w:r>
                  <w:r>
                    <w:rPr>
                      <w:color w:val="000000"/>
                      <w:sz w:val="18"/>
                      <w:szCs w:val="18"/>
                    </w:rPr>
                    <w:sym w:font="Wingdings 2" w:char="00A3"/>
                  </w:r>
                  <w:r>
                    <w:rPr>
                      <w:color w:val="000000"/>
                      <w:sz w:val="18"/>
                      <w:szCs w:val="18"/>
                    </w:rPr>
                    <w:t>；秋季</w:t>
                  </w:r>
                  <w:r>
                    <w:rPr>
                      <w:color w:val="000000"/>
                      <w:sz w:val="18"/>
                      <w:szCs w:val="18"/>
                    </w:rPr>
                    <w:sym w:font="Wingdings 2" w:char="00A3"/>
                  </w:r>
                  <w:r>
                    <w:rPr>
                      <w:color w:val="000000"/>
                      <w:sz w:val="18"/>
                      <w:szCs w:val="18"/>
                    </w:rPr>
                    <w:t>；冬季</w:t>
                  </w:r>
                  <w:r>
                    <w:rPr>
                      <w:color w:val="000000"/>
                      <w:sz w:val="18"/>
                      <w:szCs w:val="18"/>
                    </w:rPr>
                    <w:sym w:font="Wingdings 2" w:char="00A3"/>
                  </w:r>
                </w:p>
              </w:tc>
              <w:tc>
                <w:tcPr>
                  <w:tcW w:w="3409" w:type="dxa"/>
                  <w:gridSpan w:val="7"/>
                  <w:tcBorders>
                    <w:tl2br w:val="nil"/>
                    <w:tr2bl w:val="nil"/>
                  </w:tcBorders>
                  <w:shd w:val="clear" w:color="auto" w:fill="auto"/>
                  <w:vAlign w:val="center"/>
                </w:tcPr>
                <w:p>
                  <w:pPr>
                    <w:spacing w:line="280" w:lineRule="exact"/>
                    <w:rPr>
                      <w:color w:val="000000"/>
                      <w:sz w:val="18"/>
                      <w:szCs w:val="18"/>
                    </w:rPr>
                  </w:pPr>
                  <w:r>
                    <w:rPr>
                      <w:color w:val="000000"/>
                      <w:sz w:val="18"/>
                      <w:szCs w:val="18"/>
                    </w:rPr>
                    <w:t>生态环境保护主管部门</w:t>
                  </w:r>
                  <w:r>
                    <w:rPr>
                      <w:color w:val="000000"/>
                      <w:sz w:val="18"/>
                      <w:szCs w:val="18"/>
                    </w:rPr>
                    <w:sym w:font="Wingdings 2" w:char="00A3"/>
                  </w:r>
                  <w:r>
                    <w:rPr>
                      <w:color w:val="000000"/>
                      <w:sz w:val="18"/>
                      <w:szCs w:val="18"/>
                    </w:rPr>
                    <w:t>；补充监测</w:t>
                  </w:r>
                  <w:r>
                    <w:rPr>
                      <w:color w:val="000000"/>
                      <w:sz w:val="18"/>
                      <w:szCs w:val="18"/>
                    </w:rPr>
                    <w:sym w:font="Wingdings 2" w:char="00A3"/>
                  </w:r>
                  <w:r>
                    <w:rPr>
                      <w:color w:val="000000"/>
                      <w:sz w:val="18"/>
                      <w:szCs w:val="18"/>
                    </w:rPr>
                    <w:t>；其他</w:t>
                  </w:r>
                  <w:r>
                    <w:rPr>
                      <w:color w:val="000000"/>
                      <w:sz w:val="18"/>
                      <w:szCs w:val="1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continue"/>
                  <w:tcBorders>
                    <w:tl2br w:val="nil"/>
                    <w:tr2bl w:val="nil"/>
                  </w:tcBorders>
                  <w:shd w:val="clear" w:color="auto" w:fill="auto"/>
                  <w:vAlign w:val="center"/>
                </w:tcPr>
                <w:p>
                  <w:pPr>
                    <w:spacing w:line="280" w:lineRule="exact"/>
                    <w:jc w:val="center"/>
                    <w:rPr>
                      <w:color w:val="000000"/>
                      <w:sz w:val="18"/>
                      <w:szCs w:val="18"/>
                    </w:rPr>
                  </w:pPr>
                </w:p>
              </w:tc>
              <w:tc>
                <w:tcPr>
                  <w:tcW w:w="1420" w:type="dxa"/>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区域水资源开发利用状况</w:t>
                  </w:r>
                </w:p>
              </w:tc>
              <w:tc>
                <w:tcPr>
                  <w:tcW w:w="7262" w:type="dxa"/>
                  <w:gridSpan w:val="12"/>
                  <w:tcBorders>
                    <w:tl2br w:val="nil"/>
                    <w:tr2bl w:val="nil"/>
                  </w:tcBorders>
                  <w:shd w:val="clear" w:color="auto" w:fill="auto"/>
                  <w:vAlign w:val="center"/>
                </w:tcPr>
                <w:p>
                  <w:pPr>
                    <w:spacing w:line="280" w:lineRule="exact"/>
                    <w:rPr>
                      <w:color w:val="000000"/>
                      <w:sz w:val="18"/>
                      <w:szCs w:val="18"/>
                    </w:rPr>
                  </w:pPr>
                  <w:r>
                    <w:rPr>
                      <w:color w:val="000000"/>
                      <w:sz w:val="18"/>
                      <w:szCs w:val="18"/>
                    </w:rPr>
                    <w:t>未开发</w:t>
                  </w:r>
                  <w:r>
                    <w:rPr>
                      <w:color w:val="000000"/>
                      <w:sz w:val="18"/>
                      <w:szCs w:val="18"/>
                    </w:rPr>
                    <w:sym w:font="Wingdings 2" w:char="00A3"/>
                  </w:r>
                  <w:r>
                    <w:rPr>
                      <w:color w:val="000000"/>
                      <w:sz w:val="18"/>
                      <w:szCs w:val="18"/>
                    </w:rPr>
                    <w:t>；开发量40%以下</w:t>
                  </w:r>
                  <w:r>
                    <w:rPr>
                      <w:color w:val="000000"/>
                      <w:sz w:val="18"/>
                      <w:szCs w:val="18"/>
                    </w:rPr>
                    <w:sym w:font="Wingdings 2" w:char="00A3"/>
                  </w:r>
                  <w:r>
                    <w:rPr>
                      <w:color w:val="000000"/>
                      <w:sz w:val="18"/>
                      <w:szCs w:val="18"/>
                    </w:rPr>
                    <w:t>；开发量40%以上</w:t>
                  </w:r>
                  <w:r>
                    <w:rPr>
                      <w:color w:val="000000"/>
                      <w:sz w:val="18"/>
                      <w:szCs w:val="1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continue"/>
                  <w:tcBorders>
                    <w:tl2br w:val="nil"/>
                    <w:tr2bl w:val="nil"/>
                  </w:tcBorders>
                  <w:shd w:val="clear" w:color="auto" w:fill="auto"/>
                  <w:vAlign w:val="center"/>
                </w:tcPr>
                <w:p>
                  <w:pPr>
                    <w:spacing w:line="280" w:lineRule="exact"/>
                    <w:jc w:val="center"/>
                    <w:rPr>
                      <w:color w:val="000000"/>
                      <w:sz w:val="18"/>
                      <w:szCs w:val="18"/>
                    </w:rPr>
                  </w:pPr>
                </w:p>
              </w:tc>
              <w:tc>
                <w:tcPr>
                  <w:tcW w:w="1420" w:type="dxa"/>
                  <w:vMerge w:val="restart"/>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水文情势调查</w:t>
                  </w:r>
                </w:p>
              </w:tc>
              <w:tc>
                <w:tcPr>
                  <w:tcW w:w="3853" w:type="dxa"/>
                  <w:gridSpan w:val="5"/>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调查时期</w:t>
                  </w:r>
                </w:p>
              </w:tc>
              <w:tc>
                <w:tcPr>
                  <w:tcW w:w="3409" w:type="dxa"/>
                  <w:gridSpan w:val="7"/>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continue"/>
                  <w:tcBorders>
                    <w:tl2br w:val="nil"/>
                    <w:tr2bl w:val="nil"/>
                  </w:tcBorders>
                  <w:shd w:val="clear" w:color="auto" w:fill="auto"/>
                  <w:vAlign w:val="center"/>
                </w:tcPr>
                <w:p>
                  <w:pPr>
                    <w:spacing w:line="280" w:lineRule="exact"/>
                    <w:jc w:val="center"/>
                    <w:rPr>
                      <w:color w:val="000000"/>
                      <w:sz w:val="18"/>
                      <w:szCs w:val="18"/>
                    </w:rPr>
                  </w:pPr>
                </w:p>
              </w:tc>
              <w:tc>
                <w:tcPr>
                  <w:tcW w:w="1420" w:type="dxa"/>
                  <w:vMerge w:val="continue"/>
                  <w:tcBorders>
                    <w:tl2br w:val="nil"/>
                    <w:tr2bl w:val="nil"/>
                  </w:tcBorders>
                  <w:shd w:val="clear" w:color="auto" w:fill="auto"/>
                  <w:vAlign w:val="center"/>
                </w:tcPr>
                <w:p>
                  <w:pPr>
                    <w:spacing w:line="280" w:lineRule="exact"/>
                    <w:jc w:val="center"/>
                    <w:rPr>
                      <w:color w:val="000000"/>
                      <w:sz w:val="18"/>
                      <w:szCs w:val="18"/>
                    </w:rPr>
                  </w:pPr>
                </w:p>
              </w:tc>
              <w:tc>
                <w:tcPr>
                  <w:tcW w:w="3853" w:type="dxa"/>
                  <w:gridSpan w:val="5"/>
                  <w:tcBorders>
                    <w:tl2br w:val="nil"/>
                    <w:tr2bl w:val="nil"/>
                  </w:tcBorders>
                  <w:shd w:val="clear" w:color="auto" w:fill="auto"/>
                  <w:vAlign w:val="center"/>
                </w:tcPr>
                <w:p>
                  <w:pPr>
                    <w:spacing w:line="280" w:lineRule="exact"/>
                    <w:rPr>
                      <w:color w:val="000000"/>
                      <w:sz w:val="18"/>
                      <w:szCs w:val="18"/>
                    </w:rPr>
                  </w:pPr>
                  <w:r>
                    <w:rPr>
                      <w:color w:val="000000"/>
                      <w:sz w:val="18"/>
                      <w:szCs w:val="18"/>
                    </w:rPr>
                    <w:t>丰水期</w:t>
                  </w:r>
                  <w:r>
                    <w:rPr>
                      <w:color w:val="000000"/>
                      <w:sz w:val="18"/>
                      <w:szCs w:val="18"/>
                    </w:rPr>
                    <w:sym w:font="Wingdings 2" w:char="00A3"/>
                  </w:r>
                  <w:r>
                    <w:rPr>
                      <w:color w:val="000000"/>
                      <w:sz w:val="18"/>
                      <w:szCs w:val="18"/>
                    </w:rPr>
                    <w:t>；平水期</w:t>
                  </w:r>
                  <w:r>
                    <w:rPr>
                      <w:color w:val="000000"/>
                      <w:sz w:val="18"/>
                      <w:szCs w:val="18"/>
                    </w:rPr>
                    <w:sym w:font="Wingdings 2" w:char="00A3"/>
                  </w:r>
                  <w:r>
                    <w:rPr>
                      <w:color w:val="000000"/>
                      <w:sz w:val="18"/>
                      <w:szCs w:val="18"/>
                    </w:rPr>
                    <w:t>；枯水期</w:t>
                  </w:r>
                  <w:r>
                    <w:rPr>
                      <w:color w:val="000000"/>
                      <w:sz w:val="18"/>
                      <w:szCs w:val="18"/>
                    </w:rPr>
                    <w:sym w:font="Wingdings 2" w:char="00A3"/>
                  </w:r>
                  <w:r>
                    <w:rPr>
                      <w:color w:val="000000"/>
                      <w:sz w:val="18"/>
                      <w:szCs w:val="18"/>
                    </w:rPr>
                    <w:t>；冰封期</w:t>
                  </w:r>
                  <w:r>
                    <w:rPr>
                      <w:color w:val="000000"/>
                      <w:sz w:val="18"/>
                      <w:szCs w:val="18"/>
                    </w:rPr>
                    <w:sym w:font="Wingdings 2" w:char="00A3"/>
                  </w:r>
                </w:p>
                <w:p>
                  <w:pPr>
                    <w:spacing w:line="280" w:lineRule="exact"/>
                    <w:rPr>
                      <w:color w:val="000000"/>
                      <w:sz w:val="18"/>
                      <w:szCs w:val="18"/>
                    </w:rPr>
                  </w:pPr>
                  <w:r>
                    <w:rPr>
                      <w:color w:val="000000"/>
                      <w:sz w:val="18"/>
                      <w:szCs w:val="18"/>
                    </w:rPr>
                    <w:t>春季</w:t>
                  </w:r>
                  <w:r>
                    <w:rPr>
                      <w:color w:val="000000"/>
                      <w:sz w:val="18"/>
                      <w:szCs w:val="18"/>
                    </w:rPr>
                    <w:sym w:font="Wingdings 2" w:char="00A3"/>
                  </w:r>
                  <w:r>
                    <w:rPr>
                      <w:color w:val="000000"/>
                      <w:sz w:val="18"/>
                      <w:szCs w:val="18"/>
                    </w:rPr>
                    <w:t>；夏季</w:t>
                  </w:r>
                  <w:r>
                    <w:rPr>
                      <w:color w:val="000000"/>
                      <w:sz w:val="18"/>
                      <w:szCs w:val="18"/>
                    </w:rPr>
                    <w:sym w:font="Wingdings 2" w:char="00A3"/>
                  </w:r>
                  <w:r>
                    <w:rPr>
                      <w:color w:val="000000"/>
                      <w:sz w:val="18"/>
                      <w:szCs w:val="18"/>
                    </w:rPr>
                    <w:t>；秋季</w:t>
                  </w:r>
                  <w:r>
                    <w:rPr>
                      <w:color w:val="000000"/>
                      <w:sz w:val="18"/>
                      <w:szCs w:val="18"/>
                    </w:rPr>
                    <w:sym w:font="Wingdings 2" w:char="00A3"/>
                  </w:r>
                  <w:r>
                    <w:rPr>
                      <w:color w:val="000000"/>
                      <w:sz w:val="18"/>
                      <w:szCs w:val="18"/>
                    </w:rPr>
                    <w:t>；冬季</w:t>
                  </w:r>
                  <w:r>
                    <w:rPr>
                      <w:color w:val="000000"/>
                      <w:sz w:val="18"/>
                      <w:szCs w:val="18"/>
                    </w:rPr>
                    <w:sym w:font="Wingdings 2" w:char="00A3"/>
                  </w:r>
                </w:p>
              </w:tc>
              <w:tc>
                <w:tcPr>
                  <w:tcW w:w="3409" w:type="dxa"/>
                  <w:gridSpan w:val="7"/>
                  <w:tcBorders>
                    <w:tl2br w:val="nil"/>
                    <w:tr2bl w:val="nil"/>
                  </w:tcBorders>
                  <w:shd w:val="clear" w:color="auto" w:fill="auto"/>
                  <w:vAlign w:val="center"/>
                </w:tcPr>
                <w:p>
                  <w:pPr>
                    <w:spacing w:line="280" w:lineRule="exact"/>
                    <w:rPr>
                      <w:color w:val="000000"/>
                      <w:sz w:val="18"/>
                      <w:szCs w:val="18"/>
                    </w:rPr>
                  </w:pPr>
                  <w:r>
                    <w:rPr>
                      <w:color w:val="000000"/>
                      <w:sz w:val="18"/>
                      <w:szCs w:val="18"/>
                    </w:rPr>
                    <w:t>水行政主管部门</w:t>
                  </w:r>
                  <w:r>
                    <w:rPr>
                      <w:color w:val="000000"/>
                      <w:sz w:val="18"/>
                      <w:szCs w:val="18"/>
                    </w:rPr>
                    <w:sym w:font="Wingdings 2" w:char="00A3"/>
                  </w:r>
                  <w:r>
                    <w:rPr>
                      <w:color w:val="000000"/>
                      <w:sz w:val="18"/>
                      <w:szCs w:val="18"/>
                    </w:rPr>
                    <w:t>；补充监测</w:t>
                  </w:r>
                  <w:r>
                    <w:rPr>
                      <w:color w:val="000000"/>
                      <w:sz w:val="18"/>
                      <w:szCs w:val="18"/>
                    </w:rPr>
                    <w:sym w:font="Wingdings 2" w:char="00A3"/>
                  </w:r>
                  <w:r>
                    <w:rPr>
                      <w:color w:val="000000"/>
                      <w:sz w:val="18"/>
                      <w:szCs w:val="18"/>
                    </w:rPr>
                    <w:t>；其他</w:t>
                  </w:r>
                  <w:r>
                    <w:rPr>
                      <w:color w:val="000000"/>
                      <w:sz w:val="18"/>
                      <w:szCs w:val="1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continue"/>
                  <w:tcBorders>
                    <w:tl2br w:val="nil"/>
                    <w:tr2bl w:val="nil"/>
                  </w:tcBorders>
                  <w:shd w:val="clear" w:color="auto" w:fill="auto"/>
                  <w:vAlign w:val="center"/>
                </w:tcPr>
                <w:p>
                  <w:pPr>
                    <w:spacing w:line="280" w:lineRule="exact"/>
                    <w:jc w:val="center"/>
                    <w:rPr>
                      <w:color w:val="000000"/>
                      <w:sz w:val="18"/>
                      <w:szCs w:val="18"/>
                    </w:rPr>
                  </w:pPr>
                </w:p>
              </w:tc>
              <w:tc>
                <w:tcPr>
                  <w:tcW w:w="1420" w:type="dxa"/>
                  <w:vMerge w:val="restart"/>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补充监测</w:t>
                  </w:r>
                </w:p>
              </w:tc>
              <w:tc>
                <w:tcPr>
                  <w:tcW w:w="3853" w:type="dxa"/>
                  <w:gridSpan w:val="5"/>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监测时期</w:t>
                  </w:r>
                </w:p>
              </w:tc>
              <w:tc>
                <w:tcPr>
                  <w:tcW w:w="964" w:type="dxa"/>
                  <w:gridSpan w:val="4"/>
                  <w:tcBorders>
                    <w:tl2br w:val="nil"/>
                    <w:tr2bl w:val="nil"/>
                  </w:tcBorders>
                  <w:shd w:val="clear" w:color="auto" w:fill="auto"/>
                  <w:vAlign w:val="center"/>
                </w:tcPr>
                <w:p>
                  <w:pPr>
                    <w:spacing w:line="280" w:lineRule="exact"/>
                    <w:rPr>
                      <w:color w:val="000000"/>
                      <w:sz w:val="18"/>
                      <w:szCs w:val="18"/>
                    </w:rPr>
                  </w:pPr>
                  <w:r>
                    <w:rPr>
                      <w:color w:val="000000"/>
                      <w:sz w:val="18"/>
                      <w:szCs w:val="18"/>
                    </w:rPr>
                    <w:t>监测因子</w:t>
                  </w:r>
                </w:p>
              </w:tc>
              <w:tc>
                <w:tcPr>
                  <w:tcW w:w="2445" w:type="dxa"/>
                  <w:gridSpan w:val="3"/>
                  <w:tcBorders>
                    <w:tl2br w:val="nil"/>
                    <w:tr2bl w:val="nil"/>
                  </w:tcBorders>
                  <w:shd w:val="clear" w:color="auto" w:fill="auto"/>
                  <w:vAlign w:val="center"/>
                </w:tcPr>
                <w:p>
                  <w:pPr>
                    <w:spacing w:line="280" w:lineRule="exact"/>
                    <w:rPr>
                      <w:color w:val="000000"/>
                      <w:sz w:val="18"/>
                      <w:szCs w:val="18"/>
                    </w:rPr>
                  </w:pPr>
                  <w:r>
                    <w:rPr>
                      <w:color w:val="000000"/>
                      <w:sz w:val="18"/>
                      <w:szCs w:val="18"/>
                    </w:rPr>
                    <w:t>监测段面或点位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continue"/>
                  <w:tcBorders>
                    <w:tl2br w:val="nil"/>
                    <w:tr2bl w:val="nil"/>
                  </w:tcBorders>
                  <w:shd w:val="clear" w:color="auto" w:fill="auto"/>
                  <w:vAlign w:val="center"/>
                </w:tcPr>
                <w:p>
                  <w:pPr>
                    <w:spacing w:line="280" w:lineRule="exact"/>
                    <w:jc w:val="center"/>
                    <w:rPr>
                      <w:color w:val="000000"/>
                      <w:sz w:val="18"/>
                      <w:szCs w:val="18"/>
                    </w:rPr>
                  </w:pPr>
                </w:p>
              </w:tc>
              <w:tc>
                <w:tcPr>
                  <w:tcW w:w="1420" w:type="dxa"/>
                  <w:vMerge w:val="continue"/>
                  <w:tcBorders>
                    <w:tl2br w:val="nil"/>
                    <w:tr2bl w:val="nil"/>
                  </w:tcBorders>
                  <w:shd w:val="clear" w:color="auto" w:fill="auto"/>
                  <w:vAlign w:val="center"/>
                </w:tcPr>
                <w:p>
                  <w:pPr>
                    <w:spacing w:line="280" w:lineRule="exact"/>
                    <w:jc w:val="center"/>
                    <w:rPr>
                      <w:color w:val="000000"/>
                      <w:sz w:val="18"/>
                      <w:szCs w:val="18"/>
                    </w:rPr>
                  </w:pPr>
                </w:p>
              </w:tc>
              <w:tc>
                <w:tcPr>
                  <w:tcW w:w="3853" w:type="dxa"/>
                  <w:gridSpan w:val="5"/>
                  <w:tcBorders>
                    <w:tl2br w:val="nil"/>
                    <w:tr2bl w:val="nil"/>
                  </w:tcBorders>
                  <w:shd w:val="clear" w:color="auto" w:fill="auto"/>
                  <w:vAlign w:val="center"/>
                </w:tcPr>
                <w:p>
                  <w:pPr>
                    <w:spacing w:line="280" w:lineRule="exact"/>
                    <w:rPr>
                      <w:color w:val="000000"/>
                      <w:sz w:val="18"/>
                      <w:szCs w:val="18"/>
                    </w:rPr>
                  </w:pPr>
                  <w:r>
                    <w:rPr>
                      <w:color w:val="000000"/>
                      <w:sz w:val="18"/>
                      <w:szCs w:val="18"/>
                    </w:rPr>
                    <w:t>丰水期</w:t>
                  </w:r>
                  <w:r>
                    <w:rPr>
                      <w:color w:val="000000"/>
                      <w:sz w:val="18"/>
                      <w:szCs w:val="18"/>
                    </w:rPr>
                    <w:sym w:font="Wingdings 2" w:char="00A3"/>
                  </w:r>
                  <w:r>
                    <w:rPr>
                      <w:color w:val="000000"/>
                      <w:sz w:val="18"/>
                      <w:szCs w:val="18"/>
                    </w:rPr>
                    <w:t>；平水期</w:t>
                  </w:r>
                  <w:r>
                    <w:rPr>
                      <w:color w:val="000000"/>
                      <w:sz w:val="18"/>
                      <w:szCs w:val="18"/>
                    </w:rPr>
                    <w:sym w:font="Wingdings 2" w:char="00A3"/>
                  </w:r>
                  <w:r>
                    <w:rPr>
                      <w:color w:val="000000"/>
                      <w:sz w:val="18"/>
                      <w:szCs w:val="18"/>
                    </w:rPr>
                    <w:t>；枯水期</w:t>
                  </w:r>
                  <w:r>
                    <w:rPr>
                      <w:color w:val="000000"/>
                      <w:sz w:val="18"/>
                      <w:szCs w:val="18"/>
                    </w:rPr>
                    <w:sym w:font="Wingdings 2" w:char="00A3"/>
                  </w:r>
                  <w:r>
                    <w:rPr>
                      <w:color w:val="000000"/>
                      <w:sz w:val="18"/>
                      <w:szCs w:val="18"/>
                    </w:rPr>
                    <w:t>；冰封期</w:t>
                  </w:r>
                  <w:r>
                    <w:rPr>
                      <w:color w:val="000000"/>
                      <w:sz w:val="18"/>
                      <w:szCs w:val="18"/>
                    </w:rPr>
                    <w:sym w:font="Wingdings 2" w:char="00A3"/>
                  </w:r>
                </w:p>
                <w:p>
                  <w:pPr>
                    <w:spacing w:line="280" w:lineRule="exact"/>
                    <w:rPr>
                      <w:color w:val="000000"/>
                      <w:sz w:val="18"/>
                      <w:szCs w:val="18"/>
                    </w:rPr>
                  </w:pPr>
                  <w:r>
                    <w:rPr>
                      <w:color w:val="000000"/>
                      <w:sz w:val="18"/>
                      <w:szCs w:val="18"/>
                    </w:rPr>
                    <w:t>春季</w:t>
                  </w:r>
                  <w:r>
                    <w:rPr>
                      <w:color w:val="000000"/>
                      <w:sz w:val="18"/>
                      <w:szCs w:val="18"/>
                    </w:rPr>
                    <w:sym w:font="Wingdings 2" w:char="00A3"/>
                  </w:r>
                  <w:r>
                    <w:rPr>
                      <w:color w:val="000000"/>
                      <w:sz w:val="18"/>
                      <w:szCs w:val="18"/>
                    </w:rPr>
                    <w:t>；夏季</w:t>
                  </w:r>
                  <w:r>
                    <w:rPr>
                      <w:color w:val="000000"/>
                      <w:sz w:val="18"/>
                      <w:szCs w:val="18"/>
                    </w:rPr>
                    <w:sym w:font="Wingdings 2" w:char="00A3"/>
                  </w:r>
                  <w:r>
                    <w:rPr>
                      <w:color w:val="000000"/>
                      <w:sz w:val="18"/>
                      <w:szCs w:val="18"/>
                    </w:rPr>
                    <w:t>；秋季</w:t>
                  </w:r>
                  <w:r>
                    <w:rPr>
                      <w:color w:val="000000"/>
                      <w:sz w:val="18"/>
                      <w:szCs w:val="18"/>
                    </w:rPr>
                    <w:sym w:font="Wingdings 2" w:char="00A3"/>
                  </w:r>
                  <w:r>
                    <w:rPr>
                      <w:color w:val="000000"/>
                      <w:sz w:val="18"/>
                      <w:szCs w:val="18"/>
                    </w:rPr>
                    <w:t>；冬季</w:t>
                  </w:r>
                  <w:r>
                    <w:rPr>
                      <w:color w:val="000000"/>
                      <w:sz w:val="18"/>
                      <w:szCs w:val="18"/>
                    </w:rPr>
                    <w:sym w:font="Wingdings 2" w:char="00A3"/>
                  </w:r>
                </w:p>
              </w:tc>
              <w:tc>
                <w:tcPr>
                  <w:tcW w:w="964" w:type="dxa"/>
                  <w:gridSpan w:val="4"/>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 xml:space="preserve">（ </w:t>
                  </w:r>
                  <w:r>
                    <w:rPr>
                      <w:rFonts w:hint="eastAsia"/>
                      <w:color w:val="000000"/>
                      <w:sz w:val="18"/>
                      <w:szCs w:val="18"/>
                    </w:rPr>
                    <w:t>/</w:t>
                  </w:r>
                  <w:r>
                    <w:rPr>
                      <w:color w:val="000000"/>
                      <w:sz w:val="18"/>
                      <w:szCs w:val="18"/>
                    </w:rPr>
                    <w:t xml:space="preserve"> ）</w:t>
                  </w:r>
                </w:p>
              </w:tc>
              <w:tc>
                <w:tcPr>
                  <w:tcW w:w="2445" w:type="dxa"/>
                  <w:gridSpan w:val="3"/>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监测断面或点位个数（</w:t>
                  </w:r>
                  <w:r>
                    <w:rPr>
                      <w:rFonts w:hint="eastAsia"/>
                      <w:color w:val="000000"/>
                      <w:sz w:val="18"/>
                      <w:szCs w:val="18"/>
                    </w:rPr>
                    <w:t>/</w:t>
                  </w:r>
                  <w:r>
                    <w:rPr>
                      <w:color w:val="000000"/>
                      <w:sz w:val="18"/>
                      <w:szCs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restart"/>
                  <w:tcBorders>
                    <w:tl2br w:val="nil"/>
                    <w:tr2bl w:val="nil"/>
                  </w:tcBorders>
                  <w:shd w:val="clear" w:color="auto" w:fill="auto"/>
                  <w:vAlign w:val="center"/>
                </w:tcPr>
                <w:p>
                  <w:pPr>
                    <w:spacing w:line="280" w:lineRule="exact"/>
                    <w:rPr>
                      <w:color w:val="000000"/>
                      <w:sz w:val="18"/>
                      <w:szCs w:val="18"/>
                    </w:rPr>
                  </w:pPr>
                  <w:r>
                    <w:rPr>
                      <w:color w:val="000000"/>
                      <w:sz w:val="18"/>
                      <w:szCs w:val="18"/>
                    </w:rPr>
                    <w:t>现状评价</w:t>
                  </w:r>
                </w:p>
              </w:tc>
              <w:tc>
                <w:tcPr>
                  <w:tcW w:w="1420" w:type="dxa"/>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评价范围</w:t>
                  </w:r>
                </w:p>
              </w:tc>
              <w:tc>
                <w:tcPr>
                  <w:tcW w:w="7262" w:type="dxa"/>
                  <w:gridSpan w:val="12"/>
                  <w:tcBorders>
                    <w:tl2br w:val="nil"/>
                    <w:tr2bl w:val="nil"/>
                  </w:tcBorders>
                  <w:shd w:val="clear" w:color="auto" w:fill="auto"/>
                  <w:vAlign w:val="center"/>
                </w:tcPr>
                <w:p>
                  <w:pPr>
                    <w:spacing w:line="280" w:lineRule="exact"/>
                    <w:rPr>
                      <w:color w:val="000000"/>
                      <w:sz w:val="18"/>
                      <w:szCs w:val="18"/>
                    </w:rPr>
                  </w:pPr>
                  <w:r>
                    <w:rPr>
                      <w:color w:val="000000"/>
                      <w:sz w:val="18"/>
                      <w:szCs w:val="18"/>
                    </w:rPr>
                    <w:t>河流：长度（</w:t>
                  </w:r>
                  <w:r>
                    <w:rPr>
                      <w:rFonts w:hint="eastAsia"/>
                      <w:color w:val="000000"/>
                      <w:sz w:val="18"/>
                      <w:szCs w:val="18"/>
                    </w:rPr>
                    <w:t xml:space="preserve"> /</w:t>
                  </w:r>
                  <w:r>
                    <w:rPr>
                      <w:color w:val="000000"/>
                      <w:sz w:val="18"/>
                      <w:szCs w:val="18"/>
                    </w:rPr>
                    <w:t xml:space="preserve"> ）km；湖库、河口及近岸海域：面积（ </w:t>
                  </w:r>
                  <w:r>
                    <w:rPr>
                      <w:rFonts w:hint="eastAsia"/>
                      <w:color w:val="000000"/>
                      <w:sz w:val="18"/>
                      <w:szCs w:val="18"/>
                    </w:rPr>
                    <w:t>/</w:t>
                  </w:r>
                  <w:r>
                    <w:rPr>
                      <w:color w:val="000000"/>
                      <w:sz w:val="18"/>
                      <w:szCs w:val="18"/>
                    </w:rPr>
                    <w:t xml:space="preserve"> ）km</w:t>
                  </w:r>
                  <w:r>
                    <w:rPr>
                      <w:color w:val="000000"/>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continue"/>
                  <w:tcBorders>
                    <w:tl2br w:val="nil"/>
                    <w:tr2bl w:val="nil"/>
                  </w:tcBorders>
                  <w:shd w:val="clear" w:color="auto" w:fill="auto"/>
                  <w:vAlign w:val="center"/>
                </w:tcPr>
                <w:p>
                  <w:pPr>
                    <w:spacing w:line="280" w:lineRule="exact"/>
                    <w:jc w:val="center"/>
                    <w:rPr>
                      <w:color w:val="000000"/>
                      <w:sz w:val="18"/>
                      <w:szCs w:val="18"/>
                    </w:rPr>
                  </w:pPr>
                </w:p>
              </w:tc>
              <w:tc>
                <w:tcPr>
                  <w:tcW w:w="1420" w:type="dxa"/>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评价因子</w:t>
                  </w:r>
                </w:p>
              </w:tc>
              <w:tc>
                <w:tcPr>
                  <w:tcW w:w="7262" w:type="dxa"/>
                  <w:gridSpan w:val="12"/>
                  <w:tcBorders>
                    <w:tl2br w:val="nil"/>
                    <w:tr2bl w:val="nil"/>
                  </w:tcBorders>
                  <w:shd w:val="clear" w:color="auto" w:fill="auto"/>
                  <w:vAlign w:val="center"/>
                </w:tcPr>
                <w:p>
                  <w:pPr>
                    <w:spacing w:line="280" w:lineRule="exact"/>
                    <w:rPr>
                      <w:color w:val="000000"/>
                      <w:sz w:val="18"/>
                      <w:szCs w:val="18"/>
                    </w:rPr>
                  </w:pPr>
                  <w:r>
                    <w:rPr>
                      <w:color w:val="000000"/>
                      <w:sz w:val="18"/>
                      <w:szCs w:val="18"/>
                    </w:rPr>
                    <w:t>（</w:t>
                  </w:r>
                  <w:r>
                    <w:rPr>
                      <w:rFonts w:hint="eastAsia"/>
                      <w:color w:val="000000"/>
                      <w:sz w:val="18"/>
                      <w:szCs w:val="18"/>
                    </w:rPr>
                    <w:t>/</w:t>
                  </w:r>
                  <w:r>
                    <w:rPr>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continue"/>
                  <w:tcBorders>
                    <w:tl2br w:val="nil"/>
                    <w:tr2bl w:val="nil"/>
                  </w:tcBorders>
                  <w:shd w:val="clear" w:color="auto" w:fill="auto"/>
                  <w:vAlign w:val="center"/>
                </w:tcPr>
                <w:p>
                  <w:pPr>
                    <w:spacing w:line="280" w:lineRule="exact"/>
                    <w:jc w:val="center"/>
                    <w:rPr>
                      <w:color w:val="000000"/>
                      <w:sz w:val="18"/>
                      <w:szCs w:val="18"/>
                    </w:rPr>
                  </w:pPr>
                </w:p>
              </w:tc>
              <w:tc>
                <w:tcPr>
                  <w:tcW w:w="1420" w:type="dxa"/>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评价标准</w:t>
                  </w:r>
                </w:p>
              </w:tc>
              <w:tc>
                <w:tcPr>
                  <w:tcW w:w="7262" w:type="dxa"/>
                  <w:gridSpan w:val="12"/>
                  <w:tcBorders>
                    <w:tl2br w:val="nil"/>
                    <w:tr2bl w:val="nil"/>
                  </w:tcBorders>
                  <w:shd w:val="clear" w:color="auto" w:fill="auto"/>
                  <w:vAlign w:val="center"/>
                </w:tcPr>
                <w:p>
                  <w:pPr>
                    <w:spacing w:line="280" w:lineRule="exact"/>
                    <w:rPr>
                      <w:color w:val="000000"/>
                      <w:sz w:val="18"/>
                      <w:szCs w:val="18"/>
                    </w:rPr>
                  </w:pPr>
                  <w:r>
                    <w:rPr>
                      <w:color w:val="000000"/>
                      <w:sz w:val="18"/>
                      <w:szCs w:val="18"/>
                    </w:rPr>
                    <w:t>河流、湖库、河口：I类</w:t>
                  </w:r>
                  <w:r>
                    <w:rPr>
                      <w:color w:val="000000"/>
                      <w:sz w:val="18"/>
                      <w:szCs w:val="18"/>
                    </w:rPr>
                    <w:sym w:font="Wingdings 2" w:char="00A3"/>
                  </w:r>
                  <w:r>
                    <w:rPr>
                      <w:color w:val="000000"/>
                      <w:sz w:val="18"/>
                      <w:szCs w:val="18"/>
                    </w:rPr>
                    <w:t>；II类</w:t>
                  </w:r>
                  <w:r>
                    <w:rPr>
                      <w:color w:val="000000"/>
                      <w:sz w:val="18"/>
                      <w:szCs w:val="18"/>
                    </w:rPr>
                    <w:sym w:font="Wingdings 2" w:char="00A3"/>
                  </w:r>
                  <w:r>
                    <w:rPr>
                      <w:color w:val="000000"/>
                      <w:sz w:val="18"/>
                      <w:szCs w:val="18"/>
                    </w:rPr>
                    <w:t>；III类</w:t>
                  </w:r>
                  <w:r>
                    <w:rPr>
                      <w:color w:val="000000"/>
                      <w:sz w:val="18"/>
                      <w:szCs w:val="18"/>
                    </w:rPr>
                    <w:sym w:font="Wingdings 2" w:char="00A3"/>
                  </w:r>
                  <w:r>
                    <w:rPr>
                      <w:color w:val="000000"/>
                      <w:sz w:val="18"/>
                      <w:szCs w:val="18"/>
                    </w:rPr>
                    <w:t>；IV类</w:t>
                  </w:r>
                  <w:r>
                    <w:rPr>
                      <w:color w:val="000000"/>
                      <w:sz w:val="18"/>
                      <w:szCs w:val="18"/>
                    </w:rPr>
                    <w:sym w:font="Wingdings 2" w:char="00A3"/>
                  </w:r>
                  <w:r>
                    <w:rPr>
                      <w:color w:val="000000"/>
                      <w:sz w:val="18"/>
                      <w:szCs w:val="18"/>
                    </w:rPr>
                    <w:t>；V类</w:t>
                  </w:r>
                  <w:r>
                    <w:rPr>
                      <w:color w:val="000000"/>
                      <w:sz w:val="18"/>
                      <w:szCs w:val="18"/>
                    </w:rPr>
                    <w:sym w:font="Wingdings 2" w:char="00A3"/>
                  </w:r>
                </w:p>
                <w:p>
                  <w:pPr>
                    <w:spacing w:line="280" w:lineRule="exact"/>
                    <w:rPr>
                      <w:color w:val="000000"/>
                      <w:sz w:val="18"/>
                      <w:szCs w:val="18"/>
                    </w:rPr>
                  </w:pPr>
                  <w:r>
                    <w:rPr>
                      <w:color w:val="000000"/>
                      <w:sz w:val="18"/>
                      <w:szCs w:val="18"/>
                    </w:rPr>
                    <w:t>近岸海域：第一类</w:t>
                  </w:r>
                  <w:r>
                    <w:rPr>
                      <w:color w:val="000000"/>
                      <w:sz w:val="18"/>
                      <w:szCs w:val="18"/>
                    </w:rPr>
                    <w:sym w:font="Wingdings 2" w:char="00A3"/>
                  </w:r>
                  <w:r>
                    <w:rPr>
                      <w:color w:val="000000"/>
                      <w:sz w:val="18"/>
                      <w:szCs w:val="18"/>
                    </w:rPr>
                    <w:t>；第二类</w:t>
                  </w:r>
                  <w:r>
                    <w:rPr>
                      <w:color w:val="000000"/>
                      <w:sz w:val="18"/>
                      <w:szCs w:val="18"/>
                    </w:rPr>
                    <w:sym w:font="Wingdings 2" w:char="00A3"/>
                  </w:r>
                  <w:r>
                    <w:rPr>
                      <w:color w:val="000000"/>
                      <w:sz w:val="18"/>
                      <w:szCs w:val="18"/>
                    </w:rPr>
                    <w:t>；第三类</w:t>
                  </w:r>
                  <w:r>
                    <w:rPr>
                      <w:color w:val="000000"/>
                      <w:sz w:val="18"/>
                      <w:szCs w:val="18"/>
                    </w:rPr>
                    <w:sym w:font="Wingdings 2" w:char="00A3"/>
                  </w:r>
                  <w:r>
                    <w:rPr>
                      <w:color w:val="000000"/>
                      <w:sz w:val="18"/>
                      <w:szCs w:val="18"/>
                    </w:rPr>
                    <w:t>；第四类</w:t>
                  </w:r>
                  <w:r>
                    <w:rPr>
                      <w:color w:val="000000"/>
                      <w:sz w:val="18"/>
                      <w:szCs w:val="18"/>
                    </w:rPr>
                    <w:sym w:font="Wingdings 2" w:char="00A3"/>
                  </w:r>
                </w:p>
                <w:p>
                  <w:pPr>
                    <w:spacing w:line="280" w:lineRule="exact"/>
                    <w:rPr>
                      <w:color w:val="000000"/>
                      <w:sz w:val="18"/>
                      <w:szCs w:val="18"/>
                    </w:rPr>
                  </w:pPr>
                  <w:r>
                    <w:rPr>
                      <w:color w:val="000000"/>
                      <w:sz w:val="18"/>
                      <w:szCs w:val="18"/>
                    </w:rPr>
                    <w:t>规划年评价标准（</w:t>
                  </w:r>
                  <w:r>
                    <w:rPr>
                      <w:rFonts w:hint="eastAsia"/>
                      <w:color w:val="000000"/>
                      <w:sz w:val="18"/>
                      <w:szCs w:val="18"/>
                    </w:rPr>
                    <w:t>/</w:t>
                  </w:r>
                  <w:r>
                    <w:rPr>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continue"/>
                  <w:tcBorders>
                    <w:tl2br w:val="nil"/>
                    <w:tr2bl w:val="nil"/>
                  </w:tcBorders>
                  <w:shd w:val="clear" w:color="auto" w:fill="auto"/>
                  <w:vAlign w:val="center"/>
                </w:tcPr>
                <w:p>
                  <w:pPr>
                    <w:spacing w:line="280" w:lineRule="exact"/>
                    <w:jc w:val="center"/>
                    <w:rPr>
                      <w:color w:val="000000"/>
                      <w:sz w:val="18"/>
                      <w:szCs w:val="18"/>
                    </w:rPr>
                  </w:pPr>
                </w:p>
              </w:tc>
              <w:tc>
                <w:tcPr>
                  <w:tcW w:w="1420" w:type="dxa"/>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评价时期</w:t>
                  </w:r>
                </w:p>
              </w:tc>
              <w:tc>
                <w:tcPr>
                  <w:tcW w:w="7262" w:type="dxa"/>
                  <w:gridSpan w:val="12"/>
                  <w:tcBorders>
                    <w:tl2br w:val="nil"/>
                    <w:tr2bl w:val="nil"/>
                  </w:tcBorders>
                  <w:shd w:val="clear" w:color="auto" w:fill="auto"/>
                  <w:vAlign w:val="center"/>
                </w:tcPr>
                <w:p>
                  <w:pPr>
                    <w:spacing w:line="280" w:lineRule="exact"/>
                    <w:rPr>
                      <w:color w:val="000000"/>
                      <w:sz w:val="18"/>
                      <w:szCs w:val="18"/>
                    </w:rPr>
                  </w:pPr>
                  <w:r>
                    <w:rPr>
                      <w:color w:val="000000"/>
                      <w:sz w:val="18"/>
                      <w:szCs w:val="18"/>
                    </w:rPr>
                    <w:t>丰水期</w:t>
                  </w:r>
                  <w:r>
                    <w:rPr>
                      <w:color w:val="000000"/>
                      <w:sz w:val="18"/>
                      <w:szCs w:val="18"/>
                    </w:rPr>
                    <w:sym w:font="Wingdings 2" w:char="00A3"/>
                  </w:r>
                  <w:r>
                    <w:rPr>
                      <w:color w:val="000000"/>
                      <w:sz w:val="18"/>
                      <w:szCs w:val="18"/>
                    </w:rPr>
                    <w:t>；平水期</w:t>
                  </w:r>
                  <w:r>
                    <w:rPr>
                      <w:color w:val="000000"/>
                      <w:sz w:val="18"/>
                      <w:szCs w:val="18"/>
                    </w:rPr>
                    <w:sym w:font="Wingdings 2" w:char="00A3"/>
                  </w:r>
                  <w:r>
                    <w:rPr>
                      <w:color w:val="000000"/>
                      <w:sz w:val="18"/>
                      <w:szCs w:val="18"/>
                    </w:rPr>
                    <w:t>；枯水期</w:t>
                  </w:r>
                  <w:r>
                    <w:rPr>
                      <w:color w:val="000000"/>
                      <w:sz w:val="18"/>
                      <w:szCs w:val="18"/>
                    </w:rPr>
                    <w:sym w:font="Wingdings 2" w:char="00A3"/>
                  </w:r>
                  <w:r>
                    <w:rPr>
                      <w:color w:val="000000"/>
                      <w:sz w:val="18"/>
                      <w:szCs w:val="18"/>
                    </w:rPr>
                    <w:t>；冰封期</w:t>
                  </w:r>
                  <w:r>
                    <w:rPr>
                      <w:color w:val="000000"/>
                      <w:sz w:val="18"/>
                      <w:szCs w:val="18"/>
                    </w:rPr>
                    <w:sym w:font="Wingdings 2" w:char="00A3"/>
                  </w:r>
                </w:p>
                <w:p>
                  <w:pPr>
                    <w:spacing w:line="280" w:lineRule="exact"/>
                    <w:rPr>
                      <w:color w:val="000000"/>
                      <w:sz w:val="18"/>
                      <w:szCs w:val="18"/>
                    </w:rPr>
                  </w:pPr>
                  <w:r>
                    <w:rPr>
                      <w:color w:val="000000"/>
                      <w:sz w:val="18"/>
                      <w:szCs w:val="18"/>
                    </w:rPr>
                    <w:t>春季</w:t>
                  </w:r>
                  <w:r>
                    <w:rPr>
                      <w:color w:val="000000"/>
                      <w:sz w:val="18"/>
                      <w:szCs w:val="18"/>
                    </w:rPr>
                    <w:sym w:font="Wingdings 2" w:char="00A3"/>
                  </w:r>
                  <w:r>
                    <w:rPr>
                      <w:color w:val="000000"/>
                      <w:sz w:val="18"/>
                      <w:szCs w:val="18"/>
                    </w:rPr>
                    <w:t>；夏季</w:t>
                  </w:r>
                  <w:r>
                    <w:rPr>
                      <w:color w:val="000000"/>
                      <w:sz w:val="18"/>
                      <w:szCs w:val="18"/>
                    </w:rPr>
                    <w:sym w:font="Wingdings 2" w:char="00A3"/>
                  </w:r>
                  <w:r>
                    <w:rPr>
                      <w:color w:val="000000"/>
                      <w:sz w:val="18"/>
                      <w:szCs w:val="18"/>
                    </w:rPr>
                    <w:t>；秋季</w:t>
                  </w:r>
                  <w:r>
                    <w:rPr>
                      <w:color w:val="000000"/>
                      <w:sz w:val="18"/>
                      <w:szCs w:val="18"/>
                    </w:rPr>
                    <w:sym w:font="Wingdings 2" w:char="00A3"/>
                  </w:r>
                  <w:r>
                    <w:rPr>
                      <w:color w:val="000000"/>
                      <w:sz w:val="18"/>
                      <w:szCs w:val="18"/>
                    </w:rPr>
                    <w:t>；冬季</w:t>
                  </w:r>
                  <w:r>
                    <w:rPr>
                      <w:color w:val="000000"/>
                      <w:sz w:val="18"/>
                      <w:szCs w:val="1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continue"/>
                  <w:tcBorders>
                    <w:tl2br w:val="nil"/>
                    <w:tr2bl w:val="nil"/>
                  </w:tcBorders>
                  <w:shd w:val="clear" w:color="auto" w:fill="auto"/>
                  <w:vAlign w:val="center"/>
                </w:tcPr>
                <w:p>
                  <w:pPr>
                    <w:spacing w:line="280" w:lineRule="exact"/>
                    <w:jc w:val="center"/>
                    <w:rPr>
                      <w:color w:val="000000"/>
                      <w:sz w:val="18"/>
                      <w:szCs w:val="18"/>
                    </w:rPr>
                  </w:pPr>
                </w:p>
              </w:tc>
              <w:tc>
                <w:tcPr>
                  <w:tcW w:w="1420" w:type="dxa"/>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评价结论</w:t>
                  </w:r>
                </w:p>
              </w:tc>
              <w:tc>
                <w:tcPr>
                  <w:tcW w:w="6161" w:type="dxa"/>
                  <w:gridSpan w:val="11"/>
                  <w:tcBorders>
                    <w:tl2br w:val="nil"/>
                    <w:tr2bl w:val="nil"/>
                  </w:tcBorders>
                  <w:shd w:val="clear" w:color="auto" w:fill="auto"/>
                  <w:vAlign w:val="center"/>
                </w:tcPr>
                <w:p>
                  <w:pPr>
                    <w:spacing w:line="280" w:lineRule="exact"/>
                    <w:rPr>
                      <w:color w:val="000000"/>
                      <w:sz w:val="18"/>
                      <w:szCs w:val="18"/>
                    </w:rPr>
                  </w:pPr>
                  <w:r>
                    <w:rPr>
                      <w:color w:val="000000"/>
                      <w:sz w:val="18"/>
                      <w:szCs w:val="18"/>
                    </w:rPr>
                    <w:t>水环境功能区或水功能区、近岸海域环境功能区水质达标情况</w:t>
                  </w:r>
                  <w:r>
                    <w:rPr>
                      <w:color w:val="000000"/>
                      <w:sz w:val="18"/>
                      <w:szCs w:val="18"/>
                    </w:rPr>
                    <w:sym w:font="Wingdings 2" w:char="00A3"/>
                  </w:r>
                  <w:r>
                    <w:rPr>
                      <w:color w:val="000000"/>
                      <w:sz w:val="18"/>
                      <w:szCs w:val="18"/>
                    </w:rPr>
                    <w:t>：达标</w:t>
                  </w:r>
                  <w:r>
                    <w:rPr>
                      <w:color w:val="000000"/>
                      <w:sz w:val="18"/>
                      <w:szCs w:val="18"/>
                    </w:rPr>
                    <w:sym w:font="Wingdings 2" w:char="00A3"/>
                  </w:r>
                  <w:r>
                    <w:rPr>
                      <w:color w:val="000000"/>
                      <w:sz w:val="18"/>
                      <w:szCs w:val="18"/>
                    </w:rPr>
                    <w:t>；不达标</w:t>
                  </w:r>
                  <w:r>
                    <w:rPr>
                      <w:color w:val="000000"/>
                      <w:sz w:val="18"/>
                      <w:szCs w:val="18"/>
                    </w:rPr>
                    <w:sym w:font="Wingdings 2" w:char="00A3"/>
                  </w:r>
                </w:p>
                <w:p>
                  <w:pPr>
                    <w:spacing w:line="280" w:lineRule="exact"/>
                    <w:rPr>
                      <w:color w:val="000000"/>
                      <w:sz w:val="18"/>
                      <w:szCs w:val="18"/>
                    </w:rPr>
                  </w:pPr>
                  <w:r>
                    <w:rPr>
                      <w:color w:val="000000"/>
                      <w:sz w:val="18"/>
                      <w:szCs w:val="18"/>
                    </w:rPr>
                    <w:t>水环境控制单元或断面水质达标状况</w:t>
                  </w:r>
                  <w:r>
                    <w:rPr>
                      <w:color w:val="000000"/>
                      <w:sz w:val="18"/>
                      <w:szCs w:val="18"/>
                    </w:rPr>
                    <w:sym w:font="Wingdings 2" w:char="00A3"/>
                  </w:r>
                  <w:r>
                    <w:rPr>
                      <w:color w:val="000000"/>
                      <w:sz w:val="18"/>
                      <w:szCs w:val="18"/>
                    </w:rPr>
                    <w:t>：达标</w:t>
                  </w:r>
                  <w:r>
                    <w:rPr>
                      <w:color w:val="000000"/>
                      <w:sz w:val="18"/>
                      <w:szCs w:val="18"/>
                    </w:rPr>
                    <w:sym w:font="Wingdings 2" w:char="00A3"/>
                  </w:r>
                  <w:r>
                    <w:rPr>
                      <w:color w:val="000000"/>
                      <w:sz w:val="18"/>
                      <w:szCs w:val="18"/>
                    </w:rPr>
                    <w:t>；不达标</w:t>
                  </w:r>
                  <w:r>
                    <w:rPr>
                      <w:color w:val="000000"/>
                      <w:sz w:val="18"/>
                      <w:szCs w:val="18"/>
                    </w:rPr>
                    <w:sym w:font="Wingdings 2" w:char="00A3"/>
                  </w:r>
                </w:p>
                <w:p>
                  <w:pPr>
                    <w:spacing w:line="280" w:lineRule="exact"/>
                    <w:rPr>
                      <w:color w:val="000000"/>
                      <w:sz w:val="18"/>
                      <w:szCs w:val="18"/>
                    </w:rPr>
                  </w:pPr>
                  <w:r>
                    <w:rPr>
                      <w:color w:val="000000"/>
                      <w:sz w:val="18"/>
                      <w:szCs w:val="18"/>
                    </w:rPr>
                    <w:t>水环境保护目标质量状况</w:t>
                  </w:r>
                  <w:r>
                    <w:rPr>
                      <w:color w:val="000000"/>
                      <w:sz w:val="18"/>
                      <w:szCs w:val="18"/>
                    </w:rPr>
                    <w:sym w:font="Wingdings 2" w:char="00A3"/>
                  </w:r>
                  <w:r>
                    <w:rPr>
                      <w:color w:val="000000"/>
                      <w:sz w:val="18"/>
                      <w:szCs w:val="18"/>
                    </w:rPr>
                    <w:t>：达标</w:t>
                  </w:r>
                  <w:r>
                    <w:rPr>
                      <w:color w:val="000000"/>
                      <w:sz w:val="18"/>
                      <w:szCs w:val="18"/>
                    </w:rPr>
                    <w:sym w:font="Wingdings 2" w:char="00A3"/>
                  </w:r>
                  <w:r>
                    <w:rPr>
                      <w:color w:val="000000"/>
                      <w:sz w:val="18"/>
                      <w:szCs w:val="18"/>
                    </w:rPr>
                    <w:t>；不达标</w:t>
                  </w:r>
                  <w:r>
                    <w:rPr>
                      <w:color w:val="000000"/>
                      <w:sz w:val="18"/>
                      <w:szCs w:val="18"/>
                    </w:rPr>
                    <w:sym w:font="Wingdings 2" w:char="00A3"/>
                  </w:r>
                </w:p>
                <w:p>
                  <w:pPr>
                    <w:spacing w:line="280" w:lineRule="exact"/>
                    <w:rPr>
                      <w:color w:val="000000"/>
                      <w:sz w:val="18"/>
                      <w:szCs w:val="18"/>
                    </w:rPr>
                  </w:pPr>
                  <w:r>
                    <w:rPr>
                      <w:color w:val="000000"/>
                      <w:sz w:val="18"/>
                      <w:szCs w:val="18"/>
                    </w:rPr>
                    <w:t>对照断面、控制断面等代表性断面的水质状况</w:t>
                  </w:r>
                  <w:r>
                    <w:rPr>
                      <w:color w:val="000000"/>
                      <w:sz w:val="18"/>
                      <w:szCs w:val="18"/>
                    </w:rPr>
                    <w:sym w:font="Wingdings 2" w:char="00A3"/>
                  </w:r>
                  <w:r>
                    <w:rPr>
                      <w:color w:val="000000"/>
                      <w:sz w:val="18"/>
                      <w:szCs w:val="18"/>
                    </w:rPr>
                    <w:t>：达标</w:t>
                  </w:r>
                  <w:r>
                    <w:rPr>
                      <w:color w:val="000000"/>
                      <w:sz w:val="18"/>
                      <w:szCs w:val="18"/>
                    </w:rPr>
                    <w:sym w:font="Wingdings 2" w:char="00A3"/>
                  </w:r>
                  <w:r>
                    <w:rPr>
                      <w:color w:val="000000"/>
                      <w:sz w:val="18"/>
                      <w:szCs w:val="18"/>
                    </w:rPr>
                    <w:t>；不达标</w:t>
                  </w:r>
                  <w:r>
                    <w:rPr>
                      <w:color w:val="000000"/>
                      <w:sz w:val="18"/>
                      <w:szCs w:val="18"/>
                    </w:rPr>
                    <w:sym w:font="Wingdings 2" w:char="00A3"/>
                  </w:r>
                </w:p>
                <w:p>
                  <w:pPr>
                    <w:spacing w:line="280" w:lineRule="exact"/>
                    <w:rPr>
                      <w:color w:val="000000"/>
                      <w:sz w:val="18"/>
                      <w:szCs w:val="18"/>
                    </w:rPr>
                  </w:pPr>
                  <w:r>
                    <w:rPr>
                      <w:color w:val="000000"/>
                      <w:sz w:val="18"/>
                      <w:szCs w:val="18"/>
                    </w:rPr>
                    <w:t>底泥污染评价</w:t>
                  </w:r>
                  <w:r>
                    <w:rPr>
                      <w:color w:val="000000"/>
                      <w:sz w:val="18"/>
                      <w:szCs w:val="18"/>
                    </w:rPr>
                    <w:sym w:font="Wingdings 2" w:char="00A3"/>
                  </w:r>
                </w:p>
                <w:p>
                  <w:pPr>
                    <w:spacing w:line="280" w:lineRule="exact"/>
                    <w:rPr>
                      <w:color w:val="000000"/>
                      <w:sz w:val="18"/>
                      <w:szCs w:val="18"/>
                    </w:rPr>
                  </w:pPr>
                  <w:r>
                    <w:rPr>
                      <w:color w:val="000000"/>
                      <w:sz w:val="18"/>
                      <w:szCs w:val="18"/>
                    </w:rPr>
                    <w:t>水资源与开发利用程度及其水文情势评价</w:t>
                  </w:r>
                  <w:r>
                    <w:rPr>
                      <w:color w:val="000000"/>
                      <w:sz w:val="18"/>
                      <w:szCs w:val="18"/>
                    </w:rPr>
                    <w:sym w:font="Wingdings 2" w:char="00A3"/>
                  </w:r>
                </w:p>
                <w:p>
                  <w:pPr>
                    <w:spacing w:line="280" w:lineRule="exact"/>
                    <w:rPr>
                      <w:color w:val="000000"/>
                      <w:sz w:val="18"/>
                      <w:szCs w:val="18"/>
                    </w:rPr>
                  </w:pPr>
                  <w:r>
                    <w:rPr>
                      <w:color w:val="000000"/>
                      <w:sz w:val="18"/>
                      <w:szCs w:val="18"/>
                    </w:rPr>
                    <w:t>水环境质量回顾评价</w:t>
                  </w:r>
                  <w:r>
                    <w:rPr>
                      <w:color w:val="000000"/>
                      <w:sz w:val="18"/>
                      <w:szCs w:val="18"/>
                    </w:rPr>
                    <w:sym w:font="Wingdings 2" w:char="00A3"/>
                  </w:r>
                </w:p>
                <w:p>
                  <w:pPr>
                    <w:spacing w:line="280" w:lineRule="exact"/>
                    <w:rPr>
                      <w:color w:val="000000"/>
                      <w:sz w:val="18"/>
                      <w:szCs w:val="18"/>
                    </w:rPr>
                  </w:pPr>
                  <w:r>
                    <w:rPr>
                      <w:color w:val="000000"/>
                      <w:sz w:val="18"/>
                      <w:szCs w:val="18"/>
                    </w:rPr>
                    <w:t>流域（区域）水资源（包括水能资源）与开发利用总体状况、生态流量管理要求与现状满足程度、建设项目占用水域空间的水流状况与河湖演变状况</w:t>
                  </w:r>
                  <w:r>
                    <w:rPr>
                      <w:color w:val="000000"/>
                      <w:sz w:val="18"/>
                      <w:szCs w:val="18"/>
                    </w:rPr>
                    <w:sym w:font="Wingdings 2" w:char="00A3"/>
                  </w:r>
                </w:p>
              </w:tc>
              <w:tc>
                <w:tcPr>
                  <w:tcW w:w="1101" w:type="dxa"/>
                  <w:tcBorders>
                    <w:tl2br w:val="nil"/>
                    <w:tr2bl w:val="nil"/>
                  </w:tcBorders>
                  <w:shd w:val="clear" w:color="auto" w:fill="auto"/>
                  <w:vAlign w:val="center"/>
                </w:tcPr>
                <w:p>
                  <w:pPr>
                    <w:spacing w:line="280" w:lineRule="exact"/>
                    <w:rPr>
                      <w:color w:val="000000"/>
                      <w:sz w:val="18"/>
                      <w:szCs w:val="18"/>
                    </w:rPr>
                  </w:pPr>
                  <w:r>
                    <w:rPr>
                      <w:color w:val="000000"/>
                      <w:sz w:val="18"/>
                      <w:szCs w:val="18"/>
                    </w:rPr>
                    <w:t>达标区</w:t>
                  </w:r>
                  <w:r>
                    <w:rPr>
                      <w:color w:val="000000"/>
                      <w:sz w:val="18"/>
                      <w:szCs w:val="18"/>
                    </w:rPr>
                    <w:sym w:font="Wingdings 2" w:char="00A3"/>
                  </w:r>
                </w:p>
                <w:p>
                  <w:pPr>
                    <w:spacing w:line="280" w:lineRule="exact"/>
                    <w:rPr>
                      <w:color w:val="000000"/>
                      <w:sz w:val="18"/>
                      <w:szCs w:val="18"/>
                    </w:rPr>
                  </w:pPr>
                  <w:r>
                    <w:rPr>
                      <w:color w:val="000000"/>
                      <w:sz w:val="18"/>
                      <w:szCs w:val="18"/>
                    </w:rPr>
                    <w:t>不达标区</w:t>
                  </w:r>
                  <w:r>
                    <w:rPr>
                      <w:color w:val="000000"/>
                      <w:sz w:val="18"/>
                      <w:szCs w:val="1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restart"/>
                  <w:tcBorders>
                    <w:tl2br w:val="nil"/>
                    <w:tr2bl w:val="nil"/>
                  </w:tcBorders>
                  <w:shd w:val="clear" w:color="auto" w:fill="auto"/>
                  <w:vAlign w:val="center"/>
                </w:tcPr>
                <w:p>
                  <w:pPr>
                    <w:spacing w:line="280" w:lineRule="exact"/>
                    <w:rPr>
                      <w:color w:val="000000"/>
                      <w:sz w:val="18"/>
                      <w:szCs w:val="18"/>
                    </w:rPr>
                  </w:pPr>
                  <w:r>
                    <w:rPr>
                      <w:color w:val="000000"/>
                      <w:sz w:val="18"/>
                      <w:szCs w:val="18"/>
                    </w:rPr>
                    <w:t>影响预测</w:t>
                  </w:r>
                </w:p>
              </w:tc>
              <w:tc>
                <w:tcPr>
                  <w:tcW w:w="1420" w:type="dxa"/>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预测范围</w:t>
                  </w:r>
                </w:p>
              </w:tc>
              <w:tc>
                <w:tcPr>
                  <w:tcW w:w="7262" w:type="dxa"/>
                  <w:gridSpan w:val="12"/>
                  <w:tcBorders>
                    <w:tl2br w:val="nil"/>
                    <w:tr2bl w:val="nil"/>
                  </w:tcBorders>
                  <w:shd w:val="clear" w:color="auto" w:fill="auto"/>
                  <w:vAlign w:val="center"/>
                </w:tcPr>
                <w:p>
                  <w:pPr>
                    <w:spacing w:line="280" w:lineRule="exact"/>
                    <w:rPr>
                      <w:color w:val="000000"/>
                      <w:sz w:val="18"/>
                      <w:szCs w:val="18"/>
                    </w:rPr>
                  </w:pPr>
                  <w:r>
                    <w:rPr>
                      <w:color w:val="000000"/>
                      <w:sz w:val="18"/>
                      <w:szCs w:val="18"/>
                    </w:rPr>
                    <w:t xml:space="preserve">河流：长度（ </w:t>
                  </w:r>
                  <w:r>
                    <w:rPr>
                      <w:rFonts w:hint="eastAsia"/>
                      <w:color w:val="000000"/>
                      <w:sz w:val="18"/>
                      <w:szCs w:val="18"/>
                    </w:rPr>
                    <w:t>/</w:t>
                  </w:r>
                  <w:r>
                    <w:rPr>
                      <w:color w:val="000000"/>
                      <w:sz w:val="18"/>
                      <w:szCs w:val="18"/>
                    </w:rPr>
                    <w:t xml:space="preserve"> ）km；湖库、河口及近岸海域：面积（ </w:t>
                  </w:r>
                  <w:r>
                    <w:rPr>
                      <w:rFonts w:hint="eastAsia"/>
                      <w:color w:val="000000"/>
                      <w:sz w:val="18"/>
                      <w:szCs w:val="18"/>
                    </w:rPr>
                    <w:t>/</w:t>
                  </w:r>
                  <w:r>
                    <w:rPr>
                      <w:color w:val="000000"/>
                      <w:sz w:val="18"/>
                      <w:szCs w:val="18"/>
                    </w:rPr>
                    <w:t xml:space="preserve"> ）km</w:t>
                  </w:r>
                  <w:r>
                    <w:rPr>
                      <w:color w:val="000000"/>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continue"/>
                  <w:tcBorders>
                    <w:tl2br w:val="nil"/>
                    <w:tr2bl w:val="nil"/>
                  </w:tcBorders>
                  <w:shd w:val="clear" w:color="auto" w:fill="auto"/>
                  <w:vAlign w:val="center"/>
                </w:tcPr>
                <w:p>
                  <w:pPr>
                    <w:spacing w:line="280" w:lineRule="exact"/>
                    <w:jc w:val="center"/>
                    <w:rPr>
                      <w:color w:val="000000"/>
                      <w:sz w:val="18"/>
                      <w:szCs w:val="18"/>
                    </w:rPr>
                  </w:pPr>
                </w:p>
              </w:tc>
              <w:tc>
                <w:tcPr>
                  <w:tcW w:w="1420" w:type="dxa"/>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预测因子</w:t>
                  </w:r>
                </w:p>
              </w:tc>
              <w:tc>
                <w:tcPr>
                  <w:tcW w:w="7262" w:type="dxa"/>
                  <w:gridSpan w:val="12"/>
                  <w:tcBorders>
                    <w:tl2br w:val="nil"/>
                    <w:tr2bl w:val="nil"/>
                  </w:tcBorders>
                  <w:shd w:val="clear" w:color="auto" w:fill="auto"/>
                  <w:vAlign w:val="center"/>
                </w:tcPr>
                <w:p>
                  <w:pPr>
                    <w:spacing w:line="280" w:lineRule="exact"/>
                    <w:rPr>
                      <w:color w:val="000000"/>
                      <w:sz w:val="18"/>
                      <w:szCs w:val="18"/>
                    </w:rPr>
                  </w:pPr>
                  <w:r>
                    <w:rPr>
                      <w:color w:val="000000"/>
                      <w:sz w:val="18"/>
                      <w:szCs w:val="18"/>
                    </w:rPr>
                    <w:t xml:space="preserve">（ </w:t>
                  </w:r>
                  <w:r>
                    <w:rPr>
                      <w:rFonts w:hint="eastAsia"/>
                      <w:color w:val="000000"/>
                      <w:sz w:val="18"/>
                      <w:szCs w:val="18"/>
                    </w:rPr>
                    <w:t>/</w:t>
                  </w:r>
                  <w:r>
                    <w:rPr>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continue"/>
                  <w:tcBorders>
                    <w:tl2br w:val="nil"/>
                    <w:tr2bl w:val="nil"/>
                  </w:tcBorders>
                  <w:shd w:val="clear" w:color="auto" w:fill="auto"/>
                  <w:vAlign w:val="center"/>
                </w:tcPr>
                <w:p>
                  <w:pPr>
                    <w:spacing w:line="280" w:lineRule="exact"/>
                    <w:jc w:val="center"/>
                    <w:rPr>
                      <w:color w:val="000000"/>
                      <w:sz w:val="18"/>
                      <w:szCs w:val="18"/>
                    </w:rPr>
                  </w:pPr>
                </w:p>
              </w:tc>
              <w:tc>
                <w:tcPr>
                  <w:tcW w:w="1420" w:type="dxa"/>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预测时期</w:t>
                  </w:r>
                </w:p>
              </w:tc>
              <w:tc>
                <w:tcPr>
                  <w:tcW w:w="7262" w:type="dxa"/>
                  <w:gridSpan w:val="12"/>
                  <w:tcBorders>
                    <w:tl2br w:val="nil"/>
                    <w:tr2bl w:val="nil"/>
                  </w:tcBorders>
                  <w:shd w:val="clear" w:color="auto" w:fill="auto"/>
                  <w:vAlign w:val="center"/>
                </w:tcPr>
                <w:p>
                  <w:pPr>
                    <w:spacing w:line="280" w:lineRule="exact"/>
                    <w:rPr>
                      <w:color w:val="000000"/>
                      <w:sz w:val="18"/>
                      <w:szCs w:val="18"/>
                    </w:rPr>
                  </w:pPr>
                  <w:r>
                    <w:rPr>
                      <w:color w:val="000000"/>
                      <w:sz w:val="18"/>
                      <w:szCs w:val="18"/>
                    </w:rPr>
                    <w:t>丰水期</w:t>
                  </w:r>
                  <w:r>
                    <w:rPr>
                      <w:color w:val="000000"/>
                      <w:sz w:val="18"/>
                      <w:szCs w:val="18"/>
                    </w:rPr>
                    <w:sym w:font="Wingdings 2" w:char="00A3"/>
                  </w:r>
                  <w:r>
                    <w:rPr>
                      <w:color w:val="000000"/>
                      <w:sz w:val="18"/>
                      <w:szCs w:val="18"/>
                    </w:rPr>
                    <w:t>；平水期</w:t>
                  </w:r>
                  <w:r>
                    <w:rPr>
                      <w:color w:val="000000"/>
                      <w:sz w:val="18"/>
                      <w:szCs w:val="18"/>
                    </w:rPr>
                    <w:sym w:font="Wingdings 2" w:char="00A3"/>
                  </w:r>
                  <w:r>
                    <w:rPr>
                      <w:color w:val="000000"/>
                      <w:sz w:val="18"/>
                      <w:szCs w:val="18"/>
                    </w:rPr>
                    <w:t>；枯水期</w:t>
                  </w:r>
                  <w:r>
                    <w:rPr>
                      <w:color w:val="000000"/>
                      <w:sz w:val="18"/>
                      <w:szCs w:val="18"/>
                    </w:rPr>
                    <w:sym w:font="Wingdings 2" w:char="00A3"/>
                  </w:r>
                  <w:r>
                    <w:rPr>
                      <w:color w:val="000000"/>
                      <w:sz w:val="18"/>
                      <w:szCs w:val="18"/>
                    </w:rPr>
                    <w:t>；冰封期</w:t>
                  </w:r>
                  <w:r>
                    <w:rPr>
                      <w:color w:val="000000"/>
                      <w:sz w:val="18"/>
                      <w:szCs w:val="18"/>
                    </w:rPr>
                    <w:sym w:font="Wingdings 2" w:char="00A3"/>
                  </w:r>
                </w:p>
                <w:p>
                  <w:pPr>
                    <w:spacing w:line="280" w:lineRule="exact"/>
                    <w:rPr>
                      <w:color w:val="000000"/>
                      <w:sz w:val="18"/>
                      <w:szCs w:val="18"/>
                    </w:rPr>
                  </w:pPr>
                  <w:r>
                    <w:rPr>
                      <w:color w:val="000000"/>
                      <w:sz w:val="18"/>
                      <w:szCs w:val="18"/>
                    </w:rPr>
                    <w:t>春季</w:t>
                  </w:r>
                  <w:r>
                    <w:rPr>
                      <w:color w:val="000000"/>
                      <w:sz w:val="18"/>
                      <w:szCs w:val="18"/>
                    </w:rPr>
                    <w:sym w:font="Wingdings 2" w:char="00A3"/>
                  </w:r>
                  <w:r>
                    <w:rPr>
                      <w:color w:val="000000"/>
                      <w:sz w:val="18"/>
                      <w:szCs w:val="18"/>
                    </w:rPr>
                    <w:t>；夏季</w:t>
                  </w:r>
                  <w:r>
                    <w:rPr>
                      <w:color w:val="000000"/>
                      <w:sz w:val="18"/>
                      <w:szCs w:val="18"/>
                    </w:rPr>
                    <w:sym w:font="Wingdings 2" w:char="00A3"/>
                  </w:r>
                  <w:r>
                    <w:rPr>
                      <w:color w:val="000000"/>
                      <w:sz w:val="18"/>
                      <w:szCs w:val="18"/>
                    </w:rPr>
                    <w:t>；秋季</w:t>
                  </w:r>
                  <w:r>
                    <w:rPr>
                      <w:color w:val="000000"/>
                      <w:sz w:val="18"/>
                      <w:szCs w:val="18"/>
                    </w:rPr>
                    <w:sym w:font="Wingdings 2" w:char="00A3"/>
                  </w:r>
                  <w:r>
                    <w:rPr>
                      <w:color w:val="000000"/>
                      <w:sz w:val="18"/>
                      <w:szCs w:val="18"/>
                    </w:rPr>
                    <w:t>；冬季</w:t>
                  </w:r>
                  <w:r>
                    <w:rPr>
                      <w:color w:val="000000"/>
                      <w:sz w:val="18"/>
                      <w:szCs w:val="18"/>
                    </w:rPr>
                    <w:sym w:font="Wingdings 2" w:char="00A3"/>
                  </w:r>
                </w:p>
                <w:p>
                  <w:pPr>
                    <w:spacing w:line="280" w:lineRule="exact"/>
                    <w:rPr>
                      <w:color w:val="000000"/>
                      <w:sz w:val="18"/>
                      <w:szCs w:val="18"/>
                    </w:rPr>
                  </w:pPr>
                  <w:r>
                    <w:rPr>
                      <w:color w:val="000000"/>
                      <w:sz w:val="18"/>
                      <w:szCs w:val="18"/>
                    </w:rPr>
                    <w:t xml:space="preserve">设计水文条件 </w:t>
                  </w:r>
                  <w:r>
                    <w:rPr>
                      <w:color w:val="000000"/>
                      <w:sz w:val="18"/>
                      <w:szCs w:val="1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continue"/>
                  <w:tcBorders>
                    <w:tl2br w:val="nil"/>
                    <w:tr2bl w:val="nil"/>
                  </w:tcBorders>
                  <w:shd w:val="clear" w:color="auto" w:fill="auto"/>
                  <w:vAlign w:val="center"/>
                </w:tcPr>
                <w:p>
                  <w:pPr>
                    <w:spacing w:line="280" w:lineRule="exact"/>
                    <w:jc w:val="center"/>
                    <w:rPr>
                      <w:color w:val="000000"/>
                      <w:sz w:val="18"/>
                      <w:szCs w:val="18"/>
                    </w:rPr>
                  </w:pPr>
                </w:p>
              </w:tc>
              <w:tc>
                <w:tcPr>
                  <w:tcW w:w="1420" w:type="dxa"/>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预测情景</w:t>
                  </w:r>
                </w:p>
              </w:tc>
              <w:tc>
                <w:tcPr>
                  <w:tcW w:w="7262" w:type="dxa"/>
                  <w:gridSpan w:val="12"/>
                  <w:tcBorders>
                    <w:tl2br w:val="nil"/>
                    <w:tr2bl w:val="nil"/>
                  </w:tcBorders>
                  <w:shd w:val="clear" w:color="auto" w:fill="auto"/>
                  <w:vAlign w:val="center"/>
                </w:tcPr>
                <w:p>
                  <w:pPr>
                    <w:spacing w:line="280" w:lineRule="exact"/>
                    <w:rPr>
                      <w:color w:val="000000"/>
                      <w:sz w:val="18"/>
                      <w:szCs w:val="18"/>
                    </w:rPr>
                  </w:pPr>
                  <w:r>
                    <w:rPr>
                      <w:color w:val="000000"/>
                      <w:sz w:val="18"/>
                      <w:szCs w:val="18"/>
                    </w:rPr>
                    <w:t>建设期</w:t>
                  </w:r>
                  <w:r>
                    <w:rPr>
                      <w:color w:val="000000"/>
                      <w:sz w:val="18"/>
                      <w:szCs w:val="18"/>
                    </w:rPr>
                    <w:sym w:font="Wingdings 2" w:char="00A3"/>
                  </w:r>
                  <w:r>
                    <w:rPr>
                      <w:color w:val="000000"/>
                      <w:sz w:val="18"/>
                      <w:szCs w:val="18"/>
                    </w:rPr>
                    <w:t>；生产运行期</w:t>
                  </w:r>
                  <w:r>
                    <w:rPr>
                      <w:color w:val="000000"/>
                      <w:sz w:val="18"/>
                      <w:szCs w:val="18"/>
                    </w:rPr>
                    <w:sym w:font="Wingdings 2" w:char="00A3"/>
                  </w:r>
                  <w:r>
                    <w:rPr>
                      <w:color w:val="000000"/>
                      <w:sz w:val="18"/>
                      <w:szCs w:val="18"/>
                    </w:rPr>
                    <w:t>；服务期满后</w:t>
                  </w:r>
                  <w:r>
                    <w:rPr>
                      <w:color w:val="000000"/>
                      <w:sz w:val="18"/>
                      <w:szCs w:val="18"/>
                    </w:rPr>
                    <w:sym w:font="Wingdings 2" w:char="00A3"/>
                  </w:r>
                </w:p>
                <w:p>
                  <w:pPr>
                    <w:spacing w:line="280" w:lineRule="exact"/>
                    <w:rPr>
                      <w:color w:val="000000"/>
                      <w:sz w:val="18"/>
                      <w:szCs w:val="18"/>
                    </w:rPr>
                  </w:pPr>
                  <w:r>
                    <w:rPr>
                      <w:color w:val="000000"/>
                      <w:sz w:val="18"/>
                      <w:szCs w:val="18"/>
                    </w:rPr>
                    <w:t>正常工况</w:t>
                  </w:r>
                  <w:r>
                    <w:rPr>
                      <w:color w:val="000000"/>
                      <w:sz w:val="18"/>
                      <w:szCs w:val="18"/>
                    </w:rPr>
                    <w:sym w:font="Wingdings 2" w:char="00A3"/>
                  </w:r>
                  <w:r>
                    <w:rPr>
                      <w:color w:val="000000"/>
                      <w:sz w:val="18"/>
                      <w:szCs w:val="18"/>
                    </w:rPr>
                    <w:t>；非正常工况</w:t>
                  </w:r>
                  <w:r>
                    <w:rPr>
                      <w:color w:val="000000"/>
                      <w:sz w:val="18"/>
                      <w:szCs w:val="18"/>
                    </w:rPr>
                    <w:sym w:font="Wingdings 2" w:char="00A3"/>
                  </w:r>
                </w:p>
                <w:p>
                  <w:pPr>
                    <w:spacing w:line="280" w:lineRule="exact"/>
                    <w:rPr>
                      <w:color w:val="000000"/>
                      <w:sz w:val="18"/>
                      <w:szCs w:val="18"/>
                    </w:rPr>
                  </w:pPr>
                  <w:r>
                    <w:rPr>
                      <w:color w:val="000000"/>
                      <w:sz w:val="18"/>
                      <w:szCs w:val="18"/>
                    </w:rPr>
                    <w:t>污染控制和减缓措施方案</w:t>
                  </w:r>
                  <w:r>
                    <w:rPr>
                      <w:color w:val="000000"/>
                      <w:sz w:val="18"/>
                      <w:szCs w:val="18"/>
                    </w:rPr>
                    <w:sym w:font="Wingdings 2" w:char="00A3"/>
                  </w:r>
                </w:p>
                <w:p>
                  <w:pPr>
                    <w:spacing w:line="280" w:lineRule="exact"/>
                    <w:rPr>
                      <w:color w:val="000000"/>
                      <w:sz w:val="18"/>
                      <w:szCs w:val="18"/>
                    </w:rPr>
                  </w:pPr>
                  <w:r>
                    <w:rPr>
                      <w:color w:val="000000"/>
                      <w:sz w:val="18"/>
                      <w:szCs w:val="18"/>
                    </w:rPr>
                    <w:t>区（流）域环境指廊改善目标要求情景</w:t>
                  </w:r>
                  <w:r>
                    <w:rPr>
                      <w:color w:val="000000"/>
                      <w:sz w:val="18"/>
                      <w:szCs w:val="1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6" w:type="dxa"/>
                  <w:vMerge w:val="continue"/>
                  <w:tcBorders>
                    <w:tl2br w:val="nil"/>
                    <w:tr2bl w:val="nil"/>
                  </w:tcBorders>
                  <w:shd w:val="clear" w:color="auto" w:fill="auto"/>
                  <w:vAlign w:val="center"/>
                </w:tcPr>
                <w:p>
                  <w:pPr>
                    <w:spacing w:line="280" w:lineRule="exact"/>
                    <w:jc w:val="center"/>
                    <w:rPr>
                      <w:color w:val="000000"/>
                      <w:sz w:val="18"/>
                      <w:szCs w:val="18"/>
                    </w:rPr>
                  </w:pPr>
                </w:p>
              </w:tc>
              <w:tc>
                <w:tcPr>
                  <w:tcW w:w="1420" w:type="dxa"/>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预测方法</w:t>
                  </w:r>
                </w:p>
              </w:tc>
              <w:tc>
                <w:tcPr>
                  <w:tcW w:w="7262" w:type="dxa"/>
                  <w:gridSpan w:val="12"/>
                  <w:tcBorders>
                    <w:tl2br w:val="nil"/>
                    <w:tr2bl w:val="nil"/>
                  </w:tcBorders>
                  <w:shd w:val="clear" w:color="auto" w:fill="auto"/>
                  <w:vAlign w:val="center"/>
                </w:tcPr>
                <w:p>
                  <w:pPr>
                    <w:spacing w:line="280" w:lineRule="exact"/>
                    <w:rPr>
                      <w:color w:val="000000"/>
                      <w:sz w:val="18"/>
                      <w:szCs w:val="18"/>
                    </w:rPr>
                  </w:pPr>
                  <w:r>
                    <w:rPr>
                      <w:color w:val="000000"/>
                      <w:sz w:val="18"/>
                      <w:szCs w:val="18"/>
                    </w:rPr>
                    <w:t>数值解</w:t>
                  </w:r>
                  <w:r>
                    <w:rPr>
                      <w:color w:val="000000"/>
                      <w:sz w:val="18"/>
                      <w:szCs w:val="18"/>
                    </w:rPr>
                    <w:sym w:font="Wingdings 2" w:char="00A3"/>
                  </w:r>
                  <w:r>
                    <w:rPr>
                      <w:color w:val="000000"/>
                      <w:sz w:val="18"/>
                      <w:szCs w:val="18"/>
                    </w:rPr>
                    <w:t>；解析解</w:t>
                  </w:r>
                  <w:r>
                    <w:rPr>
                      <w:color w:val="000000"/>
                      <w:sz w:val="18"/>
                      <w:szCs w:val="18"/>
                    </w:rPr>
                    <w:sym w:font="Wingdings 2" w:char="00A3"/>
                  </w:r>
                  <w:r>
                    <w:rPr>
                      <w:color w:val="000000"/>
                      <w:sz w:val="18"/>
                      <w:szCs w:val="18"/>
                    </w:rPr>
                    <w:t>；其他</w:t>
                  </w:r>
                  <w:r>
                    <w:rPr>
                      <w:color w:val="000000"/>
                      <w:sz w:val="18"/>
                      <w:szCs w:val="18"/>
                    </w:rPr>
                    <w:sym w:font="Wingdings 2" w:char="00A3"/>
                  </w:r>
                </w:p>
                <w:p>
                  <w:pPr>
                    <w:spacing w:line="280" w:lineRule="exact"/>
                    <w:rPr>
                      <w:color w:val="000000"/>
                      <w:sz w:val="18"/>
                      <w:szCs w:val="18"/>
                    </w:rPr>
                  </w:pPr>
                  <w:r>
                    <w:rPr>
                      <w:color w:val="000000"/>
                      <w:sz w:val="18"/>
                      <w:szCs w:val="18"/>
                    </w:rPr>
                    <w:t>导则推荐模式</w:t>
                  </w:r>
                  <w:r>
                    <w:rPr>
                      <w:color w:val="000000"/>
                      <w:sz w:val="18"/>
                      <w:szCs w:val="18"/>
                    </w:rPr>
                    <w:sym w:font="Wingdings 2" w:char="00A3"/>
                  </w:r>
                  <w:r>
                    <w:rPr>
                      <w:color w:val="000000"/>
                      <w:sz w:val="18"/>
                      <w:szCs w:val="18"/>
                    </w:rPr>
                    <w:t>；其他</w:t>
                  </w:r>
                  <w:r>
                    <w:rPr>
                      <w:color w:val="000000"/>
                      <w:sz w:val="18"/>
                      <w:szCs w:val="1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restart"/>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影响评价</w:t>
                  </w:r>
                </w:p>
              </w:tc>
              <w:tc>
                <w:tcPr>
                  <w:tcW w:w="1420" w:type="dxa"/>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水污染控制和水环境影响减缓措施有效性评价</w:t>
                  </w:r>
                </w:p>
              </w:tc>
              <w:tc>
                <w:tcPr>
                  <w:tcW w:w="7262" w:type="dxa"/>
                  <w:gridSpan w:val="12"/>
                  <w:tcBorders>
                    <w:tl2br w:val="nil"/>
                    <w:tr2bl w:val="nil"/>
                  </w:tcBorders>
                  <w:shd w:val="clear" w:color="auto" w:fill="auto"/>
                  <w:vAlign w:val="center"/>
                </w:tcPr>
                <w:p>
                  <w:pPr>
                    <w:spacing w:line="280" w:lineRule="exact"/>
                    <w:rPr>
                      <w:color w:val="000000"/>
                      <w:sz w:val="18"/>
                      <w:szCs w:val="18"/>
                    </w:rPr>
                  </w:pPr>
                  <w:r>
                    <w:rPr>
                      <w:color w:val="000000"/>
                      <w:sz w:val="18"/>
                      <w:szCs w:val="18"/>
                    </w:rPr>
                    <w:t>区（流）域水环境质量改善目标</w:t>
                  </w:r>
                  <w:r>
                    <w:rPr>
                      <w:color w:val="000000"/>
                      <w:sz w:val="18"/>
                      <w:szCs w:val="18"/>
                    </w:rPr>
                    <w:sym w:font="Wingdings 2" w:char="00A3"/>
                  </w:r>
                  <w:r>
                    <w:rPr>
                      <w:color w:val="000000"/>
                      <w:sz w:val="18"/>
                      <w:szCs w:val="18"/>
                    </w:rPr>
                    <w:t>；替代削减源</w:t>
                  </w:r>
                  <w:r>
                    <w:rPr>
                      <w:color w:val="000000"/>
                      <w:sz w:val="18"/>
                      <w:szCs w:val="1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continue"/>
                  <w:tcBorders>
                    <w:tl2br w:val="nil"/>
                    <w:tr2bl w:val="nil"/>
                  </w:tcBorders>
                  <w:shd w:val="clear" w:color="auto" w:fill="auto"/>
                  <w:vAlign w:val="center"/>
                </w:tcPr>
                <w:p>
                  <w:pPr>
                    <w:spacing w:line="280" w:lineRule="exact"/>
                    <w:jc w:val="center"/>
                    <w:rPr>
                      <w:color w:val="000000"/>
                      <w:sz w:val="18"/>
                      <w:szCs w:val="18"/>
                    </w:rPr>
                  </w:pPr>
                </w:p>
              </w:tc>
              <w:tc>
                <w:tcPr>
                  <w:tcW w:w="1420" w:type="dxa"/>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水环境影响</w:t>
                  </w:r>
                </w:p>
                <w:p>
                  <w:pPr>
                    <w:spacing w:line="280" w:lineRule="exact"/>
                    <w:jc w:val="center"/>
                    <w:rPr>
                      <w:color w:val="000000"/>
                      <w:sz w:val="18"/>
                      <w:szCs w:val="18"/>
                    </w:rPr>
                  </w:pPr>
                  <w:r>
                    <w:rPr>
                      <w:color w:val="000000"/>
                      <w:sz w:val="18"/>
                      <w:szCs w:val="18"/>
                    </w:rPr>
                    <w:t>评价</w:t>
                  </w:r>
                </w:p>
              </w:tc>
              <w:tc>
                <w:tcPr>
                  <w:tcW w:w="7262" w:type="dxa"/>
                  <w:gridSpan w:val="12"/>
                  <w:tcBorders>
                    <w:tl2br w:val="nil"/>
                    <w:tr2bl w:val="nil"/>
                  </w:tcBorders>
                  <w:shd w:val="clear" w:color="auto" w:fill="auto"/>
                  <w:vAlign w:val="center"/>
                </w:tcPr>
                <w:p>
                  <w:pPr>
                    <w:spacing w:line="280" w:lineRule="exact"/>
                    <w:rPr>
                      <w:color w:val="000000"/>
                      <w:sz w:val="18"/>
                      <w:szCs w:val="18"/>
                    </w:rPr>
                  </w:pPr>
                  <w:r>
                    <w:rPr>
                      <w:color w:val="000000"/>
                      <w:sz w:val="18"/>
                      <w:szCs w:val="18"/>
                    </w:rPr>
                    <w:t>排放口混合区外满足水环境管理要求</w:t>
                  </w:r>
                  <w:r>
                    <w:rPr>
                      <w:color w:val="000000"/>
                      <w:sz w:val="18"/>
                      <w:szCs w:val="18"/>
                    </w:rPr>
                    <w:sym w:font="Wingdings 2" w:char="00A3"/>
                  </w:r>
                </w:p>
                <w:p>
                  <w:pPr>
                    <w:spacing w:line="280" w:lineRule="exact"/>
                    <w:rPr>
                      <w:color w:val="000000"/>
                      <w:sz w:val="18"/>
                      <w:szCs w:val="18"/>
                    </w:rPr>
                  </w:pPr>
                  <w:r>
                    <w:rPr>
                      <w:color w:val="000000"/>
                      <w:sz w:val="18"/>
                      <w:szCs w:val="18"/>
                    </w:rPr>
                    <w:t>水环境功能区或水功能区、近岸海域环境功能区水质达标</w:t>
                  </w:r>
                  <w:r>
                    <w:rPr>
                      <w:color w:val="000000"/>
                      <w:sz w:val="18"/>
                      <w:szCs w:val="18"/>
                    </w:rPr>
                    <w:sym w:font="Wingdings 2" w:char="00A3"/>
                  </w:r>
                </w:p>
                <w:p>
                  <w:pPr>
                    <w:spacing w:line="280" w:lineRule="exact"/>
                    <w:rPr>
                      <w:color w:val="000000"/>
                      <w:sz w:val="18"/>
                      <w:szCs w:val="18"/>
                    </w:rPr>
                  </w:pPr>
                  <w:r>
                    <w:rPr>
                      <w:color w:val="000000"/>
                      <w:sz w:val="18"/>
                      <w:szCs w:val="18"/>
                    </w:rPr>
                    <w:t>满足水环境保护目标水域水环境质量要求</w:t>
                  </w:r>
                  <w:r>
                    <w:rPr>
                      <w:color w:val="000000"/>
                      <w:sz w:val="18"/>
                      <w:szCs w:val="18"/>
                    </w:rPr>
                    <w:sym w:font="Wingdings 2" w:char="00A3"/>
                  </w:r>
                </w:p>
                <w:p>
                  <w:pPr>
                    <w:spacing w:line="280" w:lineRule="exact"/>
                    <w:rPr>
                      <w:color w:val="000000"/>
                      <w:sz w:val="18"/>
                      <w:szCs w:val="18"/>
                    </w:rPr>
                  </w:pPr>
                  <w:r>
                    <w:rPr>
                      <w:color w:val="000000"/>
                      <w:sz w:val="18"/>
                      <w:szCs w:val="18"/>
                    </w:rPr>
                    <w:t>水环境控制单元或断面水质达标</w:t>
                  </w:r>
                  <w:r>
                    <w:rPr>
                      <w:color w:val="000000"/>
                      <w:sz w:val="18"/>
                      <w:szCs w:val="18"/>
                    </w:rPr>
                    <w:sym w:font="Wingdings 2" w:char="00A3"/>
                  </w:r>
                </w:p>
                <w:p>
                  <w:pPr>
                    <w:spacing w:line="280" w:lineRule="exact"/>
                    <w:rPr>
                      <w:color w:val="000000"/>
                      <w:sz w:val="18"/>
                      <w:szCs w:val="18"/>
                    </w:rPr>
                  </w:pPr>
                  <w:r>
                    <w:rPr>
                      <w:color w:val="000000"/>
                      <w:sz w:val="18"/>
                      <w:szCs w:val="18"/>
                    </w:rPr>
                    <w:t>满足重点水污染物排放总量控制指标要求，重点行业建设项目，主要污染物排放满足等量或减量替代要求</w:t>
                  </w:r>
                  <w:r>
                    <w:rPr>
                      <w:color w:val="000000"/>
                      <w:sz w:val="18"/>
                      <w:szCs w:val="18"/>
                    </w:rPr>
                    <w:sym w:font="Wingdings 2" w:char="00A3"/>
                  </w:r>
                </w:p>
                <w:p>
                  <w:pPr>
                    <w:spacing w:line="280" w:lineRule="exact"/>
                    <w:rPr>
                      <w:color w:val="000000"/>
                      <w:sz w:val="18"/>
                      <w:szCs w:val="18"/>
                    </w:rPr>
                  </w:pPr>
                  <w:r>
                    <w:rPr>
                      <w:color w:val="000000"/>
                      <w:sz w:val="18"/>
                      <w:szCs w:val="18"/>
                    </w:rPr>
                    <w:t>满足区（流）域水环境质量改善目标要求</w:t>
                  </w:r>
                  <w:r>
                    <w:rPr>
                      <w:color w:val="000000"/>
                      <w:sz w:val="18"/>
                      <w:szCs w:val="18"/>
                    </w:rPr>
                    <w:sym w:font="Wingdings 2" w:char="00A3"/>
                  </w:r>
                </w:p>
                <w:p>
                  <w:pPr>
                    <w:spacing w:line="280" w:lineRule="exact"/>
                    <w:rPr>
                      <w:color w:val="000000"/>
                      <w:sz w:val="18"/>
                      <w:szCs w:val="18"/>
                    </w:rPr>
                  </w:pPr>
                  <w:r>
                    <w:rPr>
                      <w:color w:val="000000"/>
                      <w:sz w:val="18"/>
                      <w:szCs w:val="18"/>
                    </w:rPr>
                    <w:t>水文要素影响型建设项目同时应包括水文情势变化评价、主要水文特征值影响评价、生态流量符合性评价</w:t>
                  </w:r>
                  <w:r>
                    <w:rPr>
                      <w:color w:val="000000"/>
                      <w:sz w:val="18"/>
                      <w:szCs w:val="18"/>
                    </w:rPr>
                    <w:sym w:font="Wingdings 2" w:char="00A3"/>
                  </w:r>
                </w:p>
                <w:p>
                  <w:pPr>
                    <w:spacing w:line="280" w:lineRule="exact"/>
                    <w:rPr>
                      <w:color w:val="000000"/>
                      <w:sz w:val="18"/>
                      <w:szCs w:val="18"/>
                    </w:rPr>
                  </w:pPr>
                  <w:r>
                    <w:rPr>
                      <w:color w:val="000000"/>
                      <w:sz w:val="18"/>
                      <w:szCs w:val="18"/>
                    </w:rPr>
                    <w:t>对于新设或调整入河（湖库、近岸海域）排放口的建设项目，应包括排放口设置的环境合理性评价</w:t>
                  </w:r>
                  <w:r>
                    <w:rPr>
                      <w:color w:val="000000"/>
                      <w:sz w:val="18"/>
                      <w:szCs w:val="18"/>
                    </w:rPr>
                    <w:sym w:font="Wingdings 2" w:char="00A3"/>
                  </w:r>
                </w:p>
                <w:p>
                  <w:pPr>
                    <w:spacing w:line="280" w:lineRule="exact"/>
                    <w:rPr>
                      <w:color w:val="000000"/>
                      <w:sz w:val="18"/>
                      <w:szCs w:val="18"/>
                    </w:rPr>
                  </w:pPr>
                  <w:r>
                    <w:rPr>
                      <w:color w:val="000000"/>
                      <w:sz w:val="18"/>
                      <w:szCs w:val="18"/>
                    </w:rPr>
                    <w:t>满足生态保护红线、水环境质量底线、资源利用上线和环境准入清单管理要求</w:t>
                  </w:r>
                  <w:r>
                    <w:rPr>
                      <w:color w:val="000000"/>
                      <w:sz w:val="18"/>
                      <w:szCs w:val="1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continue"/>
                  <w:tcBorders>
                    <w:tl2br w:val="nil"/>
                    <w:tr2bl w:val="nil"/>
                  </w:tcBorders>
                  <w:shd w:val="clear" w:color="auto" w:fill="auto"/>
                  <w:vAlign w:val="center"/>
                </w:tcPr>
                <w:p>
                  <w:pPr>
                    <w:spacing w:line="280" w:lineRule="exact"/>
                    <w:rPr>
                      <w:color w:val="000000"/>
                      <w:sz w:val="18"/>
                      <w:szCs w:val="18"/>
                    </w:rPr>
                  </w:pPr>
                </w:p>
              </w:tc>
              <w:tc>
                <w:tcPr>
                  <w:tcW w:w="1420" w:type="dxa"/>
                  <w:vMerge w:val="restart"/>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污染源排放量核算</w:t>
                  </w:r>
                </w:p>
              </w:tc>
              <w:tc>
                <w:tcPr>
                  <w:tcW w:w="1915" w:type="dxa"/>
                  <w:gridSpan w:val="2"/>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污染物名称</w:t>
                  </w:r>
                </w:p>
              </w:tc>
              <w:tc>
                <w:tcPr>
                  <w:tcW w:w="2470" w:type="dxa"/>
                  <w:gridSpan w:val="6"/>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排放量/（t/a）</w:t>
                  </w:r>
                </w:p>
              </w:tc>
              <w:tc>
                <w:tcPr>
                  <w:tcW w:w="2877" w:type="dxa"/>
                  <w:gridSpan w:val="4"/>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排放浓度/（mg/L）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6" w:type="dxa"/>
                  <w:vMerge w:val="continue"/>
                  <w:tcBorders>
                    <w:tl2br w:val="nil"/>
                    <w:tr2bl w:val="nil"/>
                  </w:tcBorders>
                  <w:shd w:val="clear" w:color="auto" w:fill="auto"/>
                  <w:vAlign w:val="center"/>
                </w:tcPr>
                <w:p>
                  <w:pPr>
                    <w:spacing w:line="280" w:lineRule="exact"/>
                    <w:rPr>
                      <w:color w:val="000000"/>
                      <w:sz w:val="18"/>
                      <w:szCs w:val="18"/>
                    </w:rPr>
                  </w:pPr>
                </w:p>
              </w:tc>
              <w:tc>
                <w:tcPr>
                  <w:tcW w:w="1420" w:type="dxa"/>
                  <w:vMerge w:val="continue"/>
                  <w:tcBorders>
                    <w:tl2br w:val="nil"/>
                    <w:tr2bl w:val="nil"/>
                  </w:tcBorders>
                  <w:shd w:val="clear" w:color="auto" w:fill="auto"/>
                  <w:vAlign w:val="center"/>
                </w:tcPr>
                <w:p>
                  <w:pPr>
                    <w:spacing w:line="280" w:lineRule="exact"/>
                    <w:jc w:val="center"/>
                    <w:rPr>
                      <w:color w:val="000000"/>
                      <w:sz w:val="18"/>
                      <w:szCs w:val="18"/>
                    </w:rPr>
                  </w:pPr>
                </w:p>
              </w:tc>
              <w:tc>
                <w:tcPr>
                  <w:tcW w:w="1915" w:type="dxa"/>
                  <w:gridSpan w:val="2"/>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w:t>
                  </w:r>
                  <w:r>
                    <w:rPr>
                      <w:rFonts w:hint="eastAsia"/>
                      <w:color w:val="000000"/>
                      <w:sz w:val="18"/>
                      <w:szCs w:val="18"/>
                    </w:rPr>
                    <w:t xml:space="preserve"> </w:t>
                  </w:r>
                  <w:r>
                    <w:rPr>
                      <w:color w:val="000000"/>
                      <w:sz w:val="18"/>
                      <w:szCs w:val="18"/>
                    </w:rPr>
                    <w:t xml:space="preserve"> ）</w:t>
                  </w:r>
                </w:p>
              </w:tc>
              <w:tc>
                <w:tcPr>
                  <w:tcW w:w="2470" w:type="dxa"/>
                  <w:gridSpan w:val="6"/>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w:t>
                  </w:r>
                  <w:r>
                    <w:rPr>
                      <w:rFonts w:hint="eastAsia"/>
                      <w:color w:val="000000"/>
                      <w:sz w:val="18"/>
                      <w:szCs w:val="18"/>
                    </w:rPr>
                    <w:t xml:space="preserve"> </w:t>
                  </w:r>
                  <w:r>
                    <w:rPr>
                      <w:color w:val="000000"/>
                      <w:sz w:val="18"/>
                      <w:szCs w:val="18"/>
                    </w:rPr>
                    <w:t xml:space="preserve"> ）</w:t>
                  </w:r>
                </w:p>
              </w:tc>
              <w:tc>
                <w:tcPr>
                  <w:tcW w:w="2877" w:type="dxa"/>
                  <w:gridSpan w:val="4"/>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w:t>
                  </w:r>
                  <w:r>
                    <w:rPr>
                      <w:rFonts w:hint="eastAsia"/>
                      <w:color w:val="000000"/>
                      <w:sz w:val="18"/>
                      <w:szCs w:val="18"/>
                    </w:rPr>
                    <w:t xml:space="preserve"> </w:t>
                  </w:r>
                  <w:r>
                    <w:rPr>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6" w:type="dxa"/>
                  <w:vMerge w:val="continue"/>
                  <w:tcBorders>
                    <w:tl2br w:val="nil"/>
                    <w:tr2bl w:val="nil"/>
                  </w:tcBorders>
                  <w:shd w:val="clear" w:color="auto" w:fill="auto"/>
                  <w:vAlign w:val="center"/>
                </w:tcPr>
                <w:p>
                  <w:pPr>
                    <w:spacing w:line="280" w:lineRule="exact"/>
                    <w:rPr>
                      <w:color w:val="000000"/>
                      <w:sz w:val="18"/>
                      <w:szCs w:val="18"/>
                    </w:rPr>
                  </w:pPr>
                </w:p>
              </w:tc>
              <w:tc>
                <w:tcPr>
                  <w:tcW w:w="1420" w:type="dxa"/>
                  <w:vMerge w:val="continue"/>
                  <w:tcBorders>
                    <w:tl2br w:val="nil"/>
                    <w:tr2bl w:val="nil"/>
                  </w:tcBorders>
                  <w:shd w:val="clear" w:color="auto" w:fill="auto"/>
                  <w:vAlign w:val="center"/>
                </w:tcPr>
                <w:p>
                  <w:pPr>
                    <w:spacing w:line="280" w:lineRule="exact"/>
                    <w:jc w:val="center"/>
                    <w:rPr>
                      <w:color w:val="000000"/>
                      <w:sz w:val="18"/>
                      <w:szCs w:val="18"/>
                    </w:rPr>
                  </w:pPr>
                </w:p>
              </w:tc>
              <w:tc>
                <w:tcPr>
                  <w:tcW w:w="1915" w:type="dxa"/>
                  <w:gridSpan w:val="2"/>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w:t>
                  </w:r>
                  <w:r>
                    <w:rPr>
                      <w:rFonts w:hint="eastAsia"/>
                      <w:color w:val="000000"/>
                      <w:sz w:val="18"/>
                      <w:szCs w:val="18"/>
                    </w:rPr>
                    <w:t xml:space="preserve"> </w:t>
                  </w:r>
                  <w:r>
                    <w:rPr>
                      <w:color w:val="000000"/>
                      <w:sz w:val="18"/>
                      <w:szCs w:val="18"/>
                    </w:rPr>
                    <w:t xml:space="preserve"> ）</w:t>
                  </w:r>
                </w:p>
              </w:tc>
              <w:tc>
                <w:tcPr>
                  <w:tcW w:w="2470" w:type="dxa"/>
                  <w:gridSpan w:val="6"/>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w:t>
                  </w:r>
                  <w:r>
                    <w:rPr>
                      <w:rFonts w:hint="eastAsia"/>
                      <w:color w:val="000000"/>
                      <w:sz w:val="18"/>
                      <w:szCs w:val="18"/>
                    </w:rPr>
                    <w:t xml:space="preserve"> </w:t>
                  </w:r>
                  <w:r>
                    <w:rPr>
                      <w:color w:val="000000"/>
                      <w:sz w:val="18"/>
                      <w:szCs w:val="18"/>
                    </w:rPr>
                    <w:t xml:space="preserve"> ）</w:t>
                  </w:r>
                </w:p>
              </w:tc>
              <w:tc>
                <w:tcPr>
                  <w:tcW w:w="2877" w:type="dxa"/>
                  <w:gridSpan w:val="4"/>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6" w:type="dxa"/>
                  <w:vMerge w:val="continue"/>
                  <w:tcBorders>
                    <w:tl2br w:val="nil"/>
                    <w:tr2bl w:val="nil"/>
                  </w:tcBorders>
                  <w:shd w:val="clear" w:color="auto" w:fill="auto"/>
                  <w:vAlign w:val="center"/>
                </w:tcPr>
                <w:p>
                  <w:pPr>
                    <w:spacing w:line="280" w:lineRule="exact"/>
                    <w:rPr>
                      <w:color w:val="000000"/>
                      <w:sz w:val="18"/>
                      <w:szCs w:val="18"/>
                    </w:rPr>
                  </w:pPr>
                </w:p>
              </w:tc>
              <w:tc>
                <w:tcPr>
                  <w:tcW w:w="1420" w:type="dxa"/>
                  <w:vMerge w:val="restart"/>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替代源排放</w:t>
                  </w:r>
                </w:p>
                <w:p>
                  <w:pPr>
                    <w:spacing w:line="280" w:lineRule="exact"/>
                    <w:jc w:val="center"/>
                    <w:rPr>
                      <w:color w:val="000000"/>
                      <w:sz w:val="18"/>
                      <w:szCs w:val="18"/>
                    </w:rPr>
                  </w:pPr>
                  <w:r>
                    <w:rPr>
                      <w:color w:val="000000"/>
                      <w:sz w:val="18"/>
                      <w:szCs w:val="18"/>
                    </w:rPr>
                    <w:t>情况</w:t>
                  </w:r>
                </w:p>
              </w:tc>
              <w:tc>
                <w:tcPr>
                  <w:tcW w:w="1197" w:type="dxa"/>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污染源名称</w:t>
                  </w:r>
                </w:p>
              </w:tc>
              <w:tc>
                <w:tcPr>
                  <w:tcW w:w="1573" w:type="dxa"/>
                  <w:gridSpan w:val="3"/>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排污许可证编号</w:t>
                  </w:r>
                </w:p>
              </w:tc>
              <w:tc>
                <w:tcPr>
                  <w:tcW w:w="1112" w:type="dxa"/>
                  <w:gridSpan w:val="2"/>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污染物名称</w:t>
                  </w:r>
                </w:p>
              </w:tc>
              <w:tc>
                <w:tcPr>
                  <w:tcW w:w="1225" w:type="dxa"/>
                  <w:gridSpan w:val="4"/>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排放量/（t/a）</w:t>
                  </w:r>
                </w:p>
              </w:tc>
              <w:tc>
                <w:tcPr>
                  <w:tcW w:w="2155" w:type="dxa"/>
                  <w:gridSpan w:val="2"/>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排放浓度/（mg/L）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6" w:type="dxa"/>
                  <w:vMerge w:val="continue"/>
                  <w:tcBorders>
                    <w:tl2br w:val="nil"/>
                    <w:tr2bl w:val="nil"/>
                  </w:tcBorders>
                  <w:shd w:val="clear" w:color="auto" w:fill="auto"/>
                  <w:vAlign w:val="center"/>
                </w:tcPr>
                <w:p>
                  <w:pPr>
                    <w:spacing w:line="280" w:lineRule="exact"/>
                    <w:rPr>
                      <w:color w:val="000000"/>
                      <w:sz w:val="18"/>
                      <w:szCs w:val="18"/>
                    </w:rPr>
                  </w:pPr>
                </w:p>
              </w:tc>
              <w:tc>
                <w:tcPr>
                  <w:tcW w:w="1420" w:type="dxa"/>
                  <w:vMerge w:val="continue"/>
                  <w:tcBorders>
                    <w:tl2br w:val="nil"/>
                    <w:tr2bl w:val="nil"/>
                  </w:tcBorders>
                  <w:shd w:val="clear" w:color="auto" w:fill="auto"/>
                  <w:vAlign w:val="center"/>
                </w:tcPr>
                <w:p>
                  <w:pPr>
                    <w:spacing w:line="280" w:lineRule="exact"/>
                    <w:rPr>
                      <w:color w:val="000000"/>
                      <w:sz w:val="18"/>
                      <w:szCs w:val="18"/>
                    </w:rPr>
                  </w:pPr>
                </w:p>
              </w:tc>
              <w:tc>
                <w:tcPr>
                  <w:tcW w:w="1197" w:type="dxa"/>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 xml:space="preserve">（ </w:t>
                  </w:r>
                  <w:r>
                    <w:rPr>
                      <w:rFonts w:hint="eastAsia"/>
                      <w:color w:val="000000"/>
                      <w:sz w:val="18"/>
                      <w:szCs w:val="18"/>
                    </w:rPr>
                    <w:t>/</w:t>
                  </w:r>
                  <w:r>
                    <w:rPr>
                      <w:color w:val="000000"/>
                      <w:sz w:val="18"/>
                      <w:szCs w:val="18"/>
                    </w:rPr>
                    <w:t xml:space="preserve"> ）</w:t>
                  </w:r>
                </w:p>
              </w:tc>
              <w:tc>
                <w:tcPr>
                  <w:tcW w:w="1573" w:type="dxa"/>
                  <w:gridSpan w:val="3"/>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 xml:space="preserve">（ </w:t>
                  </w:r>
                  <w:r>
                    <w:rPr>
                      <w:rFonts w:hint="eastAsia"/>
                      <w:color w:val="000000"/>
                      <w:sz w:val="18"/>
                      <w:szCs w:val="18"/>
                    </w:rPr>
                    <w:t>/</w:t>
                  </w:r>
                  <w:r>
                    <w:rPr>
                      <w:color w:val="000000"/>
                      <w:sz w:val="18"/>
                      <w:szCs w:val="18"/>
                    </w:rPr>
                    <w:t xml:space="preserve"> ）</w:t>
                  </w:r>
                </w:p>
              </w:tc>
              <w:tc>
                <w:tcPr>
                  <w:tcW w:w="1112" w:type="dxa"/>
                  <w:gridSpan w:val="2"/>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 xml:space="preserve">（ </w:t>
                  </w:r>
                  <w:r>
                    <w:rPr>
                      <w:rFonts w:hint="eastAsia"/>
                      <w:color w:val="000000"/>
                      <w:sz w:val="18"/>
                      <w:szCs w:val="18"/>
                    </w:rPr>
                    <w:t>/</w:t>
                  </w:r>
                  <w:r>
                    <w:rPr>
                      <w:color w:val="000000"/>
                      <w:sz w:val="18"/>
                      <w:szCs w:val="18"/>
                    </w:rPr>
                    <w:t xml:space="preserve"> ）</w:t>
                  </w:r>
                </w:p>
              </w:tc>
              <w:tc>
                <w:tcPr>
                  <w:tcW w:w="1225" w:type="dxa"/>
                  <w:gridSpan w:val="4"/>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 xml:space="preserve">（ </w:t>
                  </w:r>
                  <w:r>
                    <w:rPr>
                      <w:rFonts w:hint="eastAsia"/>
                      <w:color w:val="000000"/>
                      <w:sz w:val="18"/>
                      <w:szCs w:val="18"/>
                    </w:rPr>
                    <w:t>/</w:t>
                  </w:r>
                  <w:r>
                    <w:rPr>
                      <w:color w:val="000000"/>
                      <w:sz w:val="18"/>
                      <w:szCs w:val="18"/>
                    </w:rPr>
                    <w:t xml:space="preserve"> ）</w:t>
                  </w:r>
                </w:p>
              </w:tc>
              <w:tc>
                <w:tcPr>
                  <w:tcW w:w="2155" w:type="dxa"/>
                  <w:gridSpan w:val="2"/>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 xml:space="preserve">（ </w:t>
                  </w:r>
                  <w:r>
                    <w:rPr>
                      <w:rFonts w:hint="eastAsia"/>
                      <w:color w:val="000000"/>
                      <w:sz w:val="18"/>
                      <w:szCs w:val="18"/>
                    </w:rPr>
                    <w:t>/</w:t>
                  </w:r>
                  <w:r>
                    <w:rPr>
                      <w:color w:val="00000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96" w:type="dxa"/>
                  <w:vMerge w:val="continue"/>
                  <w:tcBorders>
                    <w:tl2br w:val="nil"/>
                    <w:tr2bl w:val="nil"/>
                  </w:tcBorders>
                  <w:shd w:val="clear" w:color="auto" w:fill="auto"/>
                  <w:vAlign w:val="center"/>
                </w:tcPr>
                <w:p>
                  <w:pPr>
                    <w:spacing w:line="280" w:lineRule="exact"/>
                    <w:rPr>
                      <w:color w:val="000000"/>
                      <w:sz w:val="18"/>
                      <w:szCs w:val="18"/>
                    </w:rPr>
                  </w:pPr>
                </w:p>
              </w:tc>
              <w:tc>
                <w:tcPr>
                  <w:tcW w:w="1420" w:type="dxa"/>
                  <w:tcBorders>
                    <w:tl2br w:val="nil"/>
                    <w:tr2bl w:val="nil"/>
                  </w:tcBorders>
                  <w:shd w:val="clear" w:color="auto" w:fill="auto"/>
                  <w:vAlign w:val="center"/>
                </w:tcPr>
                <w:p>
                  <w:pPr>
                    <w:spacing w:line="280" w:lineRule="exact"/>
                    <w:rPr>
                      <w:color w:val="000000"/>
                      <w:sz w:val="18"/>
                      <w:szCs w:val="18"/>
                    </w:rPr>
                  </w:pPr>
                  <w:r>
                    <w:rPr>
                      <w:color w:val="000000"/>
                      <w:sz w:val="18"/>
                      <w:szCs w:val="18"/>
                    </w:rPr>
                    <w:t>生态流量确定</w:t>
                  </w:r>
                </w:p>
              </w:tc>
              <w:tc>
                <w:tcPr>
                  <w:tcW w:w="7262" w:type="dxa"/>
                  <w:gridSpan w:val="12"/>
                  <w:tcBorders>
                    <w:tl2br w:val="nil"/>
                    <w:tr2bl w:val="nil"/>
                  </w:tcBorders>
                  <w:shd w:val="clear" w:color="auto" w:fill="auto"/>
                  <w:vAlign w:val="center"/>
                </w:tcPr>
                <w:p>
                  <w:pPr>
                    <w:spacing w:line="280" w:lineRule="exact"/>
                    <w:rPr>
                      <w:color w:val="000000"/>
                      <w:sz w:val="18"/>
                      <w:szCs w:val="18"/>
                    </w:rPr>
                  </w:pPr>
                  <w:r>
                    <w:rPr>
                      <w:color w:val="000000"/>
                      <w:sz w:val="18"/>
                      <w:szCs w:val="18"/>
                    </w:rPr>
                    <w:t xml:space="preserve">生态流量：一般水期（ </w:t>
                  </w:r>
                  <w:r>
                    <w:rPr>
                      <w:rFonts w:hint="eastAsia"/>
                      <w:color w:val="000000"/>
                      <w:sz w:val="18"/>
                      <w:szCs w:val="18"/>
                    </w:rPr>
                    <w:t>/</w:t>
                  </w:r>
                  <w:r>
                    <w:rPr>
                      <w:color w:val="000000"/>
                      <w:sz w:val="18"/>
                      <w:szCs w:val="18"/>
                    </w:rPr>
                    <w:t xml:space="preserve"> ）m</w:t>
                  </w:r>
                  <w:r>
                    <w:rPr>
                      <w:color w:val="000000"/>
                      <w:sz w:val="18"/>
                      <w:szCs w:val="18"/>
                      <w:vertAlign w:val="superscript"/>
                    </w:rPr>
                    <w:t>3</w:t>
                  </w:r>
                  <w:r>
                    <w:rPr>
                      <w:color w:val="000000"/>
                      <w:sz w:val="18"/>
                      <w:szCs w:val="18"/>
                    </w:rPr>
                    <w:t xml:space="preserve">/s；鱼类繁殖期（ </w:t>
                  </w:r>
                  <w:r>
                    <w:rPr>
                      <w:rFonts w:hint="eastAsia"/>
                      <w:color w:val="000000"/>
                      <w:sz w:val="18"/>
                      <w:szCs w:val="18"/>
                    </w:rPr>
                    <w:t>/</w:t>
                  </w:r>
                  <w:r>
                    <w:rPr>
                      <w:color w:val="000000"/>
                      <w:sz w:val="18"/>
                      <w:szCs w:val="18"/>
                    </w:rPr>
                    <w:t xml:space="preserve"> ）m</w:t>
                  </w:r>
                  <w:r>
                    <w:rPr>
                      <w:color w:val="000000"/>
                      <w:sz w:val="18"/>
                      <w:szCs w:val="18"/>
                      <w:vertAlign w:val="superscript"/>
                    </w:rPr>
                    <w:t>3</w:t>
                  </w:r>
                  <w:r>
                    <w:rPr>
                      <w:color w:val="000000"/>
                      <w:sz w:val="18"/>
                      <w:szCs w:val="18"/>
                    </w:rPr>
                    <w:t xml:space="preserve">/s；其他（ </w:t>
                  </w:r>
                  <w:r>
                    <w:rPr>
                      <w:rFonts w:hint="eastAsia"/>
                      <w:color w:val="000000"/>
                      <w:sz w:val="18"/>
                      <w:szCs w:val="18"/>
                    </w:rPr>
                    <w:t>/</w:t>
                  </w:r>
                  <w:r>
                    <w:rPr>
                      <w:color w:val="000000"/>
                      <w:sz w:val="18"/>
                      <w:szCs w:val="18"/>
                    </w:rPr>
                    <w:t xml:space="preserve"> ）m</w:t>
                  </w:r>
                  <w:r>
                    <w:rPr>
                      <w:color w:val="000000"/>
                      <w:sz w:val="18"/>
                      <w:szCs w:val="18"/>
                      <w:vertAlign w:val="superscript"/>
                    </w:rPr>
                    <w:t>3</w:t>
                  </w:r>
                  <w:r>
                    <w:rPr>
                      <w:color w:val="000000"/>
                      <w:sz w:val="18"/>
                      <w:szCs w:val="18"/>
                    </w:rPr>
                    <w:t>/s</w:t>
                  </w:r>
                </w:p>
                <w:p>
                  <w:pPr>
                    <w:spacing w:line="280" w:lineRule="exact"/>
                    <w:rPr>
                      <w:color w:val="000000"/>
                      <w:sz w:val="18"/>
                      <w:szCs w:val="18"/>
                    </w:rPr>
                  </w:pPr>
                  <w:r>
                    <w:rPr>
                      <w:color w:val="000000"/>
                      <w:sz w:val="18"/>
                      <w:szCs w:val="18"/>
                    </w:rPr>
                    <w:t xml:space="preserve">生态水位：一般水期（ </w:t>
                  </w:r>
                  <w:r>
                    <w:rPr>
                      <w:rFonts w:hint="eastAsia"/>
                      <w:color w:val="000000"/>
                      <w:sz w:val="18"/>
                      <w:szCs w:val="18"/>
                    </w:rPr>
                    <w:t>/</w:t>
                  </w:r>
                  <w:r>
                    <w:rPr>
                      <w:color w:val="000000"/>
                      <w:sz w:val="18"/>
                      <w:szCs w:val="18"/>
                    </w:rPr>
                    <w:t xml:space="preserve"> ）m；鱼类繁殖期（ </w:t>
                  </w:r>
                  <w:r>
                    <w:rPr>
                      <w:rFonts w:hint="eastAsia"/>
                      <w:color w:val="000000"/>
                      <w:sz w:val="18"/>
                      <w:szCs w:val="18"/>
                    </w:rPr>
                    <w:t>/</w:t>
                  </w:r>
                  <w:r>
                    <w:rPr>
                      <w:color w:val="000000"/>
                      <w:sz w:val="18"/>
                      <w:szCs w:val="18"/>
                    </w:rPr>
                    <w:t xml:space="preserve"> ）m；其他（ </w:t>
                  </w:r>
                  <w:r>
                    <w:rPr>
                      <w:rFonts w:hint="eastAsia"/>
                      <w:color w:val="000000"/>
                      <w:sz w:val="18"/>
                      <w:szCs w:val="18"/>
                    </w:rPr>
                    <w:t>/</w:t>
                  </w:r>
                  <w:r>
                    <w:rPr>
                      <w:color w:val="000000"/>
                      <w:sz w:val="18"/>
                      <w:szCs w:val="18"/>
                    </w:rPr>
                    <w:t xml:space="preserve">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restart"/>
                  <w:tcBorders>
                    <w:tl2br w:val="nil"/>
                    <w:tr2bl w:val="nil"/>
                  </w:tcBorders>
                  <w:shd w:val="clear" w:color="auto" w:fill="auto"/>
                  <w:vAlign w:val="center"/>
                </w:tcPr>
                <w:p>
                  <w:pPr>
                    <w:spacing w:line="280" w:lineRule="exact"/>
                    <w:rPr>
                      <w:color w:val="000000"/>
                      <w:sz w:val="18"/>
                      <w:szCs w:val="18"/>
                    </w:rPr>
                  </w:pPr>
                  <w:r>
                    <w:rPr>
                      <w:color w:val="000000"/>
                      <w:sz w:val="18"/>
                      <w:szCs w:val="18"/>
                    </w:rPr>
                    <w:t>防治措施</w:t>
                  </w:r>
                </w:p>
              </w:tc>
              <w:tc>
                <w:tcPr>
                  <w:tcW w:w="1420" w:type="dxa"/>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环保措施</w:t>
                  </w:r>
                </w:p>
              </w:tc>
              <w:tc>
                <w:tcPr>
                  <w:tcW w:w="7262" w:type="dxa"/>
                  <w:gridSpan w:val="12"/>
                  <w:tcBorders>
                    <w:tl2br w:val="nil"/>
                    <w:tr2bl w:val="nil"/>
                  </w:tcBorders>
                  <w:shd w:val="clear" w:color="auto" w:fill="auto"/>
                  <w:vAlign w:val="center"/>
                </w:tcPr>
                <w:p>
                  <w:pPr>
                    <w:spacing w:line="280" w:lineRule="exact"/>
                    <w:rPr>
                      <w:color w:val="000000"/>
                      <w:sz w:val="18"/>
                      <w:szCs w:val="18"/>
                    </w:rPr>
                  </w:pPr>
                  <w:r>
                    <w:rPr>
                      <w:color w:val="000000"/>
                      <w:sz w:val="18"/>
                      <w:szCs w:val="18"/>
                    </w:rPr>
                    <w:t>污水处理措施</w:t>
                  </w:r>
                  <w:r>
                    <w:rPr>
                      <w:color w:val="000000"/>
                      <w:sz w:val="18"/>
                      <w:szCs w:val="18"/>
                    </w:rPr>
                    <w:sym w:font="Wingdings 2" w:char="00A3"/>
                  </w:r>
                  <w:r>
                    <w:rPr>
                      <w:color w:val="000000"/>
                      <w:sz w:val="18"/>
                      <w:szCs w:val="18"/>
                    </w:rPr>
                    <w:t>；水文减缓措施</w:t>
                  </w:r>
                  <w:r>
                    <w:rPr>
                      <w:color w:val="000000"/>
                      <w:sz w:val="18"/>
                      <w:szCs w:val="18"/>
                    </w:rPr>
                    <w:sym w:font="Wingdings 2" w:char="00A3"/>
                  </w:r>
                  <w:r>
                    <w:rPr>
                      <w:color w:val="000000"/>
                      <w:sz w:val="18"/>
                      <w:szCs w:val="18"/>
                    </w:rPr>
                    <w:t>；生态流量保障措施</w:t>
                  </w:r>
                  <w:r>
                    <w:rPr>
                      <w:color w:val="000000"/>
                      <w:sz w:val="18"/>
                      <w:szCs w:val="18"/>
                    </w:rPr>
                    <w:sym w:font="Wingdings 2" w:char="00A3"/>
                  </w:r>
                  <w:r>
                    <w:rPr>
                      <w:color w:val="000000"/>
                      <w:sz w:val="18"/>
                      <w:szCs w:val="18"/>
                    </w:rPr>
                    <w:t>；区域削减</w:t>
                  </w:r>
                  <w:r>
                    <w:rPr>
                      <w:color w:val="000000"/>
                      <w:sz w:val="18"/>
                      <w:szCs w:val="18"/>
                    </w:rPr>
                    <w:sym w:font="Wingdings 2" w:char="00A3"/>
                  </w:r>
                  <w:r>
                    <w:rPr>
                      <w:color w:val="000000"/>
                      <w:sz w:val="18"/>
                      <w:szCs w:val="18"/>
                    </w:rPr>
                    <w:t>；依托其他工程措施</w:t>
                  </w:r>
                  <w:r>
                    <w:rPr>
                      <w:color w:val="000000"/>
                      <w:sz w:val="18"/>
                      <w:szCs w:val="18"/>
                    </w:rPr>
                    <w:sym w:font="Wingdings 2" w:char="0052"/>
                  </w:r>
                  <w:r>
                    <w:rPr>
                      <w:color w:val="000000"/>
                      <w:sz w:val="18"/>
                      <w:szCs w:val="18"/>
                    </w:rPr>
                    <w:t>；其他</w:t>
                  </w:r>
                  <w:r>
                    <w:rPr>
                      <w:color w:val="000000"/>
                      <w:sz w:val="18"/>
                      <w:szCs w:val="1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continue"/>
                  <w:tcBorders>
                    <w:tl2br w:val="nil"/>
                    <w:tr2bl w:val="nil"/>
                  </w:tcBorders>
                  <w:shd w:val="clear" w:color="auto" w:fill="auto"/>
                  <w:vAlign w:val="center"/>
                </w:tcPr>
                <w:p>
                  <w:pPr>
                    <w:spacing w:line="280" w:lineRule="exact"/>
                    <w:rPr>
                      <w:color w:val="000000"/>
                      <w:sz w:val="18"/>
                      <w:szCs w:val="18"/>
                    </w:rPr>
                  </w:pPr>
                </w:p>
              </w:tc>
              <w:tc>
                <w:tcPr>
                  <w:tcW w:w="1420" w:type="dxa"/>
                  <w:vMerge w:val="restart"/>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监测计划</w:t>
                  </w:r>
                </w:p>
              </w:tc>
              <w:tc>
                <w:tcPr>
                  <w:tcW w:w="1915" w:type="dxa"/>
                  <w:gridSpan w:val="2"/>
                  <w:tcBorders>
                    <w:tl2br w:val="nil"/>
                    <w:tr2bl w:val="nil"/>
                  </w:tcBorders>
                  <w:shd w:val="clear" w:color="auto" w:fill="auto"/>
                  <w:vAlign w:val="center"/>
                </w:tcPr>
                <w:p>
                  <w:pPr>
                    <w:spacing w:line="280" w:lineRule="exact"/>
                    <w:rPr>
                      <w:color w:val="000000"/>
                      <w:sz w:val="18"/>
                      <w:szCs w:val="18"/>
                    </w:rPr>
                  </w:pPr>
                </w:p>
              </w:tc>
              <w:tc>
                <w:tcPr>
                  <w:tcW w:w="2452" w:type="dxa"/>
                  <w:gridSpan w:val="5"/>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环境质量</w:t>
                  </w:r>
                </w:p>
              </w:tc>
              <w:tc>
                <w:tcPr>
                  <w:tcW w:w="2895" w:type="dxa"/>
                  <w:gridSpan w:val="5"/>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污染源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continue"/>
                  <w:tcBorders>
                    <w:tl2br w:val="nil"/>
                    <w:tr2bl w:val="nil"/>
                  </w:tcBorders>
                  <w:shd w:val="clear" w:color="auto" w:fill="auto"/>
                  <w:vAlign w:val="center"/>
                </w:tcPr>
                <w:p>
                  <w:pPr>
                    <w:spacing w:line="280" w:lineRule="exact"/>
                    <w:rPr>
                      <w:color w:val="000000"/>
                      <w:sz w:val="18"/>
                      <w:szCs w:val="18"/>
                    </w:rPr>
                  </w:pPr>
                </w:p>
              </w:tc>
              <w:tc>
                <w:tcPr>
                  <w:tcW w:w="1420" w:type="dxa"/>
                  <w:vMerge w:val="continue"/>
                  <w:tcBorders>
                    <w:tl2br w:val="nil"/>
                    <w:tr2bl w:val="nil"/>
                  </w:tcBorders>
                  <w:shd w:val="clear" w:color="auto" w:fill="auto"/>
                  <w:vAlign w:val="center"/>
                </w:tcPr>
                <w:p>
                  <w:pPr>
                    <w:spacing w:line="280" w:lineRule="exact"/>
                    <w:rPr>
                      <w:color w:val="000000"/>
                      <w:sz w:val="18"/>
                      <w:szCs w:val="18"/>
                    </w:rPr>
                  </w:pPr>
                </w:p>
              </w:tc>
              <w:tc>
                <w:tcPr>
                  <w:tcW w:w="1915" w:type="dxa"/>
                  <w:gridSpan w:val="2"/>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监测方式</w:t>
                  </w:r>
                </w:p>
              </w:tc>
              <w:tc>
                <w:tcPr>
                  <w:tcW w:w="2452" w:type="dxa"/>
                  <w:gridSpan w:val="5"/>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手动</w:t>
                  </w:r>
                  <w:r>
                    <w:rPr>
                      <w:color w:val="000000"/>
                      <w:sz w:val="18"/>
                      <w:szCs w:val="18"/>
                    </w:rPr>
                    <w:sym w:font="Wingdings 2" w:char="00A3"/>
                  </w:r>
                  <w:r>
                    <w:rPr>
                      <w:color w:val="000000"/>
                      <w:sz w:val="18"/>
                      <w:szCs w:val="18"/>
                    </w:rPr>
                    <w:t>；自动</w:t>
                  </w:r>
                  <w:r>
                    <w:rPr>
                      <w:color w:val="000000"/>
                      <w:sz w:val="18"/>
                      <w:szCs w:val="18"/>
                    </w:rPr>
                    <w:sym w:font="Wingdings 2" w:char="00A3"/>
                  </w:r>
                  <w:r>
                    <w:rPr>
                      <w:color w:val="000000"/>
                      <w:sz w:val="18"/>
                      <w:szCs w:val="18"/>
                    </w:rPr>
                    <w:t>；无</w:t>
                  </w:r>
                  <w:r>
                    <w:rPr>
                      <w:rFonts w:hint="eastAsia"/>
                      <w:color w:val="000000"/>
                      <w:sz w:val="18"/>
                      <w:szCs w:val="18"/>
                    </w:rPr>
                    <w:t>监测</w:t>
                  </w:r>
                  <w:r>
                    <w:rPr>
                      <w:color w:val="000000"/>
                      <w:sz w:val="18"/>
                      <w:szCs w:val="18"/>
                    </w:rPr>
                    <w:sym w:font="Wingdings 2" w:char="0052"/>
                  </w:r>
                </w:p>
              </w:tc>
              <w:tc>
                <w:tcPr>
                  <w:tcW w:w="2895" w:type="dxa"/>
                  <w:gridSpan w:val="5"/>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手动</w:t>
                  </w:r>
                  <w:r>
                    <w:rPr>
                      <w:color w:val="000000"/>
                      <w:sz w:val="18"/>
                      <w:szCs w:val="18"/>
                    </w:rPr>
                    <w:sym w:font="Wingdings 2" w:char="0052"/>
                  </w:r>
                  <w:r>
                    <w:rPr>
                      <w:color w:val="000000"/>
                      <w:sz w:val="18"/>
                      <w:szCs w:val="18"/>
                    </w:rPr>
                    <w:t>；自动</w:t>
                  </w:r>
                  <w:r>
                    <w:rPr>
                      <w:color w:val="000000"/>
                      <w:sz w:val="18"/>
                      <w:szCs w:val="18"/>
                    </w:rPr>
                    <w:sym w:font="Wingdings 2" w:char="00A3"/>
                  </w:r>
                  <w:r>
                    <w:rPr>
                      <w:color w:val="000000"/>
                      <w:sz w:val="18"/>
                      <w:szCs w:val="18"/>
                    </w:rPr>
                    <w:t>；无监测</w:t>
                  </w:r>
                  <w:r>
                    <w:rPr>
                      <w:color w:val="000000"/>
                      <w:sz w:val="18"/>
                      <w:szCs w:val="1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continue"/>
                  <w:tcBorders>
                    <w:tl2br w:val="nil"/>
                    <w:tr2bl w:val="nil"/>
                  </w:tcBorders>
                  <w:shd w:val="clear" w:color="auto" w:fill="auto"/>
                  <w:vAlign w:val="center"/>
                </w:tcPr>
                <w:p>
                  <w:pPr>
                    <w:spacing w:line="280" w:lineRule="exact"/>
                    <w:rPr>
                      <w:color w:val="000000"/>
                      <w:sz w:val="18"/>
                      <w:szCs w:val="18"/>
                    </w:rPr>
                  </w:pPr>
                </w:p>
              </w:tc>
              <w:tc>
                <w:tcPr>
                  <w:tcW w:w="1420" w:type="dxa"/>
                  <w:vMerge w:val="continue"/>
                  <w:tcBorders>
                    <w:tl2br w:val="nil"/>
                    <w:tr2bl w:val="nil"/>
                  </w:tcBorders>
                  <w:shd w:val="clear" w:color="auto" w:fill="auto"/>
                  <w:vAlign w:val="center"/>
                </w:tcPr>
                <w:p>
                  <w:pPr>
                    <w:spacing w:line="280" w:lineRule="exact"/>
                    <w:rPr>
                      <w:color w:val="000000"/>
                      <w:sz w:val="18"/>
                      <w:szCs w:val="18"/>
                    </w:rPr>
                  </w:pPr>
                </w:p>
              </w:tc>
              <w:tc>
                <w:tcPr>
                  <w:tcW w:w="1915" w:type="dxa"/>
                  <w:gridSpan w:val="2"/>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监测点位</w:t>
                  </w:r>
                </w:p>
              </w:tc>
              <w:tc>
                <w:tcPr>
                  <w:tcW w:w="2452" w:type="dxa"/>
                  <w:gridSpan w:val="5"/>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 xml:space="preserve">（ </w:t>
                  </w:r>
                  <w:r>
                    <w:rPr>
                      <w:rFonts w:hint="eastAsia"/>
                      <w:color w:val="000000"/>
                      <w:sz w:val="18"/>
                      <w:szCs w:val="18"/>
                    </w:rPr>
                    <w:t>/</w:t>
                  </w:r>
                  <w:r>
                    <w:rPr>
                      <w:color w:val="000000"/>
                      <w:sz w:val="18"/>
                      <w:szCs w:val="18"/>
                    </w:rPr>
                    <w:t xml:space="preserve"> ）</w:t>
                  </w:r>
                </w:p>
              </w:tc>
              <w:tc>
                <w:tcPr>
                  <w:tcW w:w="2895" w:type="dxa"/>
                  <w:gridSpan w:val="5"/>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w:t>
                  </w:r>
                  <w:r>
                    <w:rPr>
                      <w:rFonts w:hint="eastAsia"/>
                      <w:color w:val="000000"/>
                      <w:sz w:val="18"/>
                      <w:szCs w:val="18"/>
                    </w:rPr>
                    <w:t>厂区化粪池出水口</w:t>
                  </w:r>
                  <w:r>
                    <w:rPr>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continue"/>
                  <w:tcBorders>
                    <w:tl2br w:val="nil"/>
                    <w:tr2bl w:val="nil"/>
                  </w:tcBorders>
                  <w:shd w:val="clear" w:color="auto" w:fill="auto"/>
                  <w:vAlign w:val="center"/>
                </w:tcPr>
                <w:p>
                  <w:pPr>
                    <w:spacing w:line="280" w:lineRule="exact"/>
                    <w:rPr>
                      <w:color w:val="000000"/>
                      <w:sz w:val="18"/>
                      <w:szCs w:val="18"/>
                    </w:rPr>
                  </w:pPr>
                </w:p>
              </w:tc>
              <w:tc>
                <w:tcPr>
                  <w:tcW w:w="1420" w:type="dxa"/>
                  <w:vMerge w:val="continue"/>
                  <w:tcBorders>
                    <w:tl2br w:val="nil"/>
                    <w:tr2bl w:val="nil"/>
                  </w:tcBorders>
                  <w:shd w:val="clear" w:color="auto" w:fill="auto"/>
                  <w:vAlign w:val="center"/>
                </w:tcPr>
                <w:p>
                  <w:pPr>
                    <w:spacing w:line="280" w:lineRule="exact"/>
                    <w:rPr>
                      <w:color w:val="000000"/>
                      <w:sz w:val="18"/>
                      <w:szCs w:val="18"/>
                    </w:rPr>
                  </w:pPr>
                </w:p>
              </w:tc>
              <w:tc>
                <w:tcPr>
                  <w:tcW w:w="1915" w:type="dxa"/>
                  <w:gridSpan w:val="2"/>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监测因子</w:t>
                  </w:r>
                </w:p>
              </w:tc>
              <w:tc>
                <w:tcPr>
                  <w:tcW w:w="2452" w:type="dxa"/>
                  <w:gridSpan w:val="5"/>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 xml:space="preserve">（ </w:t>
                  </w:r>
                  <w:r>
                    <w:rPr>
                      <w:rFonts w:hint="eastAsia"/>
                      <w:color w:val="000000"/>
                      <w:sz w:val="18"/>
                      <w:szCs w:val="18"/>
                    </w:rPr>
                    <w:t>/</w:t>
                  </w:r>
                  <w:r>
                    <w:rPr>
                      <w:color w:val="000000"/>
                      <w:sz w:val="18"/>
                      <w:szCs w:val="18"/>
                    </w:rPr>
                    <w:t xml:space="preserve"> ）</w:t>
                  </w:r>
                </w:p>
              </w:tc>
              <w:tc>
                <w:tcPr>
                  <w:tcW w:w="2895" w:type="dxa"/>
                  <w:gridSpan w:val="5"/>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w:t>
                  </w:r>
                  <w:r>
                    <w:rPr>
                      <w:rFonts w:hint="eastAsia"/>
                      <w:color w:val="000000"/>
                      <w:sz w:val="18"/>
                      <w:szCs w:val="18"/>
                    </w:rPr>
                    <w:t>COD、BOD</w:t>
                  </w:r>
                  <w:r>
                    <w:rPr>
                      <w:rFonts w:hint="eastAsia"/>
                      <w:color w:val="000000"/>
                      <w:sz w:val="18"/>
                      <w:szCs w:val="18"/>
                      <w:vertAlign w:val="subscript"/>
                    </w:rPr>
                    <w:t>5</w:t>
                  </w:r>
                  <w:r>
                    <w:rPr>
                      <w:rFonts w:hint="eastAsia"/>
                      <w:color w:val="000000"/>
                      <w:sz w:val="18"/>
                      <w:szCs w:val="18"/>
                    </w:rPr>
                    <w:t>、SS、氨氮、动植物油</w:t>
                  </w:r>
                  <w:r>
                    <w:rPr>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 w:type="dxa"/>
                  <w:vMerge w:val="continue"/>
                  <w:tcBorders>
                    <w:tl2br w:val="nil"/>
                    <w:tr2bl w:val="nil"/>
                  </w:tcBorders>
                  <w:shd w:val="clear" w:color="auto" w:fill="auto"/>
                  <w:vAlign w:val="center"/>
                </w:tcPr>
                <w:p>
                  <w:pPr>
                    <w:spacing w:line="280" w:lineRule="exact"/>
                    <w:rPr>
                      <w:color w:val="000000"/>
                      <w:sz w:val="18"/>
                      <w:szCs w:val="18"/>
                    </w:rPr>
                  </w:pPr>
                </w:p>
              </w:tc>
              <w:tc>
                <w:tcPr>
                  <w:tcW w:w="1420" w:type="dxa"/>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污染物</w:t>
                  </w:r>
                </w:p>
                <w:p>
                  <w:pPr>
                    <w:spacing w:line="280" w:lineRule="exact"/>
                    <w:jc w:val="center"/>
                    <w:rPr>
                      <w:color w:val="000000"/>
                      <w:sz w:val="18"/>
                      <w:szCs w:val="18"/>
                    </w:rPr>
                  </w:pPr>
                  <w:r>
                    <w:rPr>
                      <w:color w:val="000000"/>
                      <w:sz w:val="18"/>
                      <w:szCs w:val="18"/>
                    </w:rPr>
                    <w:t>排放清单</w:t>
                  </w:r>
                </w:p>
              </w:tc>
              <w:tc>
                <w:tcPr>
                  <w:tcW w:w="7262" w:type="dxa"/>
                  <w:gridSpan w:val="12"/>
                  <w:tcBorders>
                    <w:tl2br w:val="nil"/>
                    <w:tr2bl w:val="nil"/>
                  </w:tcBorders>
                  <w:shd w:val="clear" w:color="auto" w:fill="auto"/>
                  <w:vAlign w:val="center"/>
                </w:tcPr>
                <w:p>
                  <w:pPr>
                    <w:spacing w:line="280" w:lineRule="exact"/>
                    <w:rPr>
                      <w:color w:val="000000"/>
                      <w:sz w:val="18"/>
                      <w:szCs w:val="18"/>
                    </w:rPr>
                  </w:pPr>
                  <w:r>
                    <w:rPr>
                      <w:color w:val="000000"/>
                      <w:sz w:val="18"/>
                      <w:szCs w:val="18"/>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6" w:type="dxa"/>
                  <w:gridSpan w:val="2"/>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评价结论</w:t>
                  </w:r>
                </w:p>
              </w:tc>
              <w:tc>
                <w:tcPr>
                  <w:tcW w:w="7262" w:type="dxa"/>
                  <w:gridSpan w:val="12"/>
                  <w:tcBorders>
                    <w:tl2br w:val="nil"/>
                    <w:tr2bl w:val="nil"/>
                  </w:tcBorders>
                  <w:shd w:val="clear" w:color="auto" w:fill="auto"/>
                  <w:vAlign w:val="center"/>
                </w:tcPr>
                <w:p>
                  <w:pPr>
                    <w:spacing w:line="280" w:lineRule="exact"/>
                    <w:jc w:val="center"/>
                    <w:rPr>
                      <w:color w:val="000000"/>
                      <w:sz w:val="18"/>
                      <w:szCs w:val="18"/>
                    </w:rPr>
                  </w:pPr>
                  <w:r>
                    <w:rPr>
                      <w:color w:val="000000"/>
                      <w:sz w:val="18"/>
                      <w:szCs w:val="18"/>
                    </w:rPr>
                    <w:t xml:space="preserve">可以接受 </w:t>
                  </w:r>
                  <w:r>
                    <w:rPr>
                      <w:color w:val="000000"/>
                      <w:sz w:val="18"/>
                      <w:szCs w:val="18"/>
                    </w:rPr>
                    <w:sym w:font="Wingdings 2" w:char="0052"/>
                  </w:r>
                  <w:r>
                    <w:rPr>
                      <w:color w:val="000000"/>
                      <w:sz w:val="18"/>
                      <w:szCs w:val="18"/>
                    </w:rPr>
                    <w:t xml:space="preserve">；不可接受 </w:t>
                  </w:r>
                  <w:r>
                    <w:rPr>
                      <w:color w:val="000000"/>
                      <w:sz w:val="18"/>
                      <w:szCs w:val="1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8" w:type="dxa"/>
                  <w:gridSpan w:val="14"/>
                  <w:tcBorders>
                    <w:tl2br w:val="nil"/>
                    <w:tr2bl w:val="nil"/>
                  </w:tcBorders>
                  <w:shd w:val="clear" w:color="auto" w:fill="auto"/>
                  <w:vAlign w:val="center"/>
                </w:tcPr>
                <w:p>
                  <w:pPr>
                    <w:spacing w:line="280" w:lineRule="exact"/>
                    <w:rPr>
                      <w:color w:val="000000"/>
                      <w:sz w:val="18"/>
                      <w:szCs w:val="18"/>
                    </w:rPr>
                  </w:pPr>
                  <w:r>
                    <w:rPr>
                      <w:color w:val="000000"/>
                      <w:sz w:val="18"/>
                      <w:szCs w:val="18"/>
                    </w:rPr>
                    <w:t>注：“</w:t>
                  </w:r>
                  <w:r>
                    <w:rPr>
                      <w:color w:val="000000"/>
                      <w:sz w:val="18"/>
                      <w:szCs w:val="18"/>
                    </w:rPr>
                    <w:sym w:font="Wingdings 2" w:char="00A3"/>
                  </w:r>
                  <w:r>
                    <w:rPr>
                      <w:color w:val="000000"/>
                      <w:sz w:val="18"/>
                      <w:szCs w:val="18"/>
                    </w:rPr>
                    <w:t>”为勾选项，可√；“（ ）”为内容填写项；“备注”为其他补充内容</w:t>
                  </w:r>
                </w:p>
              </w:tc>
            </w:tr>
          </w:tbl>
          <w:p>
            <w:pPr>
              <w:widowControl w:val="0"/>
              <w:ind w:firstLine="480" w:firstLineChars="200"/>
              <w:textAlignment w:val="baseline"/>
            </w:pPr>
            <w:r>
              <w:t>2、地下水环境影响分析</w:t>
            </w:r>
          </w:p>
          <w:p>
            <w:pPr>
              <w:widowControl w:val="0"/>
              <w:ind w:firstLine="480" w:firstLineChars="200"/>
              <w:textAlignment w:val="baseline"/>
            </w:pPr>
            <w:r>
              <w:rPr>
                <w:rFonts w:hint="eastAsia"/>
              </w:rPr>
              <w:t>根据《环境影响评价技术导则</w:t>
            </w:r>
            <w:r>
              <w:t>-</w:t>
            </w:r>
            <w:r>
              <w:rPr>
                <w:rFonts w:hint="eastAsia"/>
              </w:rPr>
              <w:t>地下水环境》</w:t>
            </w:r>
            <w:r>
              <w:t>(HJ610-2016)</w:t>
            </w:r>
            <w:r>
              <w:rPr>
                <w:rFonts w:hint="eastAsia"/>
              </w:rPr>
              <w:t>，地下水评价工作等级的划分应依据建设项目行业类和地下水环境敏感程度进行判定，可划分为一、二、三级。</w:t>
            </w:r>
          </w:p>
          <w:p>
            <w:pPr>
              <w:widowControl w:val="0"/>
              <w:ind w:firstLine="480" w:firstLineChars="200"/>
              <w:textAlignment w:val="baseline"/>
            </w:pPr>
            <w:r>
              <w:rPr>
                <w:rFonts w:hint="eastAsia"/>
              </w:rPr>
              <w:t>本项目属于废旧资源加工再利用项目，属于Ⅳ类项目，处于地下水环境不敏感区域，可不进行地下水环境影响评价。</w:t>
            </w:r>
          </w:p>
          <w:p>
            <w:pPr>
              <w:widowControl w:val="0"/>
              <w:ind w:firstLine="480" w:firstLineChars="200"/>
              <w:textAlignment w:val="baseline"/>
            </w:pPr>
            <w:r>
              <w:rPr>
                <w:rFonts w:hint="eastAsia"/>
              </w:rPr>
              <w:t>项目运营期生活污水排入厂区化粪池，定期清理作为农肥用于周边林地。本项目对化粪池进行防渗处理，以防止对区域地下水造成影响。采取以上措施后，项目对当地水环境影响较小。生产废水经沉淀池沉淀后循环使用，不外排。</w:t>
            </w:r>
          </w:p>
          <w:p>
            <w:pPr>
              <w:widowControl w:val="0"/>
              <w:ind w:firstLine="480" w:firstLineChars="200"/>
              <w:textAlignment w:val="baseline"/>
            </w:pPr>
            <w:r>
              <w:rPr>
                <w:rFonts w:hint="eastAsia"/>
              </w:rPr>
              <w:t>综上所述，项目运营期废水对地下水环境影响不大。</w:t>
            </w:r>
          </w:p>
          <w:p>
            <w:pPr>
              <w:widowControl w:val="0"/>
              <w:ind w:firstLine="480" w:firstLineChars="200"/>
              <w:textAlignment w:val="baseline"/>
            </w:pPr>
            <w:r>
              <w:rPr>
                <w:bCs/>
              </w:rPr>
              <w:t>三、声环境影响分析</w:t>
            </w:r>
          </w:p>
          <w:p>
            <w:pPr>
              <w:widowControl w:val="0"/>
              <w:ind w:firstLine="480" w:firstLineChars="200"/>
            </w:pPr>
            <w:r>
              <w:t>1、噪声预测分析</w:t>
            </w:r>
          </w:p>
          <w:p>
            <w:pPr>
              <w:widowControl w:val="0"/>
              <w:ind w:firstLine="480" w:firstLineChars="200"/>
            </w:pPr>
            <w:r>
              <w:t>（1）噪声源分析</w:t>
            </w:r>
          </w:p>
          <w:p>
            <w:pPr>
              <w:widowControl w:val="0"/>
              <w:ind w:firstLine="480" w:firstLineChars="200"/>
            </w:pPr>
            <w:r>
              <w:t>项目噪声主要为</w:t>
            </w:r>
            <w:r>
              <w:rPr>
                <w:rFonts w:hint="eastAsia"/>
              </w:rPr>
              <w:t>给料机、碎石机、滚筛、制砂机和洗砂机</w:t>
            </w:r>
            <w:r>
              <w:t>等设备工作时产生的机械噪声，噪声级在</w:t>
            </w:r>
            <w:r>
              <w:rPr>
                <w:rFonts w:hint="eastAsia"/>
              </w:rPr>
              <w:t>8</w:t>
            </w:r>
            <w:r>
              <w:t>5-100dB（A）。</w:t>
            </w:r>
          </w:p>
          <w:p>
            <w:pPr>
              <w:pStyle w:val="44"/>
              <w:widowControl w:val="0"/>
              <w:numPr>
                <w:ilvl w:val="0"/>
                <w:numId w:val="7"/>
              </w:numPr>
              <w:tabs>
                <w:tab w:val="left" w:pos="11"/>
              </w:tabs>
              <w:spacing w:line="240" w:lineRule="auto"/>
              <w:ind w:left="0" w:firstLine="0" w:firstLineChars="0"/>
              <w:jc w:val="center"/>
              <w:rPr>
                <w:b/>
                <w:sz w:val="21"/>
                <w:lang w:val="en-GB"/>
              </w:rPr>
            </w:pPr>
            <w:r>
              <w:rPr>
                <w:b/>
                <w:sz w:val="21"/>
                <w:lang w:val="en-GB"/>
              </w:rPr>
              <w:t>项目设备噪声源强及治理措施</w:t>
            </w:r>
          </w:p>
          <w:tbl>
            <w:tblPr>
              <w:tblStyle w:val="25"/>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020"/>
              <w:gridCol w:w="2515"/>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936" w:type="pct"/>
                  <w:vAlign w:val="center"/>
                </w:tcPr>
                <w:p>
                  <w:pPr>
                    <w:widowControl w:val="0"/>
                    <w:spacing w:line="240" w:lineRule="auto"/>
                    <w:jc w:val="center"/>
                    <w:rPr>
                      <w:rFonts w:eastAsiaTheme="minorEastAsia"/>
                      <w:kern w:val="0"/>
                      <w:sz w:val="21"/>
                      <w:szCs w:val="21"/>
                    </w:rPr>
                  </w:pPr>
                  <w:r>
                    <w:rPr>
                      <w:rFonts w:eastAsiaTheme="minorEastAsia"/>
                      <w:kern w:val="0"/>
                      <w:sz w:val="21"/>
                      <w:szCs w:val="21"/>
                    </w:rPr>
                    <w:t>设备名称</w:t>
                  </w:r>
                </w:p>
              </w:tc>
              <w:tc>
                <w:tcPr>
                  <w:tcW w:w="1115" w:type="pct"/>
                  <w:vAlign w:val="center"/>
                </w:tcPr>
                <w:p>
                  <w:pPr>
                    <w:widowControl w:val="0"/>
                    <w:spacing w:line="240" w:lineRule="auto"/>
                    <w:jc w:val="center"/>
                    <w:rPr>
                      <w:rFonts w:eastAsiaTheme="minorEastAsia"/>
                      <w:kern w:val="0"/>
                      <w:sz w:val="21"/>
                      <w:szCs w:val="21"/>
                    </w:rPr>
                  </w:pPr>
                  <w:r>
                    <w:rPr>
                      <w:rFonts w:eastAsiaTheme="minorEastAsia"/>
                      <w:kern w:val="0"/>
                      <w:sz w:val="21"/>
                      <w:szCs w:val="21"/>
                    </w:rPr>
                    <w:t>噪声值dB（A）</w:t>
                  </w:r>
                </w:p>
              </w:tc>
              <w:tc>
                <w:tcPr>
                  <w:tcW w:w="1388" w:type="pct"/>
                  <w:vAlign w:val="center"/>
                </w:tcPr>
                <w:p>
                  <w:pPr>
                    <w:widowControl w:val="0"/>
                    <w:spacing w:line="240" w:lineRule="auto"/>
                    <w:jc w:val="center"/>
                    <w:rPr>
                      <w:rFonts w:eastAsiaTheme="minorEastAsia"/>
                      <w:kern w:val="0"/>
                      <w:sz w:val="21"/>
                      <w:szCs w:val="21"/>
                    </w:rPr>
                  </w:pPr>
                  <w:r>
                    <w:rPr>
                      <w:rFonts w:eastAsiaTheme="minorEastAsia"/>
                      <w:kern w:val="0"/>
                      <w:sz w:val="21"/>
                      <w:szCs w:val="21"/>
                    </w:rPr>
                    <w:t>主要降噪措施</w:t>
                  </w:r>
                </w:p>
              </w:tc>
              <w:tc>
                <w:tcPr>
                  <w:tcW w:w="1561" w:type="pct"/>
                </w:tcPr>
                <w:p>
                  <w:pPr>
                    <w:widowControl w:val="0"/>
                    <w:spacing w:line="240" w:lineRule="auto"/>
                    <w:jc w:val="center"/>
                    <w:rPr>
                      <w:rFonts w:eastAsiaTheme="minorEastAsia"/>
                      <w:kern w:val="0"/>
                      <w:sz w:val="21"/>
                      <w:szCs w:val="21"/>
                    </w:rPr>
                  </w:pPr>
                  <w:r>
                    <w:rPr>
                      <w:rFonts w:eastAsiaTheme="minorEastAsia"/>
                      <w:kern w:val="0"/>
                      <w:sz w:val="21"/>
                      <w:szCs w:val="21"/>
                    </w:rPr>
                    <w:t>降噪后噪声dB（A）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jc w:val="center"/>
              </w:trPr>
              <w:tc>
                <w:tcPr>
                  <w:tcW w:w="936" w:type="pct"/>
                  <w:vAlign w:val="center"/>
                </w:tcPr>
                <w:p>
                  <w:pPr>
                    <w:widowControl w:val="0"/>
                    <w:tabs>
                      <w:tab w:val="left" w:pos="615"/>
                    </w:tabs>
                    <w:spacing w:line="240" w:lineRule="auto"/>
                    <w:jc w:val="center"/>
                    <w:rPr>
                      <w:rFonts w:eastAsiaTheme="minorEastAsia"/>
                      <w:kern w:val="0"/>
                      <w:sz w:val="21"/>
                      <w:szCs w:val="21"/>
                    </w:rPr>
                  </w:pPr>
                  <w:r>
                    <w:rPr>
                      <w:rFonts w:hint="eastAsia" w:eastAsiaTheme="minorEastAsia"/>
                      <w:sz w:val="21"/>
                      <w:szCs w:val="21"/>
                    </w:rPr>
                    <w:t>给料</w:t>
                  </w:r>
                  <w:r>
                    <w:rPr>
                      <w:rFonts w:eastAsiaTheme="minorEastAsia"/>
                      <w:sz w:val="21"/>
                      <w:szCs w:val="21"/>
                    </w:rPr>
                    <w:t>机</w:t>
                  </w:r>
                </w:p>
              </w:tc>
              <w:tc>
                <w:tcPr>
                  <w:tcW w:w="1115" w:type="pct"/>
                  <w:vAlign w:val="center"/>
                </w:tcPr>
                <w:p>
                  <w:pPr>
                    <w:widowControl w:val="0"/>
                    <w:spacing w:line="240" w:lineRule="auto"/>
                    <w:jc w:val="center"/>
                    <w:rPr>
                      <w:rFonts w:eastAsiaTheme="minorEastAsia"/>
                      <w:kern w:val="0"/>
                      <w:sz w:val="21"/>
                      <w:szCs w:val="21"/>
                    </w:rPr>
                  </w:pPr>
                  <w:r>
                    <w:rPr>
                      <w:rFonts w:eastAsiaTheme="minorEastAsia"/>
                      <w:kern w:val="0"/>
                      <w:sz w:val="21"/>
                      <w:szCs w:val="21"/>
                    </w:rPr>
                    <w:t>85</w:t>
                  </w:r>
                </w:p>
              </w:tc>
              <w:tc>
                <w:tcPr>
                  <w:tcW w:w="1388" w:type="pct"/>
                  <w:vMerge w:val="restart"/>
                  <w:vAlign w:val="center"/>
                </w:tcPr>
                <w:p>
                  <w:pPr>
                    <w:widowControl w:val="0"/>
                    <w:spacing w:line="240" w:lineRule="auto"/>
                    <w:jc w:val="center"/>
                    <w:rPr>
                      <w:rFonts w:eastAsiaTheme="minorEastAsia"/>
                      <w:kern w:val="0"/>
                      <w:sz w:val="21"/>
                      <w:szCs w:val="21"/>
                    </w:rPr>
                  </w:pPr>
                  <w:r>
                    <w:rPr>
                      <w:rFonts w:eastAsiaTheme="minorEastAsia"/>
                      <w:kern w:val="0"/>
                      <w:sz w:val="21"/>
                      <w:szCs w:val="21"/>
                    </w:rPr>
                    <w:t>基础减</w:t>
                  </w:r>
                  <w:r>
                    <w:rPr>
                      <w:rFonts w:hint="eastAsia" w:eastAsiaTheme="minorEastAsia"/>
                      <w:kern w:val="0"/>
                      <w:sz w:val="21"/>
                      <w:szCs w:val="21"/>
                    </w:rPr>
                    <w:t>振</w:t>
                  </w:r>
                  <w:r>
                    <w:rPr>
                      <w:rFonts w:eastAsiaTheme="minorEastAsia"/>
                      <w:kern w:val="0"/>
                      <w:sz w:val="21"/>
                      <w:szCs w:val="21"/>
                    </w:rPr>
                    <w:t>、软连接</w:t>
                  </w:r>
                  <w:r>
                    <w:rPr>
                      <w:rFonts w:hint="eastAsia" w:eastAsiaTheme="minorEastAsia"/>
                      <w:kern w:val="0"/>
                      <w:sz w:val="21"/>
                      <w:szCs w:val="21"/>
                    </w:rPr>
                    <w:t>、</w:t>
                  </w:r>
                  <w:r>
                    <w:rPr>
                      <w:rFonts w:eastAsiaTheme="minorEastAsia"/>
                      <w:kern w:val="0"/>
                      <w:sz w:val="21"/>
                      <w:szCs w:val="21"/>
                    </w:rPr>
                    <w:t>厂房隔声</w:t>
                  </w:r>
                </w:p>
              </w:tc>
              <w:tc>
                <w:tcPr>
                  <w:tcW w:w="1561" w:type="pct"/>
                </w:tcPr>
                <w:p>
                  <w:pPr>
                    <w:widowControl w:val="0"/>
                    <w:spacing w:line="240" w:lineRule="auto"/>
                    <w:jc w:val="center"/>
                    <w:rPr>
                      <w:rFonts w:eastAsiaTheme="minorEastAsia"/>
                      <w:kern w:val="0"/>
                      <w:sz w:val="21"/>
                      <w:szCs w:val="21"/>
                    </w:rPr>
                  </w:pPr>
                  <w:r>
                    <w:rPr>
                      <w:rFonts w:hint="eastAsia" w:eastAsiaTheme="minorEastAsia"/>
                      <w:kern w:val="0"/>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936" w:type="pct"/>
                  <w:vAlign w:val="center"/>
                </w:tcPr>
                <w:p>
                  <w:pPr>
                    <w:widowControl w:val="0"/>
                    <w:tabs>
                      <w:tab w:val="left" w:pos="615"/>
                    </w:tabs>
                    <w:spacing w:line="240" w:lineRule="auto"/>
                    <w:jc w:val="center"/>
                    <w:rPr>
                      <w:rFonts w:eastAsiaTheme="minorEastAsia"/>
                      <w:kern w:val="0"/>
                      <w:sz w:val="21"/>
                      <w:szCs w:val="21"/>
                    </w:rPr>
                  </w:pPr>
                  <w:r>
                    <w:rPr>
                      <w:rFonts w:hint="eastAsia" w:eastAsiaTheme="minorEastAsia"/>
                      <w:sz w:val="21"/>
                      <w:szCs w:val="21"/>
                    </w:rPr>
                    <w:t>碎石</w:t>
                  </w:r>
                  <w:r>
                    <w:rPr>
                      <w:rFonts w:eastAsiaTheme="minorEastAsia"/>
                      <w:sz w:val="21"/>
                      <w:szCs w:val="21"/>
                    </w:rPr>
                    <w:t>机</w:t>
                  </w:r>
                </w:p>
              </w:tc>
              <w:tc>
                <w:tcPr>
                  <w:tcW w:w="1115" w:type="pct"/>
                  <w:vAlign w:val="center"/>
                </w:tcPr>
                <w:p>
                  <w:pPr>
                    <w:widowControl w:val="0"/>
                    <w:spacing w:line="240" w:lineRule="auto"/>
                    <w:jc w:val="center"/>
                    <w:rPr>
                      <w:rFonts w:eastAsiaTheme="minorEastAsia"/>
                      <w:kern w:val="0"/>
                      <w:sz w:val="21"/>
                      <w:szCs w:val="21"/>
                    </w:rPr>
                  </w:pPr>
                  <w:r>
                    <w:rPr>
                      <w:rFonts w:eastAsiaTheme="minorEastAsia"/>
                      <w:kern w:val="0"/>
                      <w:sz w:val="21"/>
                      <w:szCs w:val="21"/>
                    </w:rPr>
                    <w:t>100</w:t>
                  </w:r>
                </w:p>
              </w:tc>
              <w:tc>
                <w:tcPr>
                  <w:tcW w:w="1388" w:type="pct"/>
                  <w:vMerge w:val="continue"/>
                  <w:vAlign w:val="center"/>
                </w:tcPr>
                <w:p>
                  <w:pPr>
                    <w:widowControl w:val="0"/>
                    <w:spacing w:line="240" w:lineRule="auto"/>
                    <w:jc w:val="center"/>
                    <w:rPr>
                      <w:rFonts w:eastAsiaTheme="minorEastAsia"/>
                      <w:kern w:val="0"/>
                      <w:sz w:val="21"/>
                      <w:szCs w:val="21"/>
                    </w:rPr>
                  </w:pPr>
                </w:p>
              </w:tc>
              <w:tc>
                <w:tcPr>
                  <w:tcW w:w="1561" w:type="pct"/>
                </w:tcPr>
                <w:p>
                  <w:pPr>
                    <w:widowControl w:val="0"/>
                    <w:spacing w:line="240" w:lineRule="auto"/>
                    <w:jc w:val="center"/>
                    <w:rPr>
                      <w:rFonts w:eastAsiaTheme="minorEastAsia"/>
                      <w:kern w:val="0"/>
                      <w:sz w:val="21"/>
                      <w:szCs w:val="21"/>
                    </w:rPr>
                  </w:pPr>
                  <w:r>
                    <w:rPr>
                      <w:rFonts w:hint="eastAsia" w:eastAsiaTheme="minorEastAsia"/>
                      <w:kern w:val="0"/>
                      <w:sz w:val="21"/>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936" w:type="pct"/>
                  <w:vAlign w:val="center"/>
                </w:tcPr>
                <w:p>
                  <w:pPr>
                    <w:widowControl w:val="0"/>
                    <w:tabs>
                      <w:tab w:val="left" w:pos="615"/>
                    </w:tabs>
                    <w:spacing w:line="240" w:lineRule="auto"/>
                    <w:jc w:val="center"/>
                    <w:rPr>
                      <w:rFonts w:eastAsiaTheme="minorEastAsia"/>
                      <w:sz w:val="21"/>
                      <w:szCs w:val="21"/>
                    </w:rPr>
                  </w:pPr>
                  <w:r>
                    <w:rPr>
                      <w:rFonts w:hint="eastAsia" w:eastAsiaTheme="minorEastAsia"/>
                      <w:sz w:val="21"/>
                      <w:szCs w:val="21"/>
                    </w:rPr>
                    <w:t>滚筛</w:t>
                  </w:r>
                </w:p>
              </w:tc>
              <w:tc>
                <w:tcPr>
                  <w:tcW w:w="1115" w:type="pct"/>
                  <w:vAlign w:val="center"/>
                </w:tcPr>
                <w:p>
                  <w:pPr>
                    <w:widowControl w:val="0"/>
                    <w:spacing w:line="240" w:lineRule="auto"/>
                    <w:jc w:val="center"/>
                    <w:rPr>
                      <w:rFonts w:eastAsiaTheme="minorEastAsia"/>
                      <w:kern w:val="0"/>
                      <w:sz w:val="21"/>
                      <w:szCs w:val="21"/>
                    </w:rPr>
                  </w:pPr>
                  <w:r>
                    <w:rPr>
                      <w:rFonts w:eastAsiaTheme="minorEastAsia"/>
                      <w:kern w:val="0"/>
                      <w:sz w:val="21"/>
                      <w:szCs w:val="21"/>
                    </w:rPr>
                    <w:t>85</w:t>
                  </w:r>
                </w:p>
              </w:tc>
              <w:tc>
                <w:tcPr>
                  <w:tcW w:w="1388" w:type="pct"/>
                  <w:vMerge w:val="continue"/>
                  <w:vAlign w:val="center"/>
                </w:tcPr>
                <w:p>
                  <w:pPr>
                    <w:widowControl w:val="0"/>
                    <w:spacing w:line="240" w:lineRule="auto"/>
                    <w:jc w:val="center"/>
                    <w:rPr>
                      <w:rFonts w:eastAsiaTheme="minorEastAsia"/>
                      <w:kern w:val="0"/>
                      <w:sz w:val="21"/>
                      <w:szCs w:val="21"/>
                    </w:rPr>
                  </w:pPr>
                </w:p>
              </w:tc>
              <w:tc>
                <w:tcPr>
                  <w:tcW w:w="1561" w:type="pct"/>
                </w:tcPr>
                <w:p>
                  <w:pPr>
                    <w:widowControl w:val="0"/>
                    <w:spacing w:line="240" w:lineRule="auto"/>
                    <w:jc w:val="center"/>
                    <w:rPr>
                      <w:rFonts w:eastAsiaTheme="minorEastAsia"/>
                      <w:kern w:val="0"/>
                      <w:sz w:val="21"/>
                      <w:szCs w:val="21"/>
                    </w:rPr>
                  </w:pPr>
                  <w:r>
                    <w:rPr>
                      <w:rFonts w:hint="eastAsia" w:eastAsiaTheme="minorEastAsia"/>
                      <w:kern w:val="0"/>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936" w:type="pct"/>
                  <w:vAlign w:val="center"/>
                </w:tcPr>
                <w:p>
                  <w:pPr>
                    <w:widowControl w:val="0"/>
                    <w:tabs>
                      <w:tab w:val="left" w:pos="615"/>
                    </w:tabs>
                    <w:spacing w:line="240" w:lineRule="auto"/>
                    <w:jc w:val="center"/>
                    <w:rPr>
                      <w:rFonts w:eastAsiaTheme="minorEastAsia"/>
                      <w:szCs w:val="21"/>
                    </w:rPr>
                  </w:pPr>
                  <w:r>
                    <w:rPr>
                      <w:rFonts w:hint="eastAsia" w:eastAsiaTheme="minorEastAsia"/>
                      <w:sz w:val="21"/>
                      <w:szCs w:val="21"/>
                    </w:rPr>
                    <w:t>制砂机</w:t>
                  </w:r>
                </w:p>
              </w:tc>
              <w:tc>
                <w:tcPr>
                  <w:tcW w:w="1115" w:type="pct"/>
                  <w:vAlign w:val="center"/>
                </w:tcPr>
                <w:p>
                  <w:pPr>
                    <w:widowControl w:val="0"/>
                    <w:spacing w:line="240" w:lineRule="auto"/>
                    <w:jc w:val="center"/>
                    <w:rPr>
                      <w:rFonts w:eastAsiaTheme="minorEastAsia"/>
                      <w:kern w:val="0"/>
                      <w:sz w:val="21"/>
                      <w:szCs w:val="21"/>
                    </w:rPr>
                  </w:pPr>
                  <w:r>
                    <w:rPr>
                      <w:rFonts w:eastAsiaTheme="minorEastAsia"/>
                      <w:kern w:val="0"/>
                      <w:sz w:val="21"/>
                      <w:szCs w:val="21"/>
                    </w:rPr>
                    <w:t>100</w:t>
                  </w:r>
                </w:p>
              </w:tc>
              <w:tc>
                <w:tcPr>
                  <w:tcW w:w="1388" w:type="pct"/>
                  <w:vMerge w:val="continue"/>
                  <w:vAlign w:val="center"/>
                </w:tcPr>
                <w:p>
                  <w:pPr>
                    <w:widowControl w:val="0"/>
                    <w:spacing w:line="240" w:lineRule="auto"/>
                    <w:jc w:val="center"/>
                    <w:rPr>
                      <w:rFonts w:eastAsiaTheme="minorEastAsia"/>
                      <w:kern w:val="0"/>
                      <w:sz w:val="21"/>
                      <w:szCs w:val="21"/>
                    </w:rPr>
                  </w:pPr>
                </w:p>
              </w:tc>
              <w:tc>
                <w:tcPr>
                  <w:tcW w:w="1561" w:type="pct"/>
                </w:tcPr>
                <w:p>
                  <w:pPr>
                    <w:widowControl w:val="0"/>
                    <w:spacing w:line="240" w:lineRule="auto"/>
                    <w:jc w:val="center"/>
                    <w:rPr>
                      <w:rFonts w:eastAsiaTheme="minorEastAsia"/>
                      <w:kern w:val="0"/>
                      <w:sz w:val="21"/>
                      <w:szCs w:val="21"/>
                    </w:rPr>
                  </w:pPr>
                  <w:r>
                    <w:rPr>
                      <w:rFonts w:hint="eastAsia" w:eastAsiaTheme="minorEastAsia"/>
                      <w:kern w:val="0"/>
                      <w:sz w:val="21"/>
                      <w:szCs w:val="21"/>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936" w:type="pct"/>
                  <w:vAlign w:val="center"/>
                </w:tcPr>
                <w:p>
                  <w:pPr>
                    <w:widowControl w:val="0"/>
                    <w:tabs>
                      <w:tab w:val="left" w:pos="615"/>
                    </w:tabs>
                    <w:spacing w:line="240" w:lineRule="auto"/>
                    <w:jc w:val="center"/>
                    <w:rPr>
                      <w:rFonts w:eastAsiaTheme="minorEastAsia"/>
                      <w:sz w:val="21"/>
                      <w:szCs w:val="21"/>
                    </w:rPr>
                  </w:pPr>
                  <w:r>
                    <w:rPr>
                      <w:rFonts w:eastAsiaTheme="minorEastAsia"/>
                      <w:sz w:val="21"/>
                      <w:szCs w:val="21"/>
                    </w:rPr>
                    <w:t>洗砂机</w:t>
                  </w:r>
                </w:p>
              </w:tc>
              <w:tc>
                <w:tcPr>
                  <w:tcW w:w="1115" w:type="pct"/>
                  <w:vAlign w:val="center"/>
                </w:tcPr>
                <w:p>
                  <w:pPr>
                    <w:widowControl w:val="0"/>
                    <w:spacing w:line="240" w:lineRule="auto"/>
                    <w:jc w:val="center"/>
                    <w:rPr>
                      <w:rFonts w:eastAsiaTheme="minorEastAsia"/>
                      <w:kern w:val="0"/>
                      <w:sz w:val="21"/>
                      <w:szCs w:val="21"/>
                    </w:rPr>
                  </w:pPr>
                  <w:r>
                    <w:rPr>
                      <w:rFonts w:eastAsiaTheme="minorEastAsia"/>
                      <w:kern w:val="0"/>
                      <w:sz w:val="21"/>
                      <w:szCs w:val="21"/>
                    </w:rPr>
                    <w:t>85</w:t>
                  </w:r>
                </w:p>
              </w:tc>
              <w:tc>
                <w:tcPr>
                  <w:tcW w:w="1388" w:type="pct"/>
                  <w:vMerge w:val="continue"/>
                  <w:vAlign w:val="center"/>
                </w:tcPr>
                <w:p>
                  <w:pPr>
                    <w:widowControl w:val="0"/>
                    <w:spacing w:line="240" w:lineRule="auto"/>
                    <w:jc w:val="center"/>
                    <w:rPr>
                      <w:rFonts w:eastAsiaTheme="minorEastAsia"/>
                      <w:kern w:val="0"/>
                      <w:sz w:val="21"/>
                      <w:szCs w:val="21"/>
                    </w:rPr>
                  </w:pPr>
                </w:p>
              </w:tc>
              <w:tc>
                <w:tcPr>
                  <w:tcW w:w="1561" w:type="pct"/>
                </w:tcPr>
                <w:p>
                  <w:pPr>
                    <w:widowControl w:val="0"/>
                    <w:spacing w:line="240" w:lineRule="auto"/>
                    <w:jc w:val="center"/>
                    <w:rPr>
                      <w:rFonts w:eastAsiaTheme="minorEastAsia"/>
                      <w:kern w:val="0"/>
                      <w:sz w:val="21"/>
                      <w:szCs w:val="21"/>
                    </w:rPr>
                  </w:pPr>
                  <w:r>
                    <w:rPr>
                      <w:rFonts w:hint="eastAsia" w:eastAsiaTheme="minorEastAsia"/>
                      <w:kern w:val="0"/>
                      <w:sz w:val="21"/>
                      <w:szCs w:val="21"/>
                    </w:rPr>
                    <w:t>60</w:t>
                  </w:r>
                </w:p>
              </w:tc>
            </w:tr>
          </w:tbl>
          <w:p>
            <w:pPr>
              <w:widowControl w:val="0"/>
              <w:ind w:firstLine="480" w:firstLineChars="200"/>
              <w:rPr>
                <w:bCs/>
                <w:szCs w:val="22"/>
              </w:rPr>
            </w:pPr>
            <w:bookmarkStart w:id="66" w:name="_Toc253412782"/>
            <w:bookmarkStart w:id="67" w:name="_Toc271200456"/>
            <w:bookmarkStart w:id="68" w:name="_Toc492054356"/>
            <w:bookmarkStart w:id="69" w:name="_Toc486590274"/>
            <w:bookmarkStart w:id="70" w:name="_Toc241394570"/>
            <w:r>
              <w:rPr>
                <w:rFonts w:hint="eastAsia"/>
                <w:bCs/>
                <w:szCs w:val="22"/>
              </w:rPr>
              <w:t>2、</w:t>
            </w:r>
            <w:r>
              <w:rPr>
                <w:bCs/>
                <w:szCs w:val="22"/>
              </w:rPr>
              <w:t>预测模式</w:t>
            </w:r>
            <w:bookmarkEnd w:id="66"/>
            <w:bookmarkEnd w:id="67"/>
            <w:bookmarkEnd w:id="68"/>
            <w:bookmarkEnd w:id="69"/>
            <w:bookmarkEnd w:id="70"/>
          </w:p>
          <w:p>
            <w:pPr>
              <w:widowControl w:val="0"/>
              <w:ind w:firstLine="480" w:firstLineChars="200"/>
              <w:rPr>
                <w:szCs w:val="22"/>
              </w:rPr>
            </w:pPr>
            <w:r>
              <w:rPr>
                <w:szCs w:val="22"/>
              </w:rPr>
              <w:t>根据《环境影响评价技术导则 声环境》（HJ 2.4-2009）的要求，采用如下模式：</w:t>
            </w:r>
          </w:p>
          <w:p>
            <w:pPr>
              <w:widowControl w:val="0"/>
              <w:ind w:firstLine="480" w:firstLineChars="200"/>
              <w:rPr>
                <w:szCs w:val="22"/>
              </w:rPr>
            </w:pPr>
            <w:r>
              <w:rPr>
                <w:szCs w:val="22"/>
              </w:rPr>
              <w:t>（1）室外声源：</w:t>
            </w:r>
          </w:p>
          <w:p>
            <w:pPr>
              <w:widowControl w:val="0"/>
              <w:ind w:firstLine="480" w:firstLineChars="200"/>
              <w:rPr>
                <w:szCs w:val="22"/>
              </w:rPr>
            </w:pPr>
            <w:r>
              <w:rPr>
                <w:szCs w:val="22"/>
              </w:rPr>
              <w:t>室外点</w:t>
            </w:r>
            <w:r>
              <w:t>声源</w:t>
            </w:r>
            <w:r>
              <w:rPr>
                <w:szCs w:val="22"/>
              </w:rPr>
              <w:t>对预测点的噪声声压级影响值（dB(A)）为：</w:t>
            </w:r>
          </w:p>
          <w:p>
            <w:pPr>
              <w:widowControl w:val="0"/>
              <w:ind w:firstLine="480" w:firstLineChars="200"/>
              <w:jc w:val="center"/>
              <w:rPr>
                <w:szCs w:val="22"/>
              </w:rPr>
            </w:pPr>
            <w:r>
              <w:rPr>
                <w:position w:val="-30"/>
                <w:szCs w:val="22"/>
              </w:rPr>
              <w:object>
                <v:shape id="_x0000_i1029" o:spt="75" type="#_x0000_t75" style="height:36.55pt;width:108.55pt;" o:ole="t" filled="f" o:preferrelative="t" stroked="f" coordsize="21600,21600">
                  <v:path/>
                  <v:fill on="f" focussize="0,0"/>
                  <v:stroke on="f" joinstyle="miter"/>
                  <v:imagedata r:id="rId18" o:title=""/>
                  <o:lock v:ext="edit" aspectratio="t"/>
                  <w10:wrap type="none"/>
                  <w10:anchorlock/>
                </v:shape>
                <o:OLEObject Type="Embed" ProgID="Equation.3" ShapeID="_x0000_i1029" DrawAspect="Content" ObjectID="_1468075729" r:id="rId17">
                  <o:LockedField>false</o:LockedField>
                </o:OLEObject>
              </w:object>
            </w:r>
          </w:p>
          <w:p>
            <w:pPr>
              <w:widowControl w:val="0"/>
              <w:ind w:firstLine="480" w:firstLineChars="200"/>
              <w:rPr>
                <w:szCs w:val="22"/>
              </w:rPr>
            </w:pPr>
            <w:r>
              <w:rPr>
                <w:szCs w:val="22"/>
              </w:rPr>
              <w:t>式中：</w:t>
            </w:r>
          </w:p>
          <w:p>
            <w:pPr>
              <w:widowControl w:val="0"/>
              <w:ind w:firstLine="1200" w:firstLineChars="500"/>
              <w:rPr>
                <w:szCs w:val="22"/>
              </w:rPr>
            </w:pPr>
            <w:r>
              <w:rPr>
                <w:szCs w:val="22"/>
              </w:rPr>
              <w:t>L</w:t>
            </w:r>
            <w:r>
              <w:rPr>
                <w:szCs w:val="22"/>
                <w:vertAlign w:val="subscript"/>
              </w:rPr>
              <w:t>P</w:t>
            </w:r>
            <w:r>
              <w:rPr>
                <w:szCs w:val="22"/>
              </w:rPr>
              <w:t>(r)为预测点的声压级（dB(A)）；</w:t>
            </w:r>
          </w:p>
          <w:p>
            <w:pPr>
              <w:widowControl w:val="0"/>
              <w:ind w:firstLine="1200" w:firstLineChars="500"/>
              <w:rPr>
                <w:szCs w:val="22"/>
              </w:rPr>
            </w:pPr>
            <w:r>
              <w:rPr>
                <w:szCs w:val="22"/>
              </w:rPr>
              <w:t>L</w:t>
            </w:r>
            <w:r>
              <w:rPr>
                <w:szCs w:val="22"/>
                <w:vertAlign w:val="subscript"/>
              </w:rPr>
              <w:t>P0</w:t>
            </w:r>
            <w:r>
              <w:rPr>
                <w:szCs w:val="22"/>
              </w:rPr>
              <w:t>为点声源在r</w:t>
            </w:r>
            <w:r>
              <w:rPr>
                <w:szCs w:val="22"/>
                <w:vertAlign w:val="subscript"/>
              </w:rPr>
              <w:t>0</w:t>
            </w:r>
            <w:r>
              <w:rPr>
                <w:szCs w:val="22"/>
              </w:rPr>
              <w:t>(m)距离处测定的声压级（dB(A)）；</w:t>
            </w:r>
          </w:p>
          <w:p>
            <w:pPr>
              <w:widowControl w:val="0"/>
              <w:ind w:firstLine="1200" w:firstLineChars="500"/>
              <w:rPr>
                <w:szCs w:val="22"/>
              </w:rPr>
            </w:pPr>
            <w:r>
              <w:rPr>
                <w:szCs w:val="22"/>
              </w:rPr>
              <w:t>r为点声源距预测点的距离(m)；</w:t>
            </w:r>
          </w:p>
          <w:p>
            <w:pPr>
              <w:widowControl w:val="0"/>
              <w:ind w:firstLine="480" w:firstLineChars="200"/>
              <w:rPr>
                <w:szCs w:val="22"/>
              </w:rPr>
            </w:pPr>
            <w:r>
              <w:rPr>
                <w:szCs w:val="22"/>
              </w:rPr>
              <w:t>（2）室内声源：</w:t>
            </w:r>
          </w:p>
          <w:p>
            <w:pPr>
              <w:widowControl w:val="0"/>
              <w:ind w:firstLine="480" w:firstLineChars="200"/>
              <w:rPr>
                <w:szCs w:val="20"/>
              </w:rPr>
            </w:pPr>
            <w:r>
              <w:rPr>
                <w:szCs w:val="20"/>
              </w:rPr>
              <w:t>对于室内声源，可按下式计算：</w:t>
            </w:r>
          </w:p>
          <w:p>
            <w:pPr>
              <w:widowControl w:val="0"/>
              <w:ind w:firstLine="480" w:firstLineChars="200"/>
              <w:jc w:val="center"/>
            </w:pPr>
            <w:r>
              <w:rPr>
                <w:position w:val="-30"/>
              </w:rPr>
              <w:object>
                <v:shape id="_x0000_i1030" o:spt="75" type="#_x0000_t75" style="height:36.55pt;width:189.15pt;" o:ole="t" filled="f" o:preferrelative="t" stroked="f" coordsize="21600,21600">
                  <v:path/>
                  <v:fill on="f" focussize="0,0"/>
                  <v:stroke on="f" joinstyle="miter"/>
                  <v:imagedata r:id="rId20" o:title=""/>
                  <o:lock v:ext="edit" aspectratio="t"/>
                  <w10:wrap type="none"/>
                  <w10:anchorlock/>
                </v:shape>
                <o:OLEObject Type="Embed" ProgID="Equation.3" ShapeID="_x0000_i1030" DrawAspect="Content" ObjectID="_1468075730" r:id="rId19">
                  <o:LockedField>false</o:LockedField>
                </o:OLEObject>
              </w:object>
            </w:r>
          </w:p>
          <w:p>
            <w:pPr>
              <w:widowControl w:val="0"/>
              <w:ind w:firstLine="480" w:firstLineChars="200"/>
              <w:rPr>
                <w:kern w:val="0"/>
              </w:rPr>
            </w:pPr>
            <w:r>
              <w:rPr>
                <w:kern w:val="0"/>
              </w:rPr>
              <w:t>式中：</w:t>
            </w:r>
          </w:p>
          <w:p>
            <w:pPr>
              <w:widowControl w:val="0"/>
              <w:ind w:firstLine="1200" w:firstLineChars="500"/>
              <w:rPr>
                <w:szCs w:val="22"/>
              </w:rPr>
            </w:pPr>
            <w:r>
              <w:rPr>
                <w:szCs w:val="22"/>
              </w:rPr>
              <w:t>L</w:t>
            </w:r>
            <w:r>
              <w:rPr>
                <w:szCs w:val="22"/>
                <w:vertAlign w:val="subscript"/>
              </w:rPr>
              <w:t>P</w:t>
            </w:r>
            <w:r>
              <w:rPr>
                <w:szCs w:val="22"/>
              </w:rPr>
              <w:t>(r)为预测点的声压级（dB(A)）；</w:t>
            </w:r>
          </w:p>
          <w:p>
            <w:pPr>
              <w:widowControl w:val="0"/>
              <w:ind w:firstLine="1200" w:firstLineChars="500"/>
              <w:rPr>
                <w:szCs w:val="22"/>
              </w:rPr>
            </w:pPr>
            <w:r>
              <w:rPr>
                <w:szCs w:val="22"/>
              </w:rPr>
              <w:t>L</w:t>
            </w:r>
            <w:r>
              <w:rPr>
                <w:szCs w:val="22"/>
                <w:vertAlign w:val="subscript"/>
              </w:rPr>
              <w:t>P0</w:t>
            </w:r>
            <w:r>
              <w:rPr>
                <w:szCs w:val="22"/>
              </w:rPr>
              <w:t>为点声源在r</w:t>
            </w:r>
            <w:r>
              <w:rPr>
                <w:szCs w:val="22"/>
                <w:vertAlign w:val="subscript"/>
              </w:rPr>
              <w:t>0</w:t>
            </w:r>
            <w:r>
              <w:rPr>
                <w:szCs w:val="22"/>
              </w:rPr>
              <w:t>(m)距离处测定的声压级（dB(A)）；</w:t>
            </w:r>
          </w:p>
          <w:p>
            <w:pPr>
              <w:widowControl w:val="0"/>
              <w:ind w:firstLine="1200" w:firstLineChars="500"/>
              <w:rPr>
                <w:szCs w:val="22"/>
              </w:rPr>
            </w:pPr>
            <w:r>
              <w:rPr>
                <w:szCs w:val="22"/>
              </w:rPr>
              <w:t>TL为围护结构的平均隔声量，</w:t>
            </w:r>
            <w:r>
              <w:t>一般车间墙、窗组合结构取</w:t>
            </w:r>
            <w:r>
              <w:rPr>
                <w:i/>
              </w:rPr>
              <w:t>TL</w:t>
            </w:r>
            <w:r>
              <w:t>=20dB(A)，如果采用双层玻璃窗或通风隔声窗，</w:t>
            </w:r>
            <w:r>
              <w:rPr>
                <w:i/>
              </w:rPr>
              <w:t>TL</w:t>
            </w:r>
            <w:r>
              <w:t>=25dB(A)；本项目取20dB(A)；</w:t>
            </w:r>
          </w:p>
          <w:p>
            <w:pPr>
              <w:widowControl w:val="0"/>
              <w:ind w:firstLine="480" w:firstLineChars="200"/>
              <w:rPr>
                <w:szCs w:val="22"/>
              </w:rPr>
            </w:pPr>
            <w:r>
              <w:rPr>
                <w:szCs w:val="22"/>
              </w:rPr>
              <w:t>α为吸声系数；</w:t>
            </w:r>
            <w:r>
              <w:t>对一般机械车间，取0.15</w:t>
            </w:r>
            <w:r>
              <w:rPr>
                <w:szCs w:val="22"/>
              </w:rPr>
              <w:t>。</w:t>
            </w:r>
          </w:p>
          <w:p>
            <w:pPr>
              <w:widowControl w:val="0"/>
              <w:ind w:firstLine="480" w:firstLineChars="200"/>
              <w:rPr>
                <w:szCs w:val="22"/>
              </w:rPr>
            </w:pPr>
            <w:r>
              <w:rPr>
                <w:szCs w:val="22"/>
              </w:rPr>
              <w:t>（3）对预测点多源声影响及背景噪声的迭加：</w:t>
            </w:r>
          </w:p>
          <w:p>
            <w:pPr>
              <w:widowControl w:val="0"/>
              <w:ind w:firstLine="480" w:firstLineChars="200"/>
              <w:jc w:val="center"/>
            </w:pPr>
            <w:r>
              <w:object>
                <v:shape id="_x0000_i1031" o:spt="75" type="#_x0000_t75" style="height:38.15pt;width:147.2pt;" o:ole="t" filled="f" o:preferrelative="t" stroked="f" coordsize="21600,21600">
                  <v:path/>
                  <v:fill on="f" focussize="0,0"/>
                  <v:stroke on="f" joinstyle="miter"/>
                  <v:imagedata r:id="rId22" o:title=""/>
                  <o:lock v:ext="edit" aspectratio="t"/>
                  <w10:wrap type="none"/>
                  <w10:anchorlock/>
                </v:shape>
                <o:OLEObject Type="Embed" ProgID="Equation.3" ShapeID="_x0000_i1031" DrawAspect="Content" ObjectID="_1468075731" r:id="rId21">
                  <o:LockedField>false</o:LockedField>
                </o:OLEObject>
              </w:object>
            </w:r>
          </w:p>
          <w:p>
            <w:pPr>
              <w:widowControl w:val="0"/>
              <w:ind w:firstLine="480" w:firstLineChars="200"/>
              <w:rPr>
                <w:kern w:val="0"/>
              </w:rPr>
            </w:pPr>
            <w:r>
              <w:rPr>
                <w:kern w:val="0"/>
              </w:rPr>
              <w:t>式中：</w:t>
            </w:r>
          </w:p>
          <w:p>
            <w:pPr>
              <w:widowControl w:val="0"/>
              <w:ind w:firstLine="1200" w:firstLineChars="500"/>
              <w:rPr>
                <w:kern w:val="0"/>
              </w:rPr>
            </w:pPr>
            <w:r>
              <w:rPr>
                <w:kern w:val="0"/>
              </w:rPr>
              <w:t>N为声源个数；</w:t>
            </w:r>
          </w:p>
          <w:p>
            <w:pPr>
              <w:widowControl w:val="0"/>
              <w:ind w:firstLine="1200" w:firstLineChars="500"/>
              <w:rPr>
                <w:kern w:val="0"/>
              </w:rPr>
            </w:pPr>
            <w:r>
              <w:rPr>
                <w:kern w:val="0"/>
              </w:rPr>
              <w:t>L</w:t>
            </w:r>
            <w:r>
              <w:rPr>
                <w:kern w:val="0"/>
                <w:vertAlign w:val="subscript"/>
              </w:rPr>
              <w:t>0</w:t>
            </w:r>
            <w:r>
              <w:rPr>
                <w:kern w:val="0"/>
              </w:rPr>
              <w:t>为预测点的噪声背景值（dB(A)）；</w:t>
            </w:r>
          </w:p>
          <w:p>
            <w:pPr>
              <w:widowControl w:val="0"/>
              <w:ind w:firstLine="1200" w:firstLineChars="500"/>
              <w:rPr>
                <w:kern w:val="0"/>
              </w:rPr>
            </w:pPr>
            <w:r>
              <w:rPr>
                <w:kern w:val="0"/>
              </w:rPr>
              <w:t>L</w:t>
            </w:r>
            <w:r>
              <w:rPr>
                <w:kern w:val="0"/>
                <w:vertAlign w:val="subscript"/>
              </w:rPr>
              <w:t>P</w:t>
            </w:r>
            <w:r>
              <w:rPr>
                <w:kern w:val="0"/>
              </w:rPr>
              <w:t>(r)为预测点的噪声声压级（dB(A)）预测值</w:t>
            </w:r>
            <w:r>
              <w:rPr>
                <w:rFonts w:hint="eastAsia"/>
                <w:kern w:val="0"/>
              </w:rPr>
              <w:t>；</w:t>
            </w:r>
          </w:p>
          <w:p>
            <w:pPr>
              <w:widowControl w:val="0"/>
              <w:ind w:firstLine="480" w:firstLineChars="200"/>
              <w:rPr>
                <w:lang w:val="en-GB"/>
              </w:rPr>
            </w:pPr>
            <w:r>
              <w:rPr>
                <w:rFonts w:hint="eastAsia"/>
                <w:lang w:val="en-GB"/>
              </w:rPr>
              <w:t>3、</w:t>
            </w:r>
            <w:r>
              <w:rPr>
                <w:lang w:val="en-GB"/>
              </w:rPr>
              <w:t>预测结果及评价</w:t>
            </w:r>
          </w:p>
          <w:p>
            <w:pPr>
              <w:pStyle w:val="44"/>
              <w:widowControl w:val="0"/>
              <w:numPr>
                <w:ilvl w:val="0"/>
                <w:numId w:val="7"/>
              </w:numPr>
              <w:tabs>
                <w:tab w:val="left" w:pos="11"/>
              </w:tabs>
              <w:spacing w:line="240" w:lineRule="auto"/>
              <w:ind w:left="0" w:firstLine="0" w:firstLineChars="0"/>
              <w:jc w:val="center"/>
              <w:rPr>
                <w:b/>
                <w:sz w:val="21"/>
              </w:rPr>
            </w:pPr>
            <w:r>
              <w:rPr>
                <w:b/>
                <w:sz w:val="21"/>
              </w:rPr>
              <w:t>声环境质量影响预测结果一览表</w:t>
            </w:r>
          </w:p>
          <w:tbl>
            <w:tblPr>
              <w:tblStyle w:val="24"/>
              <w:tblW w:w="9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1273"/>
              <w:gridCol w:w="1066"/>
              <w:gridCol w:w="918"/>
              <w:gridCol w:w="920"/>
              <w:gridCol w:w="2296"/>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406" w:type="pct"/>
                  <w:vMerge w:val="restart"/>
                  <w:shd w:val="clear" w:color="auto" w:fill="auto"/>
                  <w:vAlign w:val="center"/>
                </w:tcPr>
                <w:p>
                  <w:pPr>
                    <w:spacing w:line="240" w:lineRule="auto"/>
                    <w:jc w:val="center"/>
                    <w:rPr>
                      <w:sz w:val="21"/>
                      <w:szCs w:val="21"/>
                      <w:lang w:val="en-GB"/>
                    </w:rPr>
                  </w:pPr>
                  <w:r>
                    <w:rPr>
                      <w:sz w:val="21"/>
                      <w:szCs w:val="21"/>
                      <w:lang w:val="en-GB"/>
                    </w:rPr>
                    <w:t>序号</w:t>
                  </w:r>
                </w:p>
              </w:tc>
              <w:tc>
                <w:tcPr>
                  <w:tcW w:w="698" w:type="pct"/>
                  <w:vMerge w:val="restart"/>
                  <w:shd w:val="clear" w:color="auto" w:fill="auto"/>
                  <w:vAlign w:val="center"/>
                </w:tcPr>
                <w:p>
                  <w:pPr>
                    <w:spacing w:line="240" w:lineRule="auto"/>
                    <w:jc w:val="center"/>
                    <w:rPr>
                      <w:sz w:val="21"/>
                      <w:szCs w:val="21"/>
                      <w:lang w:val="en-GB"/>
                    </w:rPr>
                  </w:pPr>
                  <w:r>
                    <w:rPr>
                      <w:sz w:val="21"/>
                      <w:szCs w:val="21"/>
                      <w:lang w:val="en-GB"/>
                    </w:rPr>
                    <w:t>预测点</w:t>
                  </w:r>
                </w:p>
              </w:tc>
              <w:tc>
                <w:tcPr>
                  <w:tcW w:w="584" w:type="pct"/>
                  <w:vMerge w:val="restart"/>
                  <w:shd w:val="clear" w:color="auto" w:fill="auto"/>
                  <w:vAlign w:val="center"/>
                </w:tcPr>
                <w:p>
                  <w:pPr>
                    <w:spacing w:line="240" w:lineRule="auto"/>
                    <w:jc w:val="center"/>
                    <w:rPr>
                      <w:sz w:val="21"/>
                      <w:szCs w:val="21"/>
                      <w:lang w:val="en-GB"/>
                    </w:rPr>
                  </w:pPr>
                  <w:r>
                    <w:rPr>
                      <w:sz w:val="21"/>
                      <w:szCs w:val="21"/>
                      <w:lang w:val="en-GB"/>
                    </w:rPr>
                    <w:t>贡献值</w:t>
                  </w:r>
                </w:p>
              </w:tc>
              <w:tc>
                <w:tcPr>
                  <w:tcW w:w="1007" w:type="pct"/>
                  <w:gridSpan w:val="2"/>
                  <w:shd w:val="clear" w:color="auto" w:fill="auto"/>
                  <w:vAlign w:val="center"/>
                </w:tcPr>
                <w:p>
                  <w:pPr>
                    <w:spacing w:line="240" w:lineRule="auto"/>
                    <w:jc w:val="center"/>
                    <w:rPr>
                      <w:sz w:val="21"/>
                      <w:szCs w:val="21"/>
                      <w:lang w:val="en-GB"/>
                    </w:rPr>
                  </w:pPr>
                  <w:r>
                    <w:rPr>
                      <w:sz w:val="21"/>
                      <w:szCs w:val="21"/>
                      <w:lang w:val="en-GB"/>
                    </w:rPr>
                    <w:t>标准值</w:t>
                  </w:r>
                </w:p>
              </w:tc>
              <w:tc>
                <w:tcPr>
                  <w:tcW w:w="1258" w:type="pct"/>
                  <w:vMerge w:val="restart"/>
                </w:tcPr>
                <w:p>
                  <w:pPr>
                    <w:spacing w:line="240" w:lineRule="auto"/>
                    <w:jc w:val="center"/>
                    <w:rPr>
                      <w:sz w:val="21"/>
                      <w:szCs w:val="21"/>
                      <w:lang w:val="en-GB"/>
                    </w:rPr>
                  </w:pPr>
                  <w:r>
                    <w:rPr>
                      <w:rFonts w:hint="eastAsia"/>
                      <w:sz w:val="21"/>
                      <w:szCs w:val="21"/>
                      <w:lang w:val="en-GB"/>
                    </w:rPr>
                    <w:t>标准名称</w:t>
                  </w:r>
                </w:p>
              </w:tc>
              <w:tc>
                <w:tcPr>
                  <w:tcW w:w="1047" w:type="pct"/>
                  <w:vMerge w:val="restart"/>
                  <w:shd w:val="clear" w:color="auto" w:fill="auto"/>
                  <w:vAlign w:val="center"/>
                </w:tcPr>
                <w:p>
                  <w:pPr>
                    <w:spacing w:line="240" w:lineRule="auto"/>
                    <w:jc w:val="center"/>
                    <w:rPr>
                      <w:sz w:val="21"/>
                      <w:szCs w:val="21"/>
                      <w:lang w:val="en-GB"/>
                    </w:rPr>
                  </w:pPr>
                  <w:r>
                    <w:rPr>
                      <w:rFonts w:hint="eastAsia"/>
                      <w:sz w:val="21"/>
                      <w:szCs w:val="21"/>
                      <w:lang w:val="en-GB"/>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06" w:type="pct"/>
                  <w:vMerge w:val="continue"/>
                  <w:shd w:val="clear" w:color="auto" w:fill="auto"/>
                  <w:vAlign w:val="center"/>
                </w:tcPr>
                <w:p>
                  <w:pPr>
                    <w:spacing w:line="240" w:lineRule="auto"/>
                    <w:jc w:val="center"/>
                    <w:rPr>
                      <w:sz w:val="21"/>
                      <w:szCs w:val="21"/>
                      <w:lang w:val="en-GB"/>
                    </w:rPr>
                  </w:pPr>
                </w:p>
              </w:tc>
              <w:tc>
                <w:tcPr>
                  <w:tcW w:w="698" w:type="pct"/>
                  <w:vMerge w:val="continue"/>
                  <w:shd w:val="clear" w:color="auto" w:fill="auto"/>
                  <w:vAlign w:val="center"/>
                </w:tcPr>
                <w:p>
                  <w:pPr>
                    <w:spacing w:line="240" w:lineRule="auto"/>
                    <w:jc w:val="center"/>
                    <w:rPr>
                      <w:sz w:val="21"/>
                      <w:szCs w:val="21"/>
                      <w:lang w:val="en-GB"/>
                    </w:rPr>
                  </w:pPr>
                </w:p>
              </w:tc>
              <w:tc>
                <w:tcPr>
                  <w:tcW w:w="584" w:type="pct"/>
                  <w:vMerge w:val="continue"/>
                  <w:shd w:val="clear" w:color="auto" w:fill="auto"/>
                  <w:vAlign w:val="center"/>
                </w:tcPr>
                <w:p>
                  <w:pPr>
                    <w:spacing w:line="240" w:lineRule="auto"/>
                    <w:jc w:val="center"/>
                    <w:rPr>
                      <w:sz w:val="21"/>
                      <w:szCs w:val="21"/>
                      <w:lang w:val="en-GB"/>
                    </w:rPr>
                  </w:pPr>
                </w:p>
              </w:tc>
              <w:tc>
                <w:tcPr>
                  <w:tcW w:w="503" w:type="pct"/>
                  <w:shd w:val="clear" w:color="auto" w:fill="auto"/>
                  <w:vAlign w:val="center"/>
                </w:tcPr>
                <w:p>
                  <w:pPr>
                    <w:spacing w:line="240" w:lineRule="auto"/>
                    <w:jc w:val="center"/>
                    <w:rPr>
                      <w:sz w:val="21"/>
                      <w:szCs w:val="21"/>
                      <w:lang w:val="en-GB"/>
                    </w:rPr>
                  </w:pPr>
                  <w:r>
                    <w:rPr>
                      <w:sz w:val="21"/>
                      <w:szCs w:val="21"/>
                      <w:lang w:val="en-GB"/>
                    </w:rPr>
                    <w:t>昼间</w:t>
                  </w:r>
                </w:p>
              </w:tc>
              <w:tc>
                <w:tcPr>
                  <w:tcW w:w="504" w:type="pct"/>
                  <w:shd w:val="clear" w:color="auto" w:fill="auto"/>
                  <w:vAlign w:val="center"/>
                </w:tcPr>
                <w:p>
                  <w:pPr>
                    <w:spacing w:line="240" w:lineRule="auto"/>
                    <w:jc w:val="center"/>
                    <w:rPr>
                      <w:sz w:val="21"/>
                      <w:szCs w:val="21"/>
                      <w:lang w:val="en-GB"/>
                    </w:rPr>
                  </w:pPr>
                  <w:r>
                    <w:rPr>
                      <w:sz w:val="21"/>
                      <w:szCs w:val="21"/>
                      <w:lang w:val="en-GB"/>
                    </w:rPr>
                    <w:t>夜间</w:t>
                  </w:r>
                </w:p>
              </w:tc>
              <w:tc>
                <w:tcPr>
                  <w:tcW w:w="1258" w:type="pct"/>
                  <w:vMerge w:val="continue"/>
                </w:tcPr>
                <w:p>
                  <w:pPr>
                    <w:spacing w:line="240" w:lineRule="auto"/>
                    <w:jc w:val="center"/>
                    <w:rPr>
                      <w:sz w:val="21"/>
                      <w:szCs w:val="21"/>
                      <w:lang w:val="en-GB"/>
                    </w:rPr>
                  </w:pPr>
                </w:p>
              </w:tc>
              <w:tc>
                <w:tcPr>
                  <w:tcW w:w="1047" w:type="pct"/>
                  <w:vMerge w:val="continue"/>
                  <w:shd w:val="clear" w:color="auto" w:fill="auto"/>
                  <w:vAlign w:val="center"/>
                </w:tcPr>
                <w:p>
                  <w:pPr>
                    <w:spacing w:line="240" w:lineRule="auto"/>
                    <w:jc w:val="center"/>
                    <w:rPr>
                      <w:sz w:val="21"/>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06" w:type="pct"/>
                  <w:shd w:val="clear" w:color="auto" w:fill="auto"/>
                  <w:vAlign w:val="center"/>
                </w:tcPr>
                <w:p>
                  <w:pPr>
                    <w:spacing w:line="240" w:lineRule="auto"/>
                    <w:jc w:val="center"/>
                    <w:rPr>
                      <w:sz w:val="21"/>
                      <w:szCs w:val="21"/>
                      <w:lang w:val="en-GB"/>
                    </w:rPr>
                  </w:pPr>
                  <w:r>
                    <w:rPr>
                      <w:sz w:val="21"/>
                      <w:szCs w:val="21"/>
                      <w:lang w:val="en-GB"/>
                    </w:rPr>
                    <w:t>1</w:t>
                  </w:r>
                </w:p>
              </w:tc>
              <w:tc>
                <w:tcPr>
                  <w:tcW w:w="698" w:type="pct"/>
                  <w:shd w:val="clear" w:color="auto" w:fill="auto"/>
                  <w:vAlign w:val="center"/>
                </w:tcPr>
                <w:p>
                  <w:pPr>
                    <w:spacing w:line="240" w:lineRule="auto"/>
                    <w:jc w:val="center"/>
                    <w:rPr>
                      <w:sz w:val="21"/>
                      <w:szCs w:val="21"/>
                      <w:lang w:val="en-GB"/>
                    </w:rPr>
                  </w:pPr>
                  <w:r>
                    <w:rPr>
                      <w:sz w:val="21"/>
                      <w:szCs w:val="21"/>
                      <w:lang w:val="en-GB"/>
                    </w:rPr>
                    <w:t>东侧厂界</w:t>
                  </w:r>
                </w:p>
              </w:tc>
              <w:tc>
                <w:tcPr>
                  <w:tcW w:w="584" w:type="pct"/>
                  <w:shd w:val="clear" w:color="auto" w:fill="auto"/>
                  <w:vAlign w:val="center"/>
                </w:tcPr>
                <w:p>
                  <w:pPr>
                    <w:spacing w:line="240" w:lineRule="auto"/>
                    <w:jc w:val="center"/>
                    <w:rPr>
                      <w:color w:val="000000" w:themeColor="text1"/>
                      <w:sz w:val="21"/>
                      <w:szCs w:val="21"/>
                      <w:lang w:val="en-GB"/>
                      <w14:textFill>
                        <w14:solidFill>
                          <w14:schemeClr w14:val="tx1"/>
                        </w14:solidFill>
                      </w14:textFill>
                    </w:rPr>
                  </w:pPr>
                  <w:r>
                    <w:rPr>
                      <w:color w:val="000000" w:themeColor="text1"/>
                      <w:sz w:val="21"/>
                      <w:szCs w:val="21"/>
                      <w:lang w:val="en-GB"/>
                      <w14:textFill>
                        <w14:solidFill>
                          <w14:schemeClr w14:val="tx1"/>
                        </w14:solidFill>
                      </w14:textFill>
                    </w:rPr>
                    <w:t>2</w:t>
                  </w:r>
                  <w:r>
                    <w:rPr>
                      <w:rFonts w:hint="eastAsia"/>
                      <w:color w:val="000000" w:themeColor="text1"/>
                      <w:sz w:val="21"/>
                      <w:szCs w:val="21"/>
                      <w:lang w:val="en-GB"/>
                      <w14:textFill>
                        <w14:solidFill>
                          <w14:schemeClr w14:val="tx1"/>
                        </w14:solidFill>
                      </w14:textFill>
                    </w:rPr>
                    <w:t>9.1</w:t>
                  </w:r>
                </w:p>
              </w:tc>
              <w:tc>
                <w:tcPr>
                  <w:tcW w:w="503" w:type="pct"/>
                  <w:shd w:val="clear" w:color="auto" w:fill="auto"/>
                  <w:vAlign w:val="center"/>
                </w:tcPr>
                <w:p>
                  <w:pPr>
                    <w:spacing w:line="240" w:lineRule="auto"/>
                    <w:jc w:val="center"/>
                    <w:rPr>
                      <w:sz w:val="21"/>
                      <w:szCs w:val="21"/>
                      <w:lang w:val="en-GB"/>
                    </w:rPr>
                  </w:pPr>
                  <w:r>
                    <w:rPr>
                      <w:sz w:val="21"/>
                      <w:szCs w:val="21"/>
                      <w:lang w:val="en-GB"/>
                    </w:rPr>
                    <w:t>60</w:t>
                  </w:r>
                </w:p>
              </w:tc>
              <w:tc>
                <w:tcPr>
                  <w:tcW w:w="504" w:type="pct"/>
                  <w:shd w:val="clear" w:color="auto" w:fill="auto"/>
                  <w:vAlign w:val="center"/>
                </w:tcPr>
                <w:p>
                  <w:pPr>
                    <w:spacing w:line="240" w:lineRule="auto"/>
                    <w:jc w:val="center"/>
                    <w:rPr>
                      <w:sz w:val="21"/>
                      <w:szCs w:val="21"/>
                      <w:lang w:val="en-GB"/>
                    </w:rPr>
                  </w:pPr>
                  <w:r>
                    <w:rPr>
                      <w:sz w:val="21"/>
                      <w:szCs w:val="21"/>
                      <w:lang w:val="en-GB"/>
                    </w:rPr>
                    <w:t>50</w:t>
                  </w:r>
                </w:p>
              </w:tc>
              <w:tc>
                <w:tcPr>
                  <w:tcW w:w="1258" w:type="pct"/>
                  <w:vMerge w:val="restart"/>
                </w:tcPr>
                <w:p>
                  <w:pPr>
                    <w:spacing w:line="240" w:lineRule="auto"/>
                    <w:jc w:val="center"/>
                    <w:rPr>
                      <w:sz w:val="21"/>
                      <w:szCs w:val="21"/>
                      <w:lang w:val="en-GB"/>
                    </w:rPr>
                  </w:pPr>
                  <w:r>
                    <w:rPr>
                      <w:sz w:val="21"/>
                      <w:szCs w:val="21"/>
                    </w:rPr>
                    <w:t>《工业企业厂界环境噪声排放标准》（GB12348-2008）2类标准</w:t>
                  </w:r>
                </w:p>
              </w:tc>
              <w:tc>
                <w:tcPr>
                  <w:tcW w:w="1047" w:type="pct"/>
                  <w:shd w:val="clear" w:color="auto" w:fill="auto"/>
                  <w:vAlign w:val="center"/>
                </w:tcPr>
                <w:p>
                  <w:pPr>
                    <w:spacing w:line="240" w:lineRule="auto"/>
                    <w:jc w:val="center"/>
                    <w:rPr>
                      <w:sz w:val="21"/>
                      <w:szCs w:val="21"/>
                      <w:lang w:val="en-GB"/>
                    </w:rPr>
                  </w:pPr>
                  <w:r>
                    <w:rPr>
                      <w:sz w:val="21"/>
                      <w:szCs w:val="21"/>
                      <w:lang w:val="en-GB"/>
                    </w:rPr>
                    <w:t>厂界达标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06" w:type="pct"/>
                  <w:shd w:val="clear" w:color="auto" w:fill="auto"/>
                  <w:vAlign w:val="center"/>
                </w:tcPr>
                <w:p>
                  <w:pPr>
                    <w:spacing w:line="240" w:lineRule="auto"/>
                    <w:jc w:val="center"/>
                    <w:rPr>
                      <w:sz w:val="21"/>
                      <w:szCs w:val="21"/>
                      <w:lang w:val="en-GB"/>
                    </w:rPr>
                  </w:pPr>
                  <w:r>
                    <w:rPr>
                      <w:sz w:val="21"/>
                      <w:szCs w:val="21"/>
                      <w:lang w:val="en-GB"/>
                    </w:rPr>
                    <w:t>2</w:t>
                  </w:r>
                </w:p>
              </w:tc>
              <w:tc>
                <w:tcPr>
                  <w:tcW w:w="698" w:type="pct"/>
                  <w:shd w:val="clear" w:color="auto" w:fill="auto"/>
                  <w:vAlign w:val="center"/>
                </w:tcPr>
                <w:p>
                  <w:pPr>
                    <w:spacing w:line="240" w:lineRule="auto"/>
                    <w:jc w:val="center"/>
                    <w:rPr>
                      <w:sz w:val="21"/>
                      <w:szCs w:val="21"/>
                      <w:lang w:val="en-GB"/>
                    </w:rPr>
                  </w:pPr>
                  <w:r>
                    <w:rPr>
                      <w:sz w:val="21"/>
                      <w:szCs w:val="21"/>
                      <w:lang w:val="en-GB"/>
                    </w:rPr>
                    <w:t>南侧厂界</w:t>
                  </w:r>
                </w:p>
              </w:tc>
              <w:tc>
                <w:tcPr>
                  <w:tcW w:w="584" w:type="pct"/>
                  <w:shd w:val="clear" w:color="auto" w:fill="auto"/>
                  <w:vAlign w:val="center"/>
                </w:tcPr>
                <w:p>
                  <w:pPr>
                    <w:spacing w:line="240" w:lineRule="auto"/>
                    <w:jc w:val="center"/>
                    <w:rPr>
                      <w:color w:val="000000" w:themeColor="text1"/>
                      <w:sz w:val="21"/>
                      <w:szCs w:val="21"/>
                      <w:lang w:val="en-GB"/>
                      <w14:textFill>
                        <w14:solidFill>
                          <w14:schemeClr w14:val="tx1"/>
                        </w14:solidFill>
                      </w14:textFill>
                    </w:rPr>
                  </w:pPr>
                  <w:r>
                    <w:rPr>
                      <w:rFonts w:hint="eastAsia"/>
                      <w:color w:val="000000" w:themeColor="text1"/>
                      <w:sz w:val="21"/>
                      <w:szCs w:val="21"/>
                      <w:lang w:val="en-GB"/>
                      <w14:textFill>
                        <w14:solidFill>
                          <w14:schemeClr w14:val="tx1"/>
                        </w14:solidFill>
                      </w14:textFill>
                    </w:rPr>
                    <w:t>2</w:t>
                  </w:r>
                  <w:r>
                    <w:rPr>
                      <w:color w:val="000000" w:themeColor="text1"/>
                      <w:sz w:val="21"/>
                      <w:szCs w:val="21"/>
                      <w:lang w:val="en-GB"/>
                      <w14:textFill>
                        <w14:solidFill>
                          <w14:schemeClr w14:val="tx1"/>
                        </w14:solidFill>
                      </w14:textFill>
                    </w:rPr>
                    <w:t>5</w:t>
                  </w:r>
                  <w:r>
                    <w:rPr>
                      <w:rFonts w:hint="eastAsia"/>
                      <w:color w:val="000000" w:themeColor="text1"/>
                      <w:sz w:val="21"/>
                      <w:szCs w:val="21"/>
                      <w:lang w:val="en-GB"/>
                      <w14:textFill>
                        <w14:solidFill>
                          <w14:schemeClr w14:val="tx1"/>
                        </w14:solidFill>
                      </w14:textFill>
                    </w:rPr>
                    <w:t>.5</w:t>
                  </w:r>
                </w:p>
              </w:tc>
              <w:tc>
                <w:tcPr>
                  <w:tcW w:w="503" w:type="pct"/>
                  <w:shd w:val="clear" w:color="auto" w:fill="auto"/>
                  <w:vAlign w:val="center"/>
                </w:tcPr>
                <w:p>
                  <w:pPr>
                    <w:spacing w:line="240" w:lineRule="auto"/>
                    <w:jc w:val="center"/>
                    <w:rPr>
                      <w:sz w:val="21"/>
                      <w:szCs w:val="21"/>
                      <w:lang w:val="en-GB"/>
                    </w:rPr>
                  </w:pPr>
                  <w:r>
                    <w:rPr>
                      <w:sz w:val="21"/>
                      <w:szCs w:val="21"/>
                      <w:lang w:val="en-GB"/>
                    </w:rPr>
                    <w:t>60</w:t>
                  </w:r>
                </w:p>
              </w:tc>
              <w:tc>
                <w:tcPr>
                  <w:tcW w:w="504" w:type="pct"/>
                  <w:shd w:val="clear" w:color="auto" w:fill="auto"/>
                  <w:vAlign w:val="center"/>
                </w:tcPr>
                <w:p>
                  <w:pPr>
                    <w:spacing w:line="240" w:lineRule="auto"/>
                    <w:jc w:val="center"/>
                    <w:rPr>
                      <w:sz w:val="21"/>
                      <w:szCs w:val="21"/>
                      <w:lang w:val="en-GB"/>
                    </w:rPr>
                  </w:pPr>
                  <w:r>
                    <w:rPr>
                      <w:sz w:val="21"/>
                      <w:szCs w:val="21"/>
                      <w:lang w:val="en-GB"/>
                    </w:rPr>
                    <w:t>50</w:t>
                  </w:r>
                </w:p>
              </w:tc>
              <w:tc>
                <w:tcPr>
                  <w:tcW w:w="1258" w:type="pct"/>
                  <w:vMerge w:val="continue"/>
                </w:tcPr>
                <w:p>
                  <w:pPr>
                    <w:spacing w:line="240" w:lineRule="auto"/>
                    <w:jc w:val="center"/>
                    <w:rPr>
                      <w:sz w:val="21"/>
                      <w:szCs w:val="21"/>
                      <w:lang w:val="en-GB"/>
                    </w:rPr>
                  </w:pPr>
                </w:p>
              </w:tc>
              <w:tc>
                <w:tcPr>
                  <w:tcW w:w="1047" w:type="pct"/>
                  <w:shd w:val="clear" w:color="auto" w:fill="auto"/>
                  <w:vAlign w:val="center"/>
                </w:tcPr>
                <w:p>
                  <w:pPr>
                    <w:spacing w:line="240" w:lineRule="auto"/>
                    <w:jc w:val="center"/>
                    <w:rPr>
                      <w:sz w:val="21"/>
                      <w:szCs w:val="21"/>
                      <w:lang w:val="en-GB"/>
                    </w:rPr>
                  </w:pPr>
                  <w:r>
                    <w:rPr>
                      <w:sz w:val="21"/>
                      <w:szCs w:val="21"/>
                      <w:lang w:val="en-GB"/>
                    </w:rPr>
                    <w:t>厂界达标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06" w:type="pct"/>
                  <w:shd w:val="clear" w:color="auto" w:fill="auto"/>
                  <w:vAlign w:val="center"/>
                </w:tcPr>
                <w:p>
                  <w:pPr>
                    <w:spacing w:line="240" w:lineRule="auto"/>
                    <w:jc w:val="center"/>
                    <w:rPr>
                      <w:sz w:val="21"/>
                      <w:szCs w:val="21"/>
                      <w:lang w:val="en-GB"/>
                    </w:rPr>
                  </w:pPr>
                  <w:r>
                    <w:rPr>
                      <w:sz w:val="21"/>
                      <w:szCs w:val="21"/>
                      <w:lang w:val="en-GB"/>
                    </w:rPr>
                    <w:t>3</w:t>
                  </w:r>
                </w:p>
              </w:tc>
              <w:tc>
                <w:tcPr>
                  <w:tcW w:w="698" w:type="pct"/>
                  <w:shd w:val="clear" w:color="auto" w:fill="auto"/>
                  <w:vAlign w:val="center"/>
                </w:tcPr>
                <w:p>
                  <w:pPr>
                    <w:spacing w:line="240" w:lineRule="auto"/>
                    <w:jc w:val="center"/>
                    <w:rPr>
                      <w:sz w:val="21"/>
                      <w:szCs w:val="21"/>
                      <w:lang w:val="en-GB"/>
                    </w:rPr>
                  </w:pPr>
                  <w:r>
                    <w:rPr>
                      <w:sz w:val="21"/>
                      <w:szCs w:val="21"/>
                      <w:lang w:val="en-GB"/>
                    </w:rPr>
                    <w:t>西侧厂界</w:t>
                  </w:r>
                </w:p>
              </w:tc>
              <w:tc>
                <w:tcPr>
                  <w:tcW w:w="584" w:type="pct"/>
                  <w:shd w:val="clear" w:color="auto" w:fill="auto"/>
                  <w:vAlign w:val="center"/>
                </w:tcPr>
                <w:p>
                  <w:pPr>
                    <w:spacing w:line="240" w:lineRule="auto"/>
                    <w:jc w:val="center"/>
                    <w:rPr>
                      <w:color w:val="000000" w:themeColor="text1"/>
                      <w:sz w:val="21"/>
                      <w:szCs w:val="21"/>
                      <w:lang w:val="en-GB"/>
                      <w14:textFill>
                        <w14:solidFill>
                          <w14:schemeClr w14:val="tx1"/>
                        </w14:solidFill>
                      </w14:textFill>
                    </w:rPr>
                  </w:pPr>
                  <w:r>
                    <w:rPr>
                      <w:color w:val="000000" w:themeColor="text1"/>
                      <w:sz w:val="21"/>
                      <w:szCs w:val="21"/>
                      <w:lang w:val="en-GB"/>
                      <w14:textFill>
                        <w14:solidFill>
                          <w14:schemeClr w14:val="tx1"/>
                        </w14:solidFill>
                      </w14:textFill>
                    </w:rPr>
                    <w:t>36</w:t>
                  </w:r>
                  <w:r>
                    <w:rPr>
                      <w:rFonts w:hint="eastAsia"/>
                      <w:color w:val="000000" w:themeColor="text1"/>
                      <w:sz w:val="21"/>
                      <w:szCs w:val="21"/>
                      <w:lang w:val="en-GB"/>
                      <w14:textFill>
                        <w14:solidFill>
                          <w14:schemeClr w14:val="tx1"/>
                        </w14:solidFill>
                      </w14:textFill>
                    </w:rPr>
                    <w:t>4</w:t>
                  </w:r>
                </w:p>
              </w:tc>
              <w:tc>
                <w:tcPr>
                  <w:tcW w:w="503" w:type="pct"/>
                  <w:shd w:val="clear" w:color="auto" w:fill="auto"/>
                  <w:vAlign w:val="center"/>
                </w:tcPr>
                <w:p>
                  <w:pPr>
                    <w:spacing w:line="240" w:lineRule="auto"/>
                    <w:jc w:val="center"/>
                    <w:rPr>
                      <w:sz w:val="21"/>
                      <w:szCs w:val="21"/>
                      <w:lang w:val="en-GB"/>
                    </w:rPr>
                  </w:pPr>
                  <w:r>
                    <w:rPr>
                      <w:sz w:val="21"/>
                      <w:szCs w:val="21"/>
                      <w:lang w:val="en-GB"/>
                    </w:rPr>
                    <w:t>60</w:t>
                  </w:r>
                </w:p>
              </w:tc>
              <w:tc>
                <w:tcPr>
                  <w:tcW w:w="504" w:type="pct"/>
                  <w:shd w:val="clear" w:color="auto" w:fill="auto"/>
                  <w:vAlign w:val="center"/>
                </w:tcPr>
                <w:p>
                  <w:pPr>
                    <w:spacing w:line="240" w:lineRule="auto"/>
                    <w:jc w:val="center"/>
                    <w:rPr>
                      <w:sz w:val="21"/>
                      <w:szCs w:val="21"/>
                      <w:lang w:val="en-GB"/>
                    </w:rPr>
                  </w:pPr>
                  <w:r>
                    <w:rPr>
                      <w:sz w:val="21"/>
                      <w:szCs w:val="21"/>
                      <w:lang w:val="en-GB"/>
                    </w:rPr>
                    <w:t>50</w:t>
                  </w:r>
                </w:p>
              </w:tc>
              <w:tc>
                <w:tcPr>
                  <w:tcW w:w="1258" w:type="pct"/>
                  <w:vMerge w:val="continue"/>
                </w:tcPr>
                <w:p>
                  <w:pPr>
                    <w:spacing w:line="240" w:lineRule="auto"/>
                    <w:jc w:val="center"/>
                    <w:rPr>
                      <w:sz w:val="21"/>
                      <w:szCs w:val="21"/>
                      <w:lang w:val="en-GB"/>
                    </w:rPr>
                  </w:pPr>
                </w:p>
              </w:tc>
              <w:tc>
                <w:tcPr>
                  <w:tcW w:w="1047" w:type="pct"/>
                  <w:shd w:val="clear" w:color="auto" w:fill="auto"/>
                  <w:vAlign w:val="center"/>
                </w:tcPr>
                <w:p>
                  <w:pPr>
                    <w:spacing w:line="240" w:lineRule="auto"/>
                    <w:jc w:val="center"/>
                    <w:rPr>
                      <w:sz w:val="21"/>
                      <w:szCs w:val="21"/>
                      <w:lang w:val="en-GB"/>
                    </w:rPr>
                  </w:pPr>
                  <w:r>
                    <w:rPr>
                      <w:sz w:val="21"/>
                      <w:szCs w:val="21"/>
                      <w:lang w:val="en-GB"/>
                    </w:rPr>
                    <w:t>厂界达标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06" w:type="pct"/>
                  <w:shd w:val="clear" w:color="auto" w:fill="auto"/>
                  <w:vAlign w:val="center"/>
                </w:tcPr>
                <w:p>
                  <w:pPr>
                    <w:spacing w:line="240" w:lineRule="auto"/>
                    <w:jc w:val="center"/>
                    <w:rPr>
                      <w:sz w:val="21"/>
                      <w:szCs w:val="21"/>
                      <w:lang w:val="en-GB"/>
                    </w:rPr>
                  </w:pPr>
                  <w:r>
                    <w:rPr>
                      <w:sz w:val="21"/>
                      <w:szCs w:val="21"/>
                      <w:lang w:val="en-GB"/>
                    </w:rPr>
                    <w:t>4</w:t>
                  </w:r>
                </w:p>
              </w:tc>
              <w:tc>
                <w:tcPr>
                  <w:tcW w:w="698" w:type="pct"/>
                  <w:shd w:val="clear" w:color="auto" w:fill="auto"/>
                  <w:vAlign w:val="center"/>
                </w:tcPr>
                <w:p>
                  <w:pPr>
                    <w:spacing w:line="240" w:lineRule="auto"/>
                    <w:jc w:val="center"/>
                    <w:rPr>
                      <w:sz w:val="21"/>
                      <w:szCs w:val="21"/>
                      <w:lang w:val="en-GB"/>
                    </w:rPr>
                  </w:pPr>
                  <w:r>
                    <w:rPr>
                      <w:sz w:val="21"/>
                      <w:szCs w:val="21"/>
                      <w:lang w:val="en-GB"/>
                    </w:rPr>
                    <w:t>北侧厂界</w:t>
                  </w:r>
                </w:p>
              </w:tc>
              <w:tc>
                <w:tcPr>
                  <w:tcW w:w="584" w:type="pct"/>
                  <w:shd w:val="clear" w:color="auto" w:fill="auto"/>
                  <w:vAlign w:val="center"/>
                </w:tcPr>
                <w:p>
                  <w:pPr>
                    <w:spacing w:line="240" w:lineRule="auto"/>
                    <w:jc w:val="center"/>
                    <w:rPr>
                      <w:color w:val="000000" w:themeColor="text1"/>
                      <w:sz w:val="21"/>
                      <w:szCs w:val="21"/>
                      <w:lang w:val="en-GB"/>
                      <w14:textFill>
                        <w14:solidFill>
                          <w14:schemeClr w14:val="tx1"/>
                        </w14:solidFill>
                      </w14:textFill>
                    </w:rPr>
                  </w:pPr>
                  <w:r>
                    <w:rPr>
                      <w:color w:val="000000" w:themeColor="text1"/>
                      <w:sz w:val="21"/>
                      <w:szCs w:val="21"/>
                      <w:lang w:val="en-GB"/>
                      <w14:textFill>
                        <w14:solidFill>
                          <w14:schemeClr w14:val="tx1"/>
                        </w14:solidFill>
                      </w14:textFill>
                    </w:rPr>
                    <w:t>3</w:t>
                  </w:r>
                  <w:r>
                    <w:rPr>
                      <w:rFonts w:hint="eastAsia"/>
                      <w:color w:val="000000" w:themeColor="text1"/>
                      <w:sz w:val="21"/>
                      <w:szCs w:val="21"/>
                      <w:lang w:val="en-GB"/>
                      <w14:textFill>
                        <w14:solidFill>
                          <w14:schemeClr w14:val="tx1"/>
                        </w14:solidFill>
                      </w14:textFill>
                    </w:rPr>
                    <w:t>8.7</w:t>
                  </w:r>
                </w:p>
              </w:tc>
              <w:tc>
                <w:tcPr>
                  <w:tcW w:w="503" w:type="pct"/>
                  <w:shd w:val="clear" w:color="auto" w:fill="auto"/>
                  <w:vAlign w:val="center"/>
                </w:tcPr>
                <w:p>
                  <w:pPr>
                    <w:spacing w:line="240" w:lineRule="auto"/>
                    <w:jc w:val="center"/>
                    <w:rPr>
                      <w:sz w:val="21"/>
                      <w:szCs w:val="21"/>
                      <w:lang w:val="en-GB"/>
                    </w:rPr>
                  </w:pPr>
                  <w:r>
                    <w:rPr>
                      <w:sz w:val="21"/>
                      <w:szCs w:val="21"/>
                      <w:lang w:val="en-GB"/>
                    </w:rPr>
                    <w:t>60</w:t>
                  </w:r>
                </w:p>
              </w:tc>
              <w:tc>
                <w:tcPr>
                  <w:tcW w:w="504" w:type="pct"/>
                  <w:shd w:val="clear" w:color="auto" w:fill="auto"/>
                  <w:vAlign w:val="center"/>
                </w:tcPr>
                <w:p>
                  <w:pPr>
                    <w:spacing w:line="240" w:lineRule="auto"/>
                    <w:jc w:val="center"/>
                    <w:rPr>
                      <w:sz w:val="21"/>
                      <w:szCs w:val="21"/>
                      <w:lang w:val="en-GB"/>
                    </w:rPr>
                  </w:pPr>
                  <w:r>
                    <w:rPr>
                      <w:sz w:val="21"/>
                      <w:szCs w:val="21"/>
                      <w:lang w:val="en-GB"/>
                    </w:rPr>
                    <w:t>50</w:t>
                  </w:r>
                </w:p>
              </w:tc>
              <w:tc>
                <w:tcPr>
                  <w:tcW w:w="1258" w:type="pct"/>
                  <w:vMerge w:val="continue"/>
                </w:tcPr>
                <w:p>
                  <w:pPr>
                    <w:spacing w:line="240" w:lineRule="auto"/>
                    <w:jc w:val="center"/>
                    <w:rPr>
                      <w:sz w:val="21"/>
                      <w:szCs w:val="21"/>
                      <w:lang w:val="en-GB"/>
                    </w:rPr>
                  </w:pPr>
                </w:p>
              </w:tc>
              <w:tc>
                <w:tcPr>
                  <w:tcW w:w="1047" w:type="pct"/>
                  <w:shd w:val="clear" w:color="auto" w:fill="auto"/>
                  <w:vAlign w:val="center"/>
                </w:tcPr>
                <w:p>
                  <w:pPr>
                    <w:spacing w:line="240" w:lineRule="auto"/>
                    <w:jc w:val="center"/>
                    <w:rPr>
                      <w:sz w:val="21"/>
                      <w:szCs w:val="21"/>
                      <w:lang w:val="en-GB"/>
                    </w:rPr>
                  </w:pPr>
                  <w:r>
                    <w:rPr>
                      <w:sz w:val="21"/>
                      <w:szCs w:val="21"/>
                      <w:lang w:val="en-GB"/>
                    </w:rPr>
                    <w:t>厂界达标</w:t>
                  </w:r>
                </w:p>
              </w:tc>
            </w:tr>
          </w:tbl>
          <w:p>
            <w:pPr>
              <w:widowControl w:val="0"/>
              <w:ind w:firstLine="480" w:firstLineChars="200"/>
            </w:pPr>
            <w:r>
              <w:rPr>
                <w:rFonts w:hint="eastAsia"/>
              </w:rPr>
              <w:t>注：项目夜间不进行生产；</w:t>
            </w:r>
          </w:p>
          <w:p>
            <w:pPr>
              <w:widowControl w:val="0"/>
              <w:ind w:firstLine="480" w:firstLineChars="200"/>
            </w:pPr>
            <w:r>
              <w:t>由预测结果知，本项目设备运行噪声在厂界噪声可满足《工业企业厂界环境噪声排放标准》 （GB12348-2008）2类标准限值要求</w:t>
            </w:r>
            <w:r>
              <w:rPr>
                <w:rFonts w:hint="eastAsia"/>
                <w:lang w:val="en-GB"/>
              </w:rPr>
              <w:t>。</w:t>
            </w:r>
          </w:p>
          <w:p>
            <w:pPr>
              <w:widowControl w:val="0"/>
              <w:ind w:firstLine="480" w:firstLineChars="200"/>
            </w:pPr>
            <w:r>
              <w:t>2、运输车辆噪声</w:t>
            </w:r>
          </w:p>
          <w:p>
            <w:pPr>
              <w:widowControl w:val="0"/>
              <w:ind w:firstLine="480" w:firstLineChars="200"/>
            </w:pPr>
            <w:r>
              <w:t>项目建成使用后，运输的产品的</w:t>
            </w:r>
            <w:r>
              <w:rPr>
                <w:spacing w:val="10"/>
                <w:lang w:val="sq-AL"/>
              </w:rPr>
              <w:t>车辆产生的交通噪声，</w:t>
            </w:r>
            <w:r>
              <w:t>对运输沿线声环境产生一定的影响，建设方应加强车辆管理，优化运输路线，要求车辆不可超载</w:t>
            </w:r>
            <w:r>
              <w:rPr>
                <w:rFonts w:hint="eastAsia"/>
              </w:rPr>
              <w:t>，</w:t>
            </w:r>
            <w:r>
              <w:t>在行驶过程中途经居民点时应减速慢行，禁止鸣笛，夜间进行运输作业时应规定行驶速度不超过40km/h，采取上述措施后对当地声环境影响较小。</w:t>
            </w:r>
          </w:p>
          <w:p>
            <w:pPr>
              <w:widowControl w:val="0"/>
              <w:ind w:firstLine="480" w:firstLineChars="200"/>
              <w:rPr>
                <w:b/>
                <w:bCs/>
              </w:rPr>
            </w:pPr>
            <w:r>
              <w:rPr>
                <w:b/>
                <w:bCs/>
              </w:rPr>
              <w:t>四、固体废弃物环境影响分析</w:t>
            </w:r>
          </w:p>
          <w:p>
            <w:pPr>
              <w:widowControl w:val="0"/>
              <w:ind w:firstLine="480" w:firstLineChars="200"/>
            </w:pPr>
            <w:r>
              <w:t>本项目产生的固体废物主要包括：一般工业固废（沉淀池底</w:t>
            </w:r>
            <w:r>
              <w:rPr>
                <w:rFonts w:hint="eastAsia"/>
              </w:rPr>
              <w:t>渣</w:t>
            </w:r>
            <w:r>
              <w:t>）</w:t>
            </w:r>
            <w:r>
              <w:rPr>
                <w:rFonts w:hint="eastAsia"/>
              </w:rPr>
              <w:t>、</w:t>
            </w:r>
            <w:r>
              <w:t>危险废物（废机油及含油废弃物）和生活垃圾。本项目固体废物分析结果汇总见表</w:t>
            </w:r>
            <w:r>
              <w:rPr>
                <w:rFonts w:hint="eastAsia"/>
              </w:rPr>
              <w:t>7-1</w:t>
            </w:r>
            <w:r>
              <w:t>5。</w:t>
            </w:r>
          </w:p>
          <w:p>
            <w:pPr>
              <w:pStyle w:val="44"/>
              <w:widowControl w:val="0"/>
              <w:numPr>
                <w:ilvl w:val="0"/>
                <w:numId w:val="7"/>
              </w:numPr>
              <w:tabs>
                <w:tab w:val="left" w:pos="11"/>
              </w:tabs>
              <w:spacing w:line="240" w:lineRule="auto"/>
              <w:ind w:left="0" w:firstLine="0" w:firstLineChars="0"/>
              <w:jc w:val="center"/>
              <w:rPr>
                <w:b/>
                <w:bCs/>
                <w:sz w:val="21"/>
                <w:szCs w:val="21"/>
              </w:rPr>
            </w:pPr>
            <w:r>
              <w:rPr>
                <w:b/>
                <w:bCs/>
                <w:sz w:val="21"/>
                <w:szCs w:val="21"/>
              </w:rPr>
              <w:t>本项目固体废物分析结果汇总表</w:t>
            </w:r>
          </w:p>
          <w:tbl>
            <w:tblPr>
              <w:tblStyle w:val="24"/>
              <w:tblW w:w="9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3"/>
              <w:gridCol w:w="1844"/>
              <w:gridCol w:w="851"/>
              <w:gridCol w:w="1417"/>
              <w:gridCol w:w="1559"/>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633" w:type="pct"/>
                  <w:vAlign w:val="center"/>
                </w:tcPr>
                <w:p>
                  <w:pPr>
                    <w:spacing w:line="240" w:lineRule="auto"/>
                    <w:jc w:val="center"/>
                    <w:rPr>
                      <w:kern w:val="0"/>
                      <w:sz w:val="21"/>
                      <w:szCs w:val="21"/>
                    </w:rPr>
                  </w:pPr>
                  <w:r>
                    <w:rPr>
                      <w:kern w:val="0"/>
                      <w:sz w:val="21"/>
                      <w:szCs w:val="21"/>
                    </w:rPr>
                    <w:t>类别</w:t>
                  </w:r>
                </w:p>
              </w:tc>
              <w:tc>
                <w:tcPr>
                  <w:tcW w:w="1003" w:type="pct"/>
                  <w:vAlign w:val="center"/>
                </w:tcPr>
                <w:p>
                  <w:pPr>
                    <w:spacing w:line="240" w:lineRule="auto"/>
                    <w:jc w:val="center"/>
                    <w:rPr>
                      <w:kern w:val="0"/>
                      <w:sz w:val="21"/>
                      <w:szCs w:val="21"/>
                    </w:rPr>
                  </w:pPr>
                  <w:r>
                    <w:rPr>
                      <w:kern w:val="0"/>
                      <w:sz w:val="21"/>
                      <w:szCs w:val="21"/>
                    </w:rPr>
                    <w:t>名称</w:t>
                  </w:r>
                </w:p>
              </w:tc>
              <w:tc>
                <w:tcPr>
                  <w:tcW w:w="463" w:type="pct"/>
                  <w:vAlign w:val="center"/>
                </w:tcPr>
                <w:p>
                  <w:pPr>
                    <w:spacing w:line="240" w:lineRule="auto"/>
                    <w:jc w:val="center"/>
                    <w:rPr>
                      <w:sz w:val="21"/>
                      <w:szCs w:val="21"/>
                    </w:rPr>
                  </w:pPr>
                  <w:r>
                    <w:rPr>
                      <w:kern w:val="0"/>
                      <w:sz w:val="21"/>
                      <w:szCs w:val="21"/>
                    </w:rPr>
                    <w:t>形态</w:t>
                  </w:r>
                </w:p>
              </w:tc>
              <w:tc>
                <w:tcPr>
                  <w:tcW w:w="771" w:type="pct"/>
                  <w:vAlign w:val="center"/>
                </w:tcPr>
                <w:p>
                  <w:pPr>
                    <w:autoSpaceDE w:val="0"/>
                    <w:autoSpaceDN w:val="0"/>
                    <w:spacing w:line="240" w:lineRule="auto"/>
                    <w:jc w:val="center"/>
                    <w:rPr>
                      <w:kern w:val="0"/>
                      <w:sz w:val="21"/>
                      <w:szCs w:val="21"/>
                    </w:rPr>
                  </w:pPr>
                  <w:r>
                    <w:rPr>
                      <w:kern w:val="0"/>
                      <w:sz w:val="21"/>
                      <w:szCs w:val="21"/>
                    </w:rPr>
                    <w:t>废物代码</w:t>
                  </w:r>
                </w:p>
              </w:tc>
              <w:tc>
                <w:tcPr>
                  <w:tcW w:w="848" w:type="pct"/>
                  <w:vAlign w:val="center"/>
                </w:tcPr>
                <w:p>
                  <w:pPr>
                    <w:autoSpaceDE w:val="0"/>
                    <w:autoSpaceDN w:val="0"/>
                    <w:spacing w:line="240" w:lineRule="auto"/>
                    <w:jc w:val="center"/>
                    <w:rPr>
                      <w:kern w:val="0"/>
                      <w:sz w:val="21"/>
                      <w:szCs w:val="21"/>
                    </w:rPr>
                  </w:pPr>
                  <w:r>
                    <w:rPr>
                      <w:kern w:val="0"/>
                      <w:sz w:val="21"/>
                      <w:szCs w:val="21"/>
                    </w:rPr>
                    <w:t>产生量（t/a）</w:t>
                  </w:r>
                </w:p>
              </w:tc>
              <w:tc>
                <w:tcPr>
                  <w:tcW w:w="1282" w:type="pct"/>
                  <w:vAlign w:val="center"/>
                </w:tcPr>
                <w:p>
                  <w:pPr>
                    <w:autoSpaceDE w:val="0"/>
                    <w:autoSpaceDN w:val="0"/>
                    <w:spacing w:line="240" w:lineRule="auto"/>
                    <w:jc w:val="center"/>
                    <w:rPr>
                      <w:sz w:val="21"/>
                      <w:szCs w:val="21"/>
                    </w:rPr>
                  </w:pPr>
                  <w:r>
                    <w:rPr>
                      <w:kern w:val="0"/>
                      <w:sz w:val="21"/>
                      <w:szCs w:val="21"/>
                    </w:rPr>
                    <w:t>处置方法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633" w:type="pct"/>
                  <w:vAlign w:val="center"/>
                </w:tcPr>
                <w:p>
                  <w:pPr>
                    <w:spacing w:line="240" w:lineRule="auto"/>
                    <w:jc w:val="center"/>
                    <w:rPr>
                      <w:kern w:val="0"/>
                      <w:sz w:val="21"/>
                      <w:szCs w:val="21"/>
                    </w:rPr>
                  </w:pPr>
                  <w:r>
                    <w:rPr>
                      <w:kern w:val="0"/>
                      <w:sz w:val="21"/>
                      <w:szCs w:val="21"/>
                    </w:rPr>
                    <w:t>一般工业固废</w:t>
                  </w:r>
                </w:p>
              </w:tc>
              <w:tc>
                <w:tcPr>
                  <w:tcW w:w="1003" w:type="pct"/>
                  <w:vAlign w:val="center"/>
                </w:tcPr>
                <w:p>
                  <w:pPr>
                    <w:spacing w:line="240" w:lineRule="auto"/>
                    <w:jc w:val="center"/>
                    <w:rPr>
                      <w:kern w:val="0"/>
                      <w:sz w:val="21"/>
                      <w:szCs w:val="21"/>
                    </w:rPr>
                  </w:pPr>
                  <w:r>
                    <w:rPr>
                      <w:kern w:val="0"/>
                      <w:sz w:val="21"/>
                      <w:szCs w:val="21"/>
                    </w:rPr>
                    <w:t>沉淀池</w:t>
                  </w:r>
                  <w:r>
                    <w:rPr>
                      <w:rFonts w:hint="eastAsia"/>
                      <w:kern w:val="0"/>
                      <w:sz w:val="21"/>
                      <w:szCs w:val="21"/>
                    </w:rPr>
                    <w:t>底渣</w:t>
                  </w:r>
                </w:p>
              </w:tc>
              <w:tc>
                <w:tcPr>
                  <w:tcW w:w="463" w:type="pct"/>
                  <w:vAlign w:val="center"/>
                </w:tcPr>
                <w:p>
                  <w:pPr>
                    <w:spacing w:line="240" w:lineRule="auto"/>
                    <w:jc w:val="center"/>
                    <w:rPr>
                      <w:kern w:val="0"/>
                      <w:sz w:val="21"/>
                      <w:szCs w:val="21"/>
                    </w:rPr>
                  </w:pPr>
                  <w:r>
                    <w:rPr>
                      <w:kern w:val="0"/>
                      <w:sz w:val="21"/>
                      <w:szCs w:val="21"/>
                    </w:rPr>
                    <w:t>固态</w:t>
                  </w:r>
                </w:p>
              </w:tc>
              <w:tc>
                <w:tcPr>
                  <w:tcW w:w="771" w:type="pct"/>
                  <w:vAlign w:val="center"/>
                </w:tcPr>
                <w:p>
                  <w:pPr>
                    <w:spacing w:line="240" w:lineRule="auto"/>
                    <w:jc w:val="center"/>
                    <w:rPr>
                      <w:sz w:val="21"/>
                      <w:szCs w:val="21"/>
                    </w:rPr>
                  </w:pPr>
                  <w:r>
                    <w:rPr>
                      <w:sz w:val="21"/>
                      <w:szCs w:val="21"/>
                    </w:rPr>
                    <w:t>/</w:t>
                  </w:r>
                </w:p>
              </w:tc>
              <w:tc>
                <w:tcPr>
                  <w:tcW w:w="848" w:type="pct"/>
                  <w:vAlign w:val="center"/>
                </w:tcPr>
                <w:p>
                  <w:pPr>
                    <w:spacing w:line="240" w:lineRule="auto"/>
                    <w:jc w:val="center"/>
                    <w:rPr>
                      <w:sz w:val="21"/>
                      <w:szCs w:val="21"/>
                    </w:rPr>
                  </w:pPr>
                  <w:r>
                    <w:rPr>
                      <w:sz w:val="21"/>
                      <w:szCs w:val="21"/>
                      <w:highlight w:val="green"/>
                    </w:rPr>
                    <w:t>3</w:t>
                  </w:r>
                  <w:r>
                    <w:rPr>
                      <w:rFonts w:hint="eastAsia"/>
                      <w:sz w:val="21"/>
                      <w:szCs w:val="21"/>
                      <w:highlight w:val="green"/>
                    </w:rPr>
                    <w:t>0</w:t>
                  </w:r>
                </w:p>
              </w:tc>
              <w:tc>
                <w:tcPr>
                  <w:tcW w:w="1282" w:type="pct"/>
                  <w:vAlign w:val="center"/>
                </w:tcPr>
                <w:p>
                  <w:pPr>
                    <w:spacing w:line="240" w:lineRule="auto"/>
                    <w:jc w:val="center"/>
                    <w:rPr>
                      <w:sz w:val="21"/>
                      <w:szCs w:val="21"/>
                    </w:rPr>
                  </w:pPr>
                  <w:r>
                    <w:rPr>
                      <w:rFonts w:hint="eastAsia"/>
                      <w:sz w:val="21"/>
                      <w:szCs w:val="21"/>
                    </w:rPr>
                    <w:t>泥浆压滤机</w:t>
                  </w:r>
                  <w:r>
                    <w:rPr>
                      <w:sz w:val="21"/>
                      <w:szCs w:val="21"/>
                    </w:rPr>
                    <w:t>压滤成泥饼</w:t>
                  </w:r>
                  <w:r>
                    <w:rPr>
                      <w:rFonts w:hint="eastAsia"/>
                      <w:sz w:val="21"/>
                      <w:szCs w:val="21"/>
                    </w:rPr>
                    <w:t>，</w:t>
                  </w:r>
                  <w:r>
                    <w:rPr>
                      <w:rFonts w:hint="eastAsia"/>
                      <w:bCs/>
                      <w:sz w:val="21"/>
                      <w:szCs w:val="21"/>
                    </w:rPr>
                    <w:t>弃渣场</w:t>
                  </w:r>
                  <w:r>
                    <w:rPr>
                      <w:bCs/>
                      <w:sz w:val="21"/>
                      <w:szCs w:val="21"/>
                    </w:rPr>
                    <w:t>妥善处置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633" w:type="pct"/>
                  <w:vMerge w:val="restart"/>
                  <w:vAlign w:val="center"/>
                </w:tcPr>
                <w:p>
                  <w:pPr>
                    <w:spacing w:line="240" w:lineRule="auto"/>
                    <w:jc w:val="center"/>
                    <w:rPr>
                      <w:kern w:val="0"/>
                      <w:sz w:val="21"/>
                      <w:szCs w:val="21"/>
                    </w:rPr>
                  </w:pPr>
                  <w:r>
                    <w:rPr>
                      <w:kern w:val="0"/>
                      <w:sz w:val="21"/>
                      <w:szCs w:val="21"/>
                    </w:rPr>
                    <w:t>危险废物</w:t>
                  </w:r>
                </w:p>
              </w:tc>
              <w:tc>
                <w:tcPr>
                  <w:tcW w:w="1003" w:type="pct"/>
                  <w:vAlign w:val="center"/>
                </w:tcPr>
                <w:p>
                  <w:pPr>
                    <w:spacing w:line="240" w:lineRule="auto"/>
                    <w:jc w:val="center"/>
                    <w:rPr>
                      <w:kern w:val="0"/>
                      <w:sz w:val="21"/>
                      <w:szCs w:val="21"/>
                    </w:rPr>
                  </w:pPr>
                  <w:r>
                    <w:rPr>
                      <w:kern w:val="0"/>
                      <w:sz w:val="21"/>
                      <w:szCs w:val="21"/>
                    </w:rPr>
                    <w:t>废机油</w:t>
                  </w:r>
                  <w:r>
                    <w:rPr>
                      <w:rFonts w:hint="eastAsia"/>
                      <w:kern w:val="0"/>
                      <w:sz w:val="21"/>
                      <w:szCs w:val="21"/>
                    </w:rPr>
                    <w:t>（HW08）</w:t>
                  </w:r>
                </w:p>
              </w:tc>
              <w:tc>
                <w:tcPr>
                  <w:tcW w:w="463" w:type="pct"/>
                  <w:vAlign w:val="center"/>
                </w:tcPr>
                <w:p>
                  <w:pPr>
                    <w:spacing w:line="240" w:lineRule="auto"/>
                    <w:jc w:val="center"/>
                    <w:rPr>
                      <w:kern w:val="0"/>
                      <w:sz w:val="21"/>
                      <w:szCs w:val="21"/>
                    </w:rPr>
                  </w:pPr>
                  <w:r>
                    <w:rPr>
                      <w:kern w:val="0"/>
                      <w:sz w:val="21"/>
                      <w:szCs w:val="21"/>
                    </w:rPr>
                    <w:t>液态</w:t>
                  </w:r>
                </w:p>
              </w:tc>
              <w:tc>
                <w:tcPr>
                  <w:tcW w:w="771" w:type="pct"/>
                  <w:vAlign w:val="center"/>
                </w:tcPr>
                <w:p>
                  <w:pPr>
                    <w:spacing w:line="240" w:lineRule="auto"/>
                    <w:jc w:val="center"/>
                    <w:rPr>
                      <w:sz w:val="21"/>
                      <w:szCs w:val="21"/>
                    </w:rPr>
                  </w:pPr>
                  <w:r>
                    <w:rPr>
                      <w:sz w:val="21"/>
                      <w:szCs w:val="21"/>
                    </w:rPr>
                    <w:t>900-214-08</w:t>
                  </w:r>
                </w:p>
              </w:tc>
              <w:tc>
                <w:tcPr>
                  <w:tcW w:w="848" w:type="pct"/>
                  <w:vAlign w:val="center"/>
                </w:tcPr>
                <w:p>
                  <w:pPr>
                    <w:spacing w:line="240" w:lineRule="auto"/>
                    <w:jc w:val="center"/>
                    <w:rPr>
                      <w:bCs/>
                      <w:sz w:val="21"/>
                      <w:szCs w:val="21"/>
                    </w:rPr>
                  </w:pPr>
                  <w:r>
                    <w:rPr>
                      <w:rFonts w:hint="eastAsia"/>
                      <w:bCs/>
                      <w:sz w:val="21"/>
                      <w:szCs w:val="21"/>
                    </w:rPr>
                    <w:t>0.01</w:t>
                  </w:r>
                </w:p>
              </w:tc>
              <w:tc>
                <w:tcPr>
                  <w:tcW w:w="1282" w:type="pct"/>
                  <w:vMerge w:val="restart"/>
                  <w:vAlign w:val="center"/>
                </w:tcPr>
                <w:p>
                  <w:pPr>
                    <w:spacing w:line="240" w:lineRule="auto"/>
                    <w:jc w:val="center"/>
                    <w:rPr>
                      <w:sz w:val="21"/>
                      <w:szCs w:val="21"/>
                    </w:rPr>
                  </w:pPr>
                  <w:r>
                    <w:rPr>
                      <w:bCs/>
                      <w:sz w:val="21"/>
                      <w:szCs w:val="21"/>
                    </w:rPr>
                    <w:t>专用容器收集，暂存于危险废物暂存区后定期交由有资质单位处置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633" w:type="pct"/>
                  <w:vMerge w:val="continue"/>
                  <w:vAlign w:val="center"/>
                </w:tcPr>
                <w:p>
                  <w:pPr>
                    <w:spacing w:line="240" w:lineRule="auto"/>
                    <w:jc w:val="center"/>
                    <w:rPr>
                      <w:kern w:val="0"/>
                      <w:sz w:val="21"/>
                      <w:szCs w:val="21"/>
                    </w:rPr>
                  </w:pPr>
                </w:p>
              </w:tc>
              <w:tc>
                <w:tcPr>
                  <w:tcW w:w="1003" w:type="pct"/>
                  <w:vAlign w:val="center"/>
                </w:tcPr>
                <w:p>
                  <w:pPr>
                    <w:spacing w:line="240" w:lineRule="auto"/>
                    <w:jc w:val="center"/>
                    <w:rPr>
                      <w:kern w:val="0"/>
                      <w:sz w:val="21"/>
                      <w:szCs w:val="21"/>
                    </w:rPr>
                  </w:pPr>
                  <w:r>
                    <w:rPr>
                      <w:kern w:val="0"/>
                      <w:sz w:val="21"/>
                      <w:szCs w:val="21"/>
                    </w:rPr>
                    <w:t>废手套、废机油桶</w:t>
                  </w:r>
                  <w:r>
                    <w:rPr>
                      <w:rFonts w:hint="eastAsia"/>
                      <w:kern w:val="0"/>
                      <w:sz w:val="21"/>
                      <w:szCs w:val="21"/>
                    </w:rPr>
                    <w:t>（HW49）</w:t>
                  </w:r>
                </w:p>
              </w:tc>
              <w:tc>
                <w:tcPr>
                  <w:tcW w:w="463" w:type="pct"/>
                  <w:vAlign w:val="center"/>
                </w:tcPr>
                <w:p>
                  <w:pPr>
                    <w:spacing w:line="240" w:lineRule="auto"/>
                    <w:jc w:val="center"/>
                    <w:rPr>
                      <w:kern w:val="0"/>
                      <w:sz w:val="21"/>
                      <w:szCs w:val="21"/>
                    </w:rPr>
                  </w:pPr>
                  <w:r>
                    <w:rPr>
                      <w:kern w:val="0"/>
                      <w:sz w:val="21"/>
                      <w:szCs w:val="21"/>
                    </w:rPr>
                    <w:t>固态</w:t>
                  </w:r>
                </w:p>
              </w:tc>
              <w:tc>
                <w:tcPr>
                  <w:tcW w:w="771" w:type="pct"/>
                  <w:vAlign w:val="center"/>
                </w:tcPr>
                <w:p>
                  <w:pPr>
                    <w:spacing w:line="240" w:lineRule="auto"/>
                    <w:jc w:val="center"/>
                    <w:rPr>
                      <w:sz w:val="21"/>
                      <w:szCs w:val="21"/>
                    </w:rPr>
                  </w:pPr>
                  <w:r>
                    <w:rPr>
                      <w:sz w:val="21"/>
                      <w:szCs w:val="21"/>
                    </w:rPr>
                    <w:t>900-041-49</w:t>
                  </w:r>
                </w:p>
              </w:tc>
              <w:tc>
                <w:tcPr>
                  <w:tcW w:w="848" w:type="pct"/>
                  <w:vAlign w:val="center"/>
                </w:tcPr>
                <w:p>
                  <w:pPr>
                    <w:spacing w:line="240" w:lineRule="auto"/>
                    <w:jc w:val="center"/>
                    <w:rPr>
                      <w:bCs/>
                      <w:sz w:val="21"/>
                      <w:szCs w:val="21"/>
                    </w:rPr>
                  </w:pPr>
                  <w:r>
                    <w:rPr>
                      <w:rFonts w:hint="eastAsia"/>
                      <w:bCs/>
                      <w:sz w:val="21"/>
                      <w:szCs w:val="21"/>
                    </w:rPr>
                    <w:t>0.02</w:t>
                  </w:r>
                </w:p>
              </w:tc>
              <w:tc>
                <w:tcPr>
                  <w:tcW w:w="1282" w:type="pct"/>
                  <w:vMerge w:val="continue"/>
                  <w:vAlign w:val="center"/>
                </w:tcPr>
                <w:p>
                  <w:pPr>
                    <w:spacing w:line="240" w:lineRule="auto"/>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633" w:type="pct"/>
                  <w:vAlign w:val="center"/>
                </w:tcPr>
                <w:p>
                  <w:pPr>
                    <w:spacing w:line="240" w:lineRule="auto"/>
                    <w:jc w:val="center"/>
                    <w:rPr>
                      <w:kern w:val="0"/>
                      <w:sz w:val="21"/>
                      <w:szCs w:val="21"/>
                    </w:rPr>
                  </w:pPr>
                  <w:r>
                    <w:rPr>
                      <w:rFonts w:hint="eastAsia"/>
                      <w:kern w:val="0"/>
                      <w:sz w:val="21"/>
                      <w:szCs w:val="21"/>
                    </w:rPr>
                    <w:t>生活垃圾</w:t>
                  </w:r>
                </w:p>
              </w:tc>
              <w:tc>
                <w:tcPr>
                  <w:tcW w:w="1003" w:type="pct"/>
                  <w:vAlign w:val="center"/>
                </w:tcPr>
                <w:p>
                  <w:pPr>
                    <w:spacing w:line="240" w:lineRule="auto"/>
                    <w:jc w:val="center"/>
                    <w:rPr>
                      <w:kern w:val="0"/>
                      <w:sz w:val="21"/>
                      <w:szCs w:val="21"/>
                    </w:rPr>
                  </w:pPr>
                  <w:r>
                    <w:rPr>
                      <w:kern w:val="0"/>
                      <w:sz w:val="21"/>
                      <w:szCs w:val="21"/>
                    </w:rPr>
                    <w:t>生活垃圾</w:t>
                  </w:r>
                </w:p>
              </w:tc>
              <w:tc>
                <w:tcPr>
                  <w:tcW w:w="463" w:type="pct"/>
                  <w:vAlign w:val="center"/>
                </w:tcPr>
                <w:p>
                  <w:pPr>
                    <w:spacing w:line="240" w:lineRule="auto"/>
                    <w:jc w:val="center"/>
                    <w:rPr>
                      <w:sz w:val="21"/>
                      <w:szCs w:val="21"/>
                    </w:rPr>
                  </w:pPr>
                  <w:r>
                    <w:rPr>
                      <w:kern w:val="0"/>
                      <w:sz w:val="21"/>
                      <w:szCs w:val="21"/>
                    </w:rPr>
                    <w:t>固态</w:t>
                  </w:r>
                </w:p>
              </w:tc>
              <w:tc>
                <w:tcPr>
                  <w:tcW w:w="771" w:type="pct"/>
                  <w:vAlign w:val="center"/>
                </w:tcPr>
                <w:p>
                  <w:pPr>
                    <w:spacing w:line="240" w:lineRule="auto"/>
                    <w:jc w:val="center"/>
                    <w:rPr>
                      <w:sz w:val="21"/>
                      <w:szCs w:val="21"/>
                    </w:rPr>
                  </w:pPr>
                  <w:r>
                    <w:rPr>
                      <w:sz w:val="21"/>
                      <w:szCs w:val="21"/>
                    </w:rPr>
                    <w:t>/</w:t>
                  </w:r>
                </w:p>
              </w:tc>
              <w:tc>
                <w:tcPr>
                  <w:tcW w:w="848" w:type="pct"/>
                  <w:vAlign w:val="center"/>
                </w:tcPr>
                <w:p>
                  <w:pPr>
                    <w:spacing w:line="240" w:lineRule="auto"/>
                    <w:jc w:val="center"/>
                    <w:rPr>
                      <w:sz w:val="21"/>
                      <w:szCs w:val="21"/>
                    </w:rPr>
                  </w:pPr>
                  <w:r>
                    <w:rPr>
                      <w:rFonts w:hint="eastAsia"/>
                      <w:sz w:val="21"/>
                      <w:szCs w:val="21"/>
                    </w:rPr>
                    <w:t>0.78</w:t>
                  </w:r>
                </w:p>
              </w:tc>
              <w:tc>
                <w:tcPr>
                  <w:tcW w:w="1282" w:type="pct"/>
                  <w:vAlign w:val="center"/>
                </w:tcPr>
                <w:p>
                  <w:pPr>
                    <w:spacing w:line="240" w:lineRule="auto"/>
                    <w:jc w:val="center"/>
                    <w:rPr>
                      <w:sz w:val="21"/>
                      <w:szCs w:val="21"/>
                    </w:rPr>
                  </w:pPr>
                  <w:r>
                    <w:rPr>
                      <w:sz w:val="21"/>
                      <w:szCs w:val="21"/>
                    </w:rPr>
                    <w:t>收集后由环卫部门清运</w:t>
                  </w:r>
                </w:p>
              </w:tc>
            </w:tr>
          </w:tbl>
          <w:p>
            <w:pPr>
              <w:widowControl/>
              <w:ind w:firstLine="480" w:firstLineChars="200"/>
              <w:rPr>
                <w:highlight w:val="green"/>
              </w:rPr>
            </w:pPr>
            <w:r>
              <w:rPr>
                <w:rFonts w:hint="eastAsia"/>
                <w:highlight w:val="green"/>
              </w:rPr>
              <w:t>1、一般工业固废收集、处理处置措施</w:t>
            </w:r>
          </w:p>
          <w:p>
            <w:pPr>
              <w:widowControl/>
              <w:ind w:firstLine="480" w:firstLineChars="200"/>
            </w:pPr>
            <w:r>
              <w:rPr>
                <w:highlight w:val="green"/>
              </w:rPr>
              <w:t>本项目产生的一般工业固废为沉淀池底</w:t>
            </w:r>
            <w:r>
              <w:rPr>
                <w:rFonts w:hint="eastAsia"/>
                <w:highlight w:val="green"/>
              </w:rPr>
              <w:t>渣，主要成分为泥渣。</w:t>
            </w:r>
            <w:r>
              <w:rPr>
                <w:highlight w:val="green"/>
              </w:rPr>
              <w:t>项目生产废水排入沉淀池后，长时间沉淀池底部会产生沉淀池底泥</w:t>
            </w:r>
            <w:r>
              <w:rPr>
                <w:rFonts w:hint="eastAsia"/>
                <w:highlight w:val="green"/>
              </w:rPr>
              <w:t>，污泥斗用来积聚沉淀下来的泥渣，多设在池前部的池底以下，斗底有排泥管，定期排泥。排出的污泥经泥浆压滤一体机处理成泥饼，</w:t>
            </w:r>
            <w:r>
              <w:rPr>
                <w:highlight w:val="green"/>
              </w:rPr>
              <w:t>与其他不能加工利用的</w:t>
            </w:r>
            <w:r>
              <w:rPr>
                <w:rFonts w:hint="eastAsia"/>
                <w:highlight w:val="green"/>
              </w:rPr>
              <w:t>废弃</w:t>
            </w:r>
            <w:r>
              <w:rPr>
                <w:highlight w:val="green"/>
              </w:rPr>
              <w:t>洞渣一起</w:t>
            </w:r>
            <w:r>
              <w:rPr>
                <w:rFonts w:hint="eastAsia"/>
                <w:highlight w:val="green"/>
              </w:rPr>
              <w:t>堆放在</w:t>
            </w:r>
            <w:r>
              <w:rPr>
                <w:highlight w:val="green"/>
              </w:rPr>
              <w:t>弃渣场</w:t>
            </w:r>
            <w:r>
              <w:rPr>
                <w:rFonts w:hint="eastAsia"/>
                <w:highlight w:val="green"/>
              </w:rPr>
              <w:t>，采取</w:t>
            </w:r>
            <w:r>
              <w:rPr>
                <w:highlight w:val="green"/>
              </w:rPr>
              <w:t>碾平</w:t>
            </w:r>
            <w:r>
              <w:rPr>
                <w:rFonts w:hint="eastAsia"/>
                <w:highlight w:val="green"/>
              </w:rPr>
              <w:t>，</w:t>
            </w:r>
            <w:r>
              <w:rPr>
                <w:highlight w:val="green"/>
              </w:rPr>
              <w:t>硬化等措施妥善处置。</w:t>
            </w:r>
          </w:p>
          <w:p>
            <w:pPr>
              <w:widowControl/>
              <w:ind w:firstLine="480" w:firstLineChars="200"/>
              <w:rPr>
                <w:rFonts w:eastAsiaTheme="minorEastAsia"/>
              </w:rPr>
            </w:pPr>
            <w:r>
              <w:rPr>
                <w:highlight w:val="green"/>
              </w:rPr>
              <w:t>本项目</w:t>
            </w:r>
            <w:r>
              <w:rPr>
                <w:rFonts w:hint="eastAsia"/>
                <w:highlight w:val="green"/>
              </w:rPr>
              <w:t>所在</w:t>
            </w:r>
            <w:r>
              <w:rPr>
                <w:highlight w:val="green"/>
              </w:rPr>
              <w:t>地为</w:t>
            </w:r>
            <w:r>
              <w:rPr>
                <w:rFonts w:eastAsiaTheme="minorEastAsia"/>
                <w:highlight w:val="green"/>
              </w:rPr>
              <w:t>项目</w:t>
            </w:r>
            <w:r>
              <w:rPr>
                <w:rFonts w:hint="eastAsia" w:asciiTheme="minorEastAsia" w:hAnsiTheme="minorEastAsia" w:eastAsiaTheme="minorEastAsia"/>
                <w:highlight w:val="green"/>
              </w:rPr>
              <w:t>用地为中铁十二局集团第四工程有限公司巫镇高速总承包指挥部五分部所属弃渣场</w:t>
            </w:r>
            <w:r>
              <w:rPr>
                <w:rFonts w:hint="eastAsia" w:eastAsiaTheme="minorEastAsia"/>
                <w:highlight w:val="green"/>
              </w:rPr>
              <w:t>，该弃渣场总面积8</w:t>
            </w:r>
            <w:r>
              <w:rPr>
                <w:rFonts w:eastAsiaTheme="minorEastAsia"/>
                <w:highlight w:val="green"/>
              </w:rPr>
              <w:t>0余亩</w:t>
            </w:r>
            <w:r>
              <w:rPr>
                <w:rFonts w:hint="eastAsia" w:eastAsiaTheme="minorEastAsia"/>
                <w:highlight w:val="green"/>
              </w:rPr>
              <w:t>，</w:t>
            </w:r>
            <w:r>
              <w:rPr>
                <w:rFonts w:eastAsiaTheme="minorEastAsia"/>
                <w:highlight w:val="green"/>
              </w:rPr>
              <w:t>计划容纳</w:t>
            </w:r>
            <w:r>
              <w:rPr>
                <w:rFonts w:hint="eastAsia" w:eastAsiaTheme="minorEastAsia"/>
                <w:highlight w:val="green"/>
              </w:rPr>
              <w:t>6</w:t>
            </w:r>
            <w:r>
              <w:rPr>
                <w:rFonts w:eastAsiaTheme="minorEastAsia"/>
                <w:highlight w:val="green"/>
              </w:rPr>
              <w:t>0万吨</w:t>
            </w:r>
            <w:r>
              <w:rPr>
                <w:rFonts w:hint="eastAsia" w:eastAsiaTheme="minorEastAsia"/>
                <w:highlight w:val="green"/>
              </w:rPr>
              <w:t>隧道洞渣。巫镇高速鸡心岭隧道运来的洞渣均在此堆放，可利用的由本项目进行机制砂加工，不可利用采取碾平，硬化等措施妥善处置。本项目泥饼产生量较小，与不可利用弃渣一起妥善处置，渣场足够容纳，亦不会产生二次污染问题。</w:t>
            </w:r>
          </w:p>
          <w:p>
            <w:pPr>
              <w:pStyle w:val="2"/>
              <w:widowControl w:val="0"/>
              <w:ind w:firstLine="480" w:firstLineChars="200"/>
              <w:outlineLvl w:val="1"/>
              <w:rPr>
                <w:rFonts w:ascii="Times New Roman" w:hAnsi="Times New Roman" w:eastAsia="宋体"/>
                <w:b w:val="0"/>
                <w:sz w:val="24"/>
                <w:highlight w:val="green"/>
              </w:rPr>
            </w:pPr>
            <w:r>
              <w:rPr>
                <w:rFonts w:hint="eastAsia" w:ascii="Times New Roman" w:hAnsi="Times New Roman" w:eastAsia="宋体"/>
                <w:b w:val="0"/>
                <w:sz w:val="24"/>
                <w:highlight w:val="green"/>
              </w:rPr>
              <w:t>综上所述，本项目沉淀池底渣收集处理处置措施可行。</w:t>
            </w:r>
          </w:p>
          <w:p>
            <w:pPr>
              <w:widowControl/>
              <w:ind w:firstLine="480" w:firstLineChars="200"/>
            </w:pPr>
            <w:r>
              <w:rPr>
                <w:rFonts w:hint="eastAsia"/>
              </w:rPr>
              <w:t>2、危险废物处置措施</w:t>
            </w:r>
          </w:p>
          <w:p>
            <w:pPr>
              <w:widowControl/>
              <w:ind w:firstLine="480" w:firstLineChars="200"/>
            </w:pPr>
            <w:r>
              <w:t>（1）危险废物储存</w:t>
            </w:r>
          </w:p>
          <w:p>
            <w:pPr>
              <w:widowControl/>
              <w:wordWrap w:val="0"/>
              <w:ind w:firstLine="480" w:firstLineChars="200"/>
              <w:rPr>
                <w:bCs/>
              </w:rPr>
            </w:pPr>
            <w:r>
              <w:rPr>
                <w:bCs/>
              </w:rPr>
              <w:t>建设单位应采用专用容器对危险废物进行收集并单独存放。堆放时宜按危废种类分类堆放。危险废物贮存场所的硬化地面应没有裂缝，日常需勤加维护，一旦发现裂缝等问题应及时进行修补，保证危险废物暂存场地的渗透系数应≤10</w:t>
            </w:r>
            <w:r>
              <w:rPr>
                <w:bCs/>
                <w:vertAlign w:val="superscript"/>
              </w:rPr>
              <w:t>-7</w:t>
            </w:r>
            <w:r>
              <w:rPr>
                <w:bCs/>
              </w:rPr>
              <w:t>cm/s。盛装危险废物的容器上必须粘贴符合《危险废物贮存污染控制标准》（GB18597-2001）（2013修改单）附录A所示的标签。</w:t>
            </w:r>
          </w:p>
          <w:p>
            <w:pPr>
              <w:widowControl/>
              <w:ind w:firstLine="480" w:firstLineChars="200"/>
            </w:pPr>
            <w:r>
              <w:t>危险废物贮存容器应满足以下要求：应当使用符合标准的容器盛装危险废物；装载危险废物的容器及材质要满足相应的强度要求；装载危险废物的容器必须完好无损；盛装危险废物的容器材质和衬里要与危险废物相容（不相互反应）。</w:t>
            </w:r>
          </w:p>
          <w:p>
            <w:pPr>
              <w:widowControl/>
              <w:ind w:firstLine="480" w:firstLineChars="200"/>
            </w:pPr>
            <w:r>
              <w:t>禁止在非贮存点（容器）倾倒和堆放危险废物，或将危险废物与其他一般工业固体废物及生活垃圾堆放在一起。</w:t>
            </w:r>
          </w:p>
          <w:p>
            <w:pPr>
              <w:widowControl/>
              <w:ind w:firstLine="480" w:firstLineChars="200"/>
            </w:pPr>
            <w:r>
              <w:t>如运营过程中现有危险废物贮存场所空间不足以容纳产生的危险废物，项目应通过增加危险废物清运次数保证危险废物得以安全贮存，或按《危险废物贮存污染控制标准》（GB18597-2001）的要求新增符合要求的危险废物贮存场所。</w:t>
            </w:r>
          </w:p>
          <w:p>
            <w:pPr>
              <w:widowControl/>
              <w:ind w:firstLine="480" w:firstLineChars="200"/>
            </w:pPr>
            <w:r>
              <w:t>（2）危险废物处置及转运</w:t>
            </w:r>
          </w:p>
          <w:p>
            <w:pPr>
              <w:widowControl/>
              <w:wordWrap w:val="0"/>
              <w:ind w:firstLine="480" w:firstLineChars="200"/>
              <w:rPr>
                <w:bCs/>
              </w:rPr>
            </w:pPr>
            <w:r>
              <w:rPr>
                <w:bCs/>
              </w:rPr>
              <w:t>项目产生的危险废物均应委托具有有效资质的危险固废处置单位进行安全处置，设专人管理，根据贮存情况定期清运。危险废物的转运应严格按照《危险废物转移联单管理办法》（国家环境保护总局令第5号）的有关规定执行。</w:t>
            </w:r>
          </w:p>
          <w:p>
            <w:pPr>
              <w:widowControl/>
              <w:wordWrap w:val="0"/>
              <w:ind w:firstLine="480" w:firstLineChars="200"/>
              <w:rPr>
                <w:bCs/>
              </w:rPr>
            </w:pPr>
            <w:r>
              <w:rPr>
                <w:bCs/>
              </w:rPr>
              <w:t>（3）危废暂存间建设要求</w:t>
            </w:r>
          </w:p>
          <w:p>
            <w:pPr>
              <w:widowControl/>
              <w:wordWrap w:val="0"/>
              <w:ind w:firstLine="480" w:firstLineChars="200"/>
              <w:rPr>
                <w:bCs/>
              </w:rPr>
            </w:pPr>
            <w:r>
              <w:rPr>
                <w:rFonts w:hint="eastAsia" w:ascii="宋体" w:hAnsi="宋体"/>
                <w:bCs/>
              </w:rPr>
              <w:t>①</w:t>
            </w:r>
            <w:r>
              <w:rPr>
                <w:bCs/>
              </w:rPr>
              <w:t>危险废物贮存间必须要封闭建设，门口内侧设立围堰，地面应做好硬化及“三防”措施（防扬散、防流失、防渗漏）；</w:t>
            </w:r>
          </w:p>
          <w:p>
            <w:pPr>
              <w:widowControl/>
              <w:wordWrap w:val="0"/>
              <w:ind w:firstLine="480" w:firstLineChars="200"/>
              <w:rPr>
                <w:bCs/>
              </w:rPr>
            </w:pPr>
            <w:r>
              <w:rPr>
                <w:rFonts w:hint="eastAsia" w:ascii="宋体" w:hAnsi="宋体"/>
                <w:bCs/>
              </w:rPr>
              <w:t>②</w:t>
            </w:r>
            <w:r>
              <w:rPr>
                <w:bCs/>
              </w:rPr>
              <w:t>危险废物贮存间门口需张贴标准规范的危险废物标识和危废信息板，屋内张贴企业《危险废物管理制度》；</w:t>
            </w:r>
          </w:p>
          <w:p>
            <w:pPr>
              <w:widowControl/>
              <w:wordWrap w:val="0"/>
              <w:ind w:firstLine="480" w:firstLineChars="200"/>
              <w:rPr>
                <w:bCs/>
              </w:rPr>
            </w:pPr>
            <w:r>
              <w:rPr>
                <w:rFonts w:hint="eastAsia" w:ascii="宋体" w:hAnsi="宋体"/>
                <w:bCs/>
              </w:rPr>
              <w:t>③</w:t>
            </w:r>
            <w:r>
              <w:rPr>
                <w:bCs/>
              </w:rPr>
              <w:t>危险废物贮存间需按照“双人双锁”制度管理。（两把钥匙分别由两个危废负责人管理，不得一人管理）；</w:t>
            </w:r>
          </w:p>
          <w:p>
            <w:pPr>
              <w:widowControl/>
              <w:wordWrap w:val="0"/>
              <w:ind w:firstLine="480" w:firstLineChars="200"/>
              <w:rPr>
                <w:bCs/>
              </w:rPr>
            </w:pPr>
            <w:r>
              <w:rPr>
                <w:rFonts w:hint="eastAsia" w:ascii="宋体" w:hAnsi="宋体"/>
                <w:bCs/>
              </w:rPr>
              <w:t>④</w:t>
            </w:r>
            <w:r>
              <w:rPr>
                <w:bCs/>
              </w:rPr>
              <w:t>不同种类危险废物应有明显的过道划分，墙上张贴危废名称，液态危废需将成装容器放至防泄漏托盘内并在容器粘贴危险废物标签，固态危废包装需完好无破损并系挂危险废物标签，并按照要求填写；</w:t>
            </w:r>
          </w:p>
          <w:p>
            <w:pPr>
              <w:widowControl/>
              <w:ind w:firstLine="480" w:firstLineChars="200"/>
            </w:pPr>
            <w:r>
              <w:rPr>
                <w:rFonts w:hint="eastAsia" w:ascii="宋体" w:hAnsi="宋体"/>
              </w:rPr>
              <w:t>⑤</w:t>
            </w:r>
            <w:r>
              <w:t>建立台账并悬挂于危废间内，转入及转出（处置、自利用）需要填写危废种类、数量、时间及负责人员姓名；</w:t>
            </w:r>
          </w:p>
          <w:p>
            <w:pPr>
              <w:widowControl/>
              <w:ind w:firstLine="480" w:firstLineChars="200"/>
            </w:pPr>
            <w:r>
              <w:rPr>
                <w:rFonts w:hint="eastAsia" w:ascii="宋体" w:hAnsi="宋体"/>
              </w:rPr>
              <w:t>⑥</w:t>
            </w:r>
            <w:r>
              <w:t>危险废物贮存间内禁止存放除危险废物及应急工具以他的其他物品；</w:t>
            </w:r>
          </w:p>
          <w:p>
            <w:pPr>
              <w:widowControl/>
              <w:wordWrap w:val="0"/>
              <w:ind w:firstLine="480" w:firstLineChars="200"/>
              <w:rPr>
                <w:bCs/>
              </w:rPr>
            </w:pPr>
            <w:r>
              <w:rPr>
                <w:bCs/>
              </w:rPr>
              <w:t>综上所述，在切实采取以上固废暂存、处理及管理措施后，可有效防止本项目产生的固废对环境的污染和危害，对环境影响较小。</w:t>
            </w:r>
          </w:p>
          <w:p>
            <w:pPr>
              <w:widowControl w:val="0"/>
              <w:ind w:firstLine="480" w:firstLineChars="200"/>
              <w:rPr>
                <w:rFonts w:eastAsiaTheme="minorEastAsia"/>
                <w:b/>
              </w:rPr>
            </w:pPr>
            <w:r>
              <w:rPr>
                <w:rFonts w:eastAsiaTheme="minorEastAsia"/>
                <w:b/>
              </w:rPr>
              <w:t>五、土壤环境影响分析</w:t>
            </w:r>
          </w:p>
          <w:p>
            <w:pPr>
              <w:widowControl w:val="0"/>
              <w:autoSpaceDE w:val="0"/>
              <w:autoSpaceDN w:val="0"/>
              <w:ind w:firstLine="480" w:firstLineChars="200"/>
              <w:rPr>
                <w:b/>
              </w:rPr>
            </w:pPr>
            <w:r>
              <w:rPr>
                <w:kern w:val="0"/>
              </w:rPr>
              <w:t>根据《环境影响评价技术导则-土壤环境（试行）》（HJ964-2018），本项目属于Ⅲ类项目</w:t>
            </w:r>
            <w:r>
              <w:rPr>
                <w:rFonts w:hint="eastAsia"/>
                <w:kern w:val="0"/>
              </w:rPr>
              <w:t>；</w:t>
            </w:r>
            <w:r>
              <w:rPr>
                <w:kern w:val="0"/>
              </w:rPr>
              <w:t>项目</w:t>
            </w:r>
            <w:r>
              <w:rPr>
                <w:rFonts w:hint="eastAsia"/>
                <w:kern w:val="0"/>
              </w:rPr>
              <w:t>占地面积</w:t>
            </w:r>
            <w:r>
              <w:rPr>
                <w:rFonts w:hint="eastAsia"/>
              </w:rPr>
              <w:t>3000</w:t>
            </w:r>
            <w:r>
              <w:t>m</w:t>
            </w:r>
            <w:r>
              <w:rPr>
                <w:vertAlign w:val="superscript"/>
              </w:rPr>
              <w:t>2</w:t>
            </w:r>
            <w:r>
              <w:rPr>
                <w:rFonts w:hint="eastAsia"/>
              </w:rPr>
              <w:t>，</w:t>
            </w:r>
            <w:r>
              <w:rPr>
                <w:kern w:val="0"/>
              </w:rPr>
              <w:t>占地规模属于小型（≤5hm</w:t>
            </w:r>
            <w:r>
              <w:rPr>
                <w:kern w:val="0"/>
                <w:vertAlign w:val="superscript"/>
              </w:rPr>
              <w:t>2</w:t>
            </w:r>
            <w:r>
              <w:rPr>
                <w:kern w:val="0"/>
              </w:rPr>
              <w:t>）</w:t>
            </w:r>
            <w:r>
              <w:rPr>
                <w:rFonts w:hint="eastAsia"/>
                <w:kern w:val="0"/>
              </w:rPr>
              <w:t>；且</w:t>
            </w:r>
            <w:r>
              <w:rPr>
                <w:kern w:val="0"/>
              </w:rPr>
              <w:t>项目</w:t>
            </w:r>
            <w:r>
              <w:rPr>
                <w:rFonts w:hint="eastAsia"/>
                <w:kern w:val="0"/>
              </w:rPr>
              <w:t>50m范围内均为空地和林地</w:t>
            </w:r>
            <w:r>
              <w:rPr>
                <w:kern w:val="0"/>
              </w:rPr>
              <w:t>，土壤环境敏感程度</w:t>
            </w:r>
            <w:r>
              <w:rPr>
                <w:rFonts w:hint="eastAsia"/>
                <w:kern w:val="0"/>
              </w:rPr>
              <w:t>为</w:t>
            </w:r>
            <w:r>
              <w:rPr>
                <w:kern w:val="0"/>
              </w:rPr>
              <w:t>不敏感</w:t>
            </w:r>
            <w:r>
              <w:rPr>
                <w:rFonts w:hint="eastAsia"/>
                <w:kern w:val="0"/>
              </w:rPr>
              <w:t>，</w:t>
            </w:r>
            <w:r>
              <w:rPr>
                <w:kern w:val="0"/>
              </w:rPr>
              <w:t>因此根据污染影响型评价工作等级划分表，本项目可以不展开土壤环境影响评价工作</w:t>
            </w:r>
            <w:r>
              <w:rPr>
                <w:b/>
                <w:bCs/>
              </w:rPr>
              <w:t>。</w:t>
            </w:r>
          </w:p>
          <w:p>
            <w:pPr>
              <w:widowControl w:val="0"/>
              <w:rPr>
                <w:rFonts w:asciiTheme="minorEastAsia" w:hAnsiTheme="minorEastAsia" w:eastAsiaTheme="minorEastAsia"/>
                <w:b/>
                <w:sz w:val="28"/>
              </w:rPr>
            </w:pPr>
            <w:r>
              <w:rPr>
                <w:rFonts w:asciiTheme="minorEastAsia" w:hAnsiTheme="minorEastAsia" w:eastAsiaTheme="minorEastAsia"/>
                <w:b/>
                <w:sz w:val="28"/>
              </w:rPr>
              <w:t>环境管理及监测计划</w:t>
            </w:r>
          </w:p>
          <w:p>
            <w:pPr>
              <w:widowControl w:val="0"/>
              <w:ind w:firstLine="480" w:firstLineChars="200"/>
            </w:pPr>
            <w:r>
              <w:rPr>
                <w:bCs/>
              </w:rPr>
              <w:t>1、环境管理</w:t>
            </w:r>
          </w:p>
          <w:p>
            <w:pPr>
              <w:widowControl w:val="0"/>
              <w:ind w:firstLine="480" w:firstLineChars="200"/>
              <w:rPr>
                <w:snapToGrid w:val="0"/>
                <w:kern w:val="0"/>
              </w:rPr>
            </w:pPr>
            <w:r>
              <w:rPr>
                <w:snapToGrid w:val="0"/>
                <w:kern w:val="0"/>
              </w:rPr>
              <w:t>本项目的污染物排放水平与厂区环境管理水平密切相关，因此在采取环境保护工程措施和生态保护措施的同时，必须加强环境管理。</w:t>
            </w:r>
          </w:p>
          <w:p>
            <w:pPr>
              <w:widowControl w:val="0"/>
              <w:wordWrap w:val="0"/>
              <w:ind w:firstLine="480" w:firstLineChars="200"/>
              <w:rPr>
                <w:snapToGrid w:val="0"/>
                <w:kern w:val="0"/>
              </w:rPr>
            </w:pPr>
            <w:r>
              <w:rPr>
                <w:rFonts w:hint="eastAsia" w:ascii="宋体" w:hAnsi="宋体" w:cs="宋体"/>
                <w:snapToGrid w:val="0"/>
                <w:kern w:val="0"/>
              </w:rPr>
              <w:t>①</w:t>
            </w:r>
            <w:r>
              <w:rPr>
                <w:snapToGrid w:val="0"/>
                <w:kern w:val="0"/>
              </w:rPr>
              <w:t>贯彻执行国家和地方各项环保方针、政策和法规，将环境指标纳入生产计划指标，建立企业内部的环境保护机构、制订与其相适应的管理规章制度及细则；</w:t>
            </w:r>
          </w:p>
          <w:p>
            <w:pPr>
              <w:widowControl w:val="0"/>
              <w:wordWrap w:val="0"/>
              <w:ind w:firstLine="480" w:firstLineChars="200"/>
              <w:rPr>
                <w:snapToGrid w:val="0"/>
                <w:kern w:val="0"/>
              </w:rPr>
            </w:pPr>
            <w:r>
              <w:rPr>
                <w:rFonts w:hint="eastAsia" w:ascii="宋体" w:hAnsi="宋体" w:cs="宋体"/>
                <w:snapToGrid w:val="0"/>
                <w:kern w:val="0"/>
              </w:rPr>
              <w:t>②</w:t>
            </w:r>
            <w:r>
              <w:rPr>
                <w:snapToGrid w:val="0"/>
                <w:kern w:val="0"/>
              </w:rPr>
              <w:t>加强对生产人员的环保教育，包括业务能力、操作技术、环保管理知识的教育，以增强他们的环保意识，提高管理水平；</w:t>
            </w:r>
          </w:p>
          <w:p>
            <w:pPr>
              <w:widowControl w:val="0"/>
              <w:wordWrap w:val="0"/>
              <w:ind w:firstLine="480" w:firstLineChars="200"/>
              <w:rPr>
                <w:snapToGrid w:val="0"/>
                <w:kern w:val="0"/>
              </w:rPr>
            </w:pPr>
            <w:r>
              <w:rPr>
                <w:rFonts w:hint="eastAsia" w:ascii="宋体" w:hAnsi="宋体" w:cs="宋体"/>
                <w:snapToGrid w:val="0"/>
                <w:kern w:val="0"/>
              </w:rPr>
              <w:t>③</w:t>
            </w:r>
            <w:r>
              <w:rPr>
                <w:snapToGrid w:val="0"/>
                <w:kern w:val="0"/>
              </w:rPr>
              <w:t>建立全厂设备维护、维修制度，定期检查各设备运行情况，杜绝事故发生。</w:t>
            </w:r>
          </w:p>
          <w:p>
            <w:pPr>
              <w:widowControl w:val="0"/>
              <w:wordWrap w:val="0"/>
              <w:ind w:firstLine="480" w:firstLineChars="200"/>
              <w:rPr>
                <w:snapToGrid w:val="0"/>
                <w:kern w:val="0"/>
              </w:rPr>
            </w:pPr>
            <w:r>
              <w:rPr>
                <w:rFonts w:hint="eastAsia" w:ascii="宋体" w:hAnsi="宋体" w:cs="宋体"/>
                <w:snapToGrid w:val="0"/>
                <w:kern w:val="0"/>
              </w:rPr>
              <w:t>④</w:t>
            </w:r>
            <w:r>
              <w:rPr>
                <w:snapToGrid w:val="0"/>
                <w:kern w:val="0"/>
              </w:rPr>
              <w:t>应按规范进行台账记录，主要内容包括生产信息、原辅材料使用情况、污染防治设施运行记录、监测数据等。</w:t>
            </w:r>
          </w:p>
          <w:p>
            <w:pPr>
              <w:widowControl w:val="0"/>
              <w:wordWrap w:val="0"/>
              <w:ind w:firstLine="480" w:firstLineChars="200"/>
              <w:rPr>
                <w:snapToGrid w:val="0"/>
                <w:kern w:val="0"/>
              </w:rPr>
            </w:pPr>
            <w:r>
              <w:rPr>
                <w:rFonts w:hint="eastAsia" w:ascii="宋体" w:hAnsi="宋体" w:cs="宋体"/>
                <w:snapToGrid w:val="0"/>
                <w:kern w:val="0"/>
              </w:rPr>
              <w:t>⑤</w:t>
            </w:r>
            <w:r>
              <w:rPr>
                <w:snapToGrid w:val="0"/>
                <w:kern w:val="0"/>
              </w:rPr>
              <w:t>定期在国家排污许可证管理信息平台填报信息，编制排污许可证执行报告，及时报送有核发权的环境保护主管部门并公开，执行报告主要内容包括生产信息、污染防治设施运行情况、污染物按证排放情况等。</w:t>
            </w:r>
          </w:p>
          <w:p>
            <w:pPr>
              <w:widowControl w:val="0"/>
              <w:wordWrap w:val="0"/>
              <w:ind w:firstLine="480" w:firstLineChars="200"/>
              <w:jc w:val="left"/>
              <w:rPr>
                <w:snapToGrid w:val="0"/>
                <w:kern w:val="0"/>
              </w:rPr>
            </w:pPr>
            <w:r>
              <w:rPr>
                <w:snapToGrid w:val="0"/>
                <w:kern w:val="0"/>
              </w:rPr>
              <w:t>2、监测计划</w:t>
            </w:r>
          </w:p>
          <w:p>
            <w:pPr>
              <w:widowControl w:val="0"/>
              <w:ind w:firstLine="480" w:firstLineChars="200"/>
              <w:rPr>
                <w:kern w:val="0"/>
              </w:rPr>
            </w:pPr>
            <w:r>
              <w:rPr>
                <w:snapToGrid w:val="0"/>
                <w:kern w:val="0"/>
              </w:rPr>
              <w:t>在运营期应对污染源按排污许可证规定的监测点位、监测因子、监测频次和相关监测技术规范开展自行监测并公开。项目污染源与环境监测计划表</w:t>
            </w:r>
            <w:r>
              <w:rPr>
                <w:kern w:val="0"/>
              </w:rPr>
              <w:t>见表7-16。</w:t>
            </w:r>
          </w:p>
          <w:p>
            <w:pPr>
              <w:pStyle w:val="44"/>
              <w:widowControl w:val="0"/>
              <w:numPr>
                <w:ilvl w:val="0"/>
                <w:numId w:val="7"/>
              </w:numPr>
              <w:tabs>
                <w:tab w:val="left" w:pos="11"/>
              </w:tabs>
              <w:spacing w:line="240" w:lineRule="auto"/>
              <w:ind w:left="0" w:firstLine="0" w:firstLineChars="0"/>
              <w:jc w:val="center"/>
              <w:rPr>
                <w:b/>
                <w:sz w:val="21"/>
                <w:szCs w:val="21"/>
                <w:lang w:val="zh-CN"/>
              </w:rPr>
            </w:pPr>
            <w:r>
              <w:rPr>
                <w:b/>
                <w:sz w:val="21"/>
                <w:szCs w:val="21"/>
                <w:lang w:val="zh-CN"/>
              </w:rPr>
              <w:t>环境监测计划一览表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1141"/>
              <w:gridCol w:w="1778"/>
              <w:gridCol w:w="1458"/>
              <w:gridCol w:w="1456"/>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366" w:type="pct"/>
                  <w:vAlign w:val="center"/>
                </w:tcPr>
                <w:p>
                  <w:pPr>
                    <w:spacing w:line="240" w:lineRule="auto"/>
                    <w:jc w:val="center"/>
                    <w:rPr>
                      <w:sz w:val="21"/>
                      <w:szCs w:val="21"/>
                    </w:rPr>
                  </w:pPr>
                  <w:r>
                    <w:rPr>
                      <w:sz w:val="21"/>
                    </w:rPr>
                    <w:t>类别</w:t>
                  </w:r>
                </w:p>
              </w:tc>
              <w:tc>
                <w:tcPr>
                  <w:tcW w:w="621" w:type="pct"/>
                  <w:vAlign w:val="center"/>
                </w:tcPr>
                <w:p>
                  <w:pPr>
                    <w:spacing w:line="240" w:lineRule="auto"/>
                    <w:jc w:val="center"/>
                    <w:rPr>
                      <w:sz w:val="21"/>
                      <w:szCs w:val="21"/>
                    </w:rPr>
                  </w:pPr>
                  <w:r>
                    <w:rPr>
                      <w:sz w:val="21"/>
                    </w:rPr>
                    <w:t>污染源</w:t>
                  </w:r>
                </w:p>
              </w:tc>
              <w:tc>
                <w:tcPr>
                  <w:tcW w:w="967" w:type="pct"/>
                  <w:vAlign w:val="center"/>
                </w:tcPr>
                <w:p>
                  <w:pPr>
                    <w:spacing w:line="240" w:lineRule="auto"/>
                    <w:jc w:val="center"/>
                    <w:rPr>
                      <w:sz w:val="21"/>
                      <w:szCs w:val="21"/>
                    </w:rPr>
                  </w:pPr>
                  <w:r>
                    <w:rPr>
                      <w:sz w:val="21"/>
                    </w:rPr>
                    <w:t>监测点位</w:t>
                  </w:r>
                </w:p>
              </w:tc>
              <w:tc>
                <w:tcPr>
                  <w:tcW w:w="793" w:type="pct"/>
                  <w:vAlign w:val="center"/>
                </w:tcPr>
                <w:p>
                  <w:pPr>
                    <w:spacing w:line="240" w:lineRule="auto"/>
                    <w:jc w:val="center"/>
                    <w:rPr>
                      <w:sz w:val="21"/>
                    </w:rPr>
                  </w:pPr>
                  <w:r>
                    <w:rPr>
                      <w:sz w:val="21"/>
                    </w:rPr>
                    <w:t>监测指标</w:t>
                  </w:r>
                </w:p>
              </w:tc>
              <w:tc>
                <w:tcPr>
                  <w:tcW w:w="792" w:type="pct"/>
                  <w:vAlign w:val="center"/>
                </w:tcPr>
                <w:p>
                  <w:pPr>
                    <w:spacing w:line="240" w:lineRule="auto"/>
                    <w:jc w:val="center"/>
                    <w:rPr>
                      <w:sz w:val="21"/>
                    </w:rPr>
                  </w:pPr>
                  <w:r>
                    <w:rPr>
                      <w:sz w:val="21"/>
                    </w:rPr>
                    <w:t>监测频次</w:t>
                  </w:r>
                </w:p>
              </w:tc>
              <w:tc>
                <w:tcPr>
                  <w:tcW w:w="1461" w:type="pct"/>
                  <w:vAlign w:val="center"/>
                </w:tcPr>
                <w:p>
                  <w:pPr>
                    <w:spacing w:line="240" w:lineRule="auto"/>
                    <w:jc w:val="center"/>
                    <w:rPr>
                      <w:sz w:val="21"/>
                      <w:szCs w:val="21"/>
                    </w:rPr>
                  </w:pPr>
                  <w:r>
                    <w:rPr>
                      <w:sz w:val="21"/>
                    </w:rP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366" w:type="pct"/>
                  <w:vAlign w:val="center"/>
                </w:tcPr>
                <w:p>
                  <w:pPr>
                    <w:spacing w:line="240" w:lineRule="auto"/>
                    <w:jc w:val="center"/>
                    <w:rPr>
                      <w:sz w:val="21"/>
                      <w:szCs w:val="21"/>
                    </w:rPr>
                  </w:pPr>
                  <w:r>
                    <w:rPr>
                      <w:sz w:val="21"/>
                    </w:rPr>
                    <w:t>废气</w:t>
                  </w:r>
                </w:p>
              </w:tc>
              <w:tc>
                <w:tcPr>
                  <w:tcW w:w="621" w:type="pct"/>
                  <w:vAlign w:val="center"/>
                </w:tcPr>
                <w:p>
                  <w:pPr>
                    <w:spacing w:line="240" w:lineRule="auto"/>
                    <w:jc w:val="center"/>
                    <w:rPr>
                      <w:sz w:val="21"/>
                      <w:szCs w:val="21"/>
                    </w:rPr>
                  </w:pPr>
                  <w:r>
                    <w:rPr>
                      <w:sz w:val="21"/>
                    </w:rPr>
                    <w:t>无组织</w:t>
                  </w:r>
                </w:p>
              </w:tc>
              <w:tc>
                <w:tcPr>
                  <w:tcW w:w="967" w:type="pct"/>
                  <w:vAlign w:val="center"/>
                </w:tcPr>
                <w:p>
                  <w:pPr>
                    <w:spacing w:line="240" w:lineRule="auto"/>
                    <w:jc w:val="center"/>
                    <w:rPr>
                      <w:sz w:val="21"/>
                      <w:szCs w:val="21"/>
                    </w:rPr>
                  </w:pPr>
                  <w:r>
                    <w:rPr>
                      <w:sz w:val="21"/>
                    </w:rPr>
                    <w:t>项目最大落地浓度范围内上风向1个点、下风向3个点</w:t>
                  </w:r>
                </w:p>
              </w:tc>
              <w:tc>
                <w:tcPr>
                  <w:tcW w:w="793" w:type="pct"/>
                  <w:vAlign w:val="center"/>
                </w:tcPr>
                <w:p>
                  <w:pPr>
                    <w:spacing w:line="240" w:lineRule="auto"/>
                    <w:jc w:val="center"/>
                    <w:rPr>
                      <w:sz w:val="21"/>
                      <w:szCs w:val="21"/>
                    </w:rPr>
                  </w:pPr>
                  <w:r>
                    <w:rPr>
                      <w:sz w:val="21"/>
                    </w:rPr>
                    <w:t>颗粒物</w:t>
                  </w:r>
                </w:p>
              </w:tc>
              <w:tc>
                <w:tcPr>
                  <w:tcW w:w="792" w:type="pct"/>
                  <w:vAlign w:val="center"/>
                </w:tcPr>
                <w:p>
                  <w:pPr>
                    <w:wordWrap w:val="0"/>
                    <w:spacing w:line="240" w:lineRule="auto"/>
                    <w:jc w:val="center"/>
                    <w:rPr>
                      <w:sz w:val="21"/>
                      <w:szCs w:val="21"/>
                    </w:rPr>
                  </w:pPr>
                  <w:r>
                    <w:rPr>
                      <w:sz w:val="21"/>
                    </w:rPr>
                    <w:t>每年一次</w:t>
                  </w:r>
                </w:p>
              </w:tc>
              <w:tc>
                <w:tcPr>
                  <w:tcW w:w="1461" w:type="pct"/>
                  <w:vAlign w:val="center"/>
                </w:tcPr>
                <w:p>
                  <w:pPr>
                    <w:spacing w:line="240" w:lineRule="auto"/>
                    <w:jc w:val="center"/>
                    <w:rPr>
                      <w:sz w:val="21"/>
                      <w:szCs w:val="21"/>
                    </w:rPr>
                  </w:pPr>
                  <w:r>
                    <w:rPr>
                      <w:bCs/>
                      <w:kern w:val="0"/>
                      <w:sz w:val="21"/>
                      <w:szCs w:val="21"/>
                    </w:rPr>
                    <w:t>《大气污染物综合排放标准》（GB16297-1996）表2中无组织排放监控浓度限值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987" w:type="pct"/>
                  <w:gridSpan w:val="2"/>
                  <w:vAlign w:val="center"/>
                </w:tcPr>
                <w:p>
                  <w:pPr>
                    <w:spacing w:line="240" w:lineRule="auto"/>
                    <w:jc w:val="center"/>
                    <w:rPr>
                      <w:sz w:val="21"/>
                      <w:szCs w:val="21"/>
                    </w:rPr>
                  </w:pPr>
                  <w:r>
                    <w:rPr>
                      <w:sz w:val="21"/>
                    </w:rPr>
                    <w:t>噪声</w:t>
                  </w:r>
                </w:p>
              </w:tc>
              <w:tc>
                <w:tcPr>
                  <w:tcW w:w="967" w:type="pct"/>
                  <w:vAlign w:val="center"/>
                </w:tcPr>
                <w:p>
                  <w:pPr>
                    <w:spacing w:line="240" w:lineRule="auto"/>
                    <w:jc w:val="center"/>
                    <w:rPr>
                      <w:sz w:val="21"/>
                      <w:szCs w:val="21"/>
                    </w:rPr>
                  </w:pPr>
                  <w:r>
                    <w:rPr>
                      <w:sz w:val="21"/>
                    </w:rPr>
                    <w:t>项目厂界四周各1个点</w:t>
                  </w:r>
                </w:p>
              </w:tc>
              <w:tc>
                <w:tcPr>
                  <w:tcW w:w="793" w:type="pct"/>
                  <w:vAlign w:val="center"/>
                </w:tcPr>
                <w:p>
                  <w:pPr>
                    <w:spacing w:line="240" w:lineRule="auto"/>
                    <w:jc w:val="center"/>
                    <w:rPr>
                      <w:sz w:val="21"/>
                      <w:szCs w:val="21"/>
                    </w:rPr>
                  </w:pPr>
                  <w:r>
                    <w:rPr>
                      <w:sz w:val="21"/>
                    </w:rPr>
                    <w:t>Leq（A）</w:t>
                  </w:r>
                </w:p>
              </w:tc>
              <w:tc>
                <w:tcPr>
                  <w:tcW w:w="792" w:type="pct"/>
                  <w:vAlign w:val="center"/>
                </w:tcPr>
                <w:p>
                  <w:pPr>
                    <w:spacing w:line="240" w:lineRule="auto"/>
                    <w:jc w:val="center"/>
                    <w:rPr>
                      <w:sz w:val="21"/>
                      <w:szCs w:val="21"/>
                    </w:rPr>
                  </w:pPr>
                  <w:r>
                    <w:rPr>
                      <w:sz w:val="21"/>
                    </w:rPr>
                    <w:t>每</w:t>
                  </w:r>
                  <w:r>
                    <w:rPr>
                      <w:rFonts w:hint="eastAsia"/>
                      <w:sz w:val="21"/>
                    </w:rPr>
                    <w:t>季度</w:t>
                  </w:r>
                  <w:r>
                    <w:rPr>
                      <w:sz w:val="21"/>
                    </w:rPr>
                    <w:t>一次</w:t>
                  </w:r>
                </w:p>
              </w:tc>
              <w:tc>
                <w:tcPr>
                  <w:tcW w:w="1461" w:type="pct"/>
                  <w:vAlign w:val="center"/>
                </w:tcPr>
                <w:p>
                  <w:pPr>
                    <w:wordWrap w:val="0"/>
                    <w:spacing w:line="240" w:lineRule="auto"/>
                    <w:jc w:val="center"/>
                    <w:rPr>
                      <w:sz w:val="21"/>
                      <w:szCs w:val="21"/>
                    </w:rPr>
                  </w:pPr>
                  <w:r>
                    <w:rPr>
                      <w:sz w:val="21"/>
                    </w:rPr>
                    <w:t>《工业企业厂界环境噪声排放标准》（GB12348-2008）中2类标准</w:t>
                  </w:r>
                </w:p>
              </w:tc>
            </w:tr>
          </w:tbl>
          <w:p>
            <w:pPr>
              <w:widowControl w:val="0"/>
              <w:wordWrap w:val="0"/>
              <w:ind w:firstLine="470" w:firstLineChars="196"/>
              <w:jc w:val="left"/>
              <w:rPr>
                <w:snapToGrid w:val="0"/>
                <w:kern w:val="0"/>
              </w:rPr>
            </w:pPr>
            <w:r>
              <w:rPr>
                <w:snapToGrid w:val="0"/>
                <w:kern w:val="0"/>
              </w:rPr>
              <w:t>3、环保投资</w:t>
            </w:r>
          </w:p>
          <w:p>
            <w:pPr>
              <w:widowControl w:val="0"/>
              <w:wordWrap w:val="0"/>
              <w:ind w:firstLine="480" w:firstLineChars="200"/>
            </w:pPr>
            <w:r>
              <w:t>本项目总投资</w:t>
            </w:r>
            <w:r>
              <w:rPr>
                <w:rFonts w:hint="eastAsia"/>
              </w:rPr>
              <w:t>3</w:t>
            </w:r>
            <w:r>
              <w:t>00万元，其中环保投资</w:t>
            </w:r>
            <w:r>
              <w:rPr>
                <w:rFonts w:hint="eastAsia"/>
              </w:rPr>
              <w:t>38</w:t>
            </w:r>
            <w:r>
              <w:t>万元，约占总投资的</w:t>
            </w:r>
            <w:r>
              <w:rPr>
                <w:rFonts w:hint="eastAsia"/>
              </w:rPr>
              <w:t>12.67</w:t>
            </w:r>
            <w:r>
              <w:t>%，主要用于项目废气处理、废水循环利用</w:t>
            </w:r>
            <w:r>
              <w:rPr>
                <w:rFonts w:hint="eastAsia"/>
              </w:rPr>
              <w:t>、</w:t>
            </w:r>
            <w:r>
              <w:t>固废处置及噪声治理等。环保措施及投资清单见表7-17。</w:t>
            </w:r>
          </w:p>
          <w:p>
            <w:pPr>
              <w:pStyle w:val="44"/>
              <w:widowControl w:val="0"/>
              <w:numPr>
                <w:ilvl w:val="0"/>
                <w:numId w:val="7"/>
              </w:numPr>
              <w:tabs>
                <w:tab w:val="left" w:pos="11"/>
              </w:tabs>
              <w:spacing w:line="240" w:lineRule="auto"/>
              <w:ind w:left="0" w:firstLine="0" w:firstLineChars="0"/>
              <w:jc w:val="center"/>
              <w:rPr>
                <w:b/>
                <w:sz w:val="21"/>
                <w:szCs w:val="21"/>
                <w:lang w:val="zh-CN"/>
              </w:rPr>
            </w:pPr>
            <w:r>
              <w:rPr>
                <w:b/>
                <w:sz w:val="21"/>
                <w:szCs w:val="21"/>
                <w:lang w:val="zh-CN"/>
              </w:rPr>
              <w:t>环保投资一览表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1642"/>
              <w:gridCol w:w="3127"/>
              <w:gridCol w:w="1636"/>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1300" w:type="pct"/>
                  <w:gridSpan w:val="2"/>
                  <w:vAlign w:val="center"/>
                </w:tcPr>
                <w:p>
                  <w:pPr>
                    <w:widowControl w:val="0"/>
                    <w:wordWrap w:val="0"/>
                    <w:spacing w:line="240" w:lineRule="auto"/>
                    <w:jc w:val="center"/>
                    <w:rPr>
                      <w:sz w:val="21"/>
                      <w:szCs w:val="21"/>
                    </w:rPr>
                  </w:pPr>
                  <w:r>
                    <w:rPr>
                      <w:sz w:val="21"/>
                      <w:szCs w:val="21"/>
                    </w:rPr>
                    <w:t>治理项目</w:t>
                  </w:r>
                </w:p>
              </w:tc>
              <w:tc>
                <w:tcPr>
                  <w:tcW w:w="1701" w:type="pct"/>
                  <w:vAlign w:val="center"/>
                </w:tcPr>
                <w:p>
                  <w:pPr>
                    <w:widowControl w:val="0"/>
                    <w:wordWrap w:val="0"/>
                    <w:spacing w:line="240" w:lineRule="auto"/>
                    <w:jc w:val="center"/>
                    <w:rPr>
                      <w:sz w:val="21"/>
                      <w:szCs w:val="21"/>
                    </w:rPr>
                  </w:pPr>
                  <w:r>
                    <w:rPr>
                      <w:sz w:val="21"/>
                      <w:szCs w:val="21"/>
                    </w:rPr>
                    <w:t>环保设施/措施</w:t>
                  </w:r>
                </w:p>
              </w:tc>
              <w:tc>
                <w:tcPr>
                  <w:tcW w:w="890" w:type="pct"/>
                  <w:vAlign w:val="center"/>
                </w:tcPr>
                <w:p>
                  <w:pPr>
                    <w:widowControl w:val="0"/>
                    <w:wordWrap w:val="0"/>
                    <w:spacing w:line="240" w:lineRule="auto"/>
                    <w:jc w:val="center"/>
                    <w:rPr>
                      <w:sz w:val="21"/>
                      <w:szCs w:val="21"/>
                    </w:rPr>
                  </w:pPr>
                  <w:r>
                    <w:rPr>
                      <w:sz w:val="21"/>
                      <w:szCs w:val="21"/>
                    </w:rPr>
                    <w:t>数量</w:t>
                  </w:r>
                </w:p>
              </w:tc>
              <w:tc>
                <w:tcPr>
                  <w:tcW w:w="1109" w:type="pct"/>
                  <w:vAlign w:val="center"/>
                </w:tcPr>
                <w:p>
                  <w:pPr>
                    <w:widowControl w:val="0"/>
                    <w:wordWrap w:val="0"/>
                    <w:spacing w:line="240" w:lineRule="auto"/>
                    <w:jc w:val="center"/>
                    <w:rPr>
                      <w:sz w:val="21"/>
                      <w:szCs w:val="21"/>
                    </w:rPr>
                  </w:pPr>
                  <w:r>
                    <w:rPr>
                      <w:sz w:val="21"/>
                      <w:szCs w:val="21"/>
                    </w:rPr>
                    <w:t>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407" w:type="pct"/>
                  <w:vMerge w:val="restart"/>
                  <w:vAlign w:val="center"/>
                </w:tcPr>
                <w:p>
                  <w:pPr>
                    <w:widowControl w:val="0"/>
                    <w:wordWrap w:val="0"/>
                    <w:spacing w:line="240" w:lineRule="auto"/>
                    <w:jc w:val="center"/>
                    <w:rPr>
                      <w:sz w:val="21"/>
                      <w:szCs w:val="21"/>
                    </w:rPr>
                  </w:pPr>
                  <w:r>
                    <w:rPr>
                      <w:sz w:val="21"/>
                      <w:szCs w:val="21"/>
                    </w:rPr>
                    <w:t>废气</w:t>
                  </w:r>
                </w:p>
              </w:tc>
              <w:tc>
                <w:tcPr>
                  <w:tcW w:w="893" w:type="pct"/>
                  <w:vAlign w:val="center"/>
                </w:tcPr>
                <w:p>
                  <w:pPr>
                    <w:widowControl w:val="0"/>
                    <w:wordWrap w:val="0"/>
                    <w:spacing w:line="240" w:lineRule="auto"/>
                    <w:jc w:val="center"/>
                    <w:rPr>
                      <w:sz w:val="21"/>
                      <w:szCs w:val="21"/>
                    </w:rPr>
                  </w:pPr>
                  <w:r>
                    <w:rPr>
                      <w:rFonts w:hint="eastAsia"/>
                      <w:sz w:val="21"/>
                      <w:szCs w:val="21"/>
                    </w:rPr>
                    <w:t>生产区</w:t>
                  </w:r>
                </w:p>
              </w:tc>
              <w:tc>
                <w:tcPr>
                  <w:tcW w:w="1701" w:type="pct"/>
                  <w:vAlign w:val="center"/>
                </w:tcPr>
                <w:p>
                  <w:pPr>
                    <w:widowControl w:val="0"/>
                    <w:wordWrap w:val="0"/>
                    <w:spacing w:line="240" w:lineRule="auto"/>
                    <w:jc w:val="center"/>
                    <w:rPr>
                      <w:sz w:val="21"/>
                      <w:szCs w:val="21"/>
                    </w:rPr>
                  </w:pPr>
                  <w:r>
                    <w:rPr>
                      <w:rFonts w:hint="eastAsia"/>
                      <w:sz w:val="21"/>
                      <w:szCs w:val="21"/>
                    </w:rPr>
                    <w:t>全封闭厂房、破碎筛分设备独立封闭、雾化喷淋设施</w:t>
                  </w:r>
                </w:p>
              </w:tc>
              <w:tc>
                <w:tcPr>
                  <w:tcW w:w="890" w:type="pct"/>
                  <w:vMerge w:val="restart"/>
                  <w:vAlign w:val="center"/>
                </w:tcPr>
                <w:p>
                  <w:pPr>
                    <w:widowControl w:val="0"/>
                    <w:wordWrap w:val="0"/>
                    <w:spacing w:line="240" w:lineRule="auto"/>
                    <w:jc w:val="center"/>
                    <w:rPr>
                      <w:sz w:val="21"/>
                      <w:szCs w:val="21"/>
                    </w:rPr>
                  </w:pPr>
                  <w:r>
                    <w:rPr>
                      <w:rFonts w:hint="eastAsia"/>
                      <w:sz w:val="21"/>
                      <w:szCs w:val="21"/>
                    </w:rPr>
                    <w:t>1套</w:t>
                  </w:r>
                </w:p>
              </w:tc>
              <w:tc>
                <w:tcPr>
                  <w:tcW w:w="1109" w:type="pct"/>
                  <w:vMerge w:val="restart"/>
                  <w:vAlign w:val="center"/>
                </w:tcPr>
                <w:p>
                  <w:pPr>
                    <w:widowControl w:val="0"/>
                    <w:wordWrap w:val="0"/>
                    <w:spacing w:line="240" w:lineRule="auto"/>
                    <w:jc w:val="center"/>
                    <w:rPr>
                      <w:sz w:val="21"/>
                      <w:szCs w:val="21"/>
                    </w:rPr>
                  </w:pPr>
                  <w:r>
                    <w:rPr>
                      <w:rFonts w:hint="eastAsia"/>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407" w:type="pct"/>
                  <w:vMerge w:val="continue"/>
                  <w:vAlign w:val="center"/>
                </w:tcPr>
                <w:p>
                  <w:pPr>
                    <w:widowControl w:val="0"/>
                    <w:wordWrap w:val="0"/>
                    <w:spacing w:line="240" w:lineRule="auto"/>
                    <w:jc w:val="center"/>
                    <w:rPr>
                      <w:sz w:val="21"/>
                      <w:szCs w:val="21"/>
                    </w:rPr>
                  </w:pPr>
                </w:p>
              </w:tc>
              <w:tc>
                <w:tcPr>
                  <w:tcW w:w="893" w:type="pct"/>
                  <w:vAlign w:val="center"/>
                </w:tcPr>
                <w:p>
                  <w:pPr>
                    <w:widowControl w:val="0"/>
                    <w:wordWrap w:val="0"/>
                    <w:spacing w:line="240" w:lineRule="auto"/>
                    <w:jc w:val="center"/>
                    <w:rPr>
                      <w:sz w:val="21"/>
                      <w:szCs w:val="21"/>
                    </w:rPr>
                  </w:pPr>
                  <w:r>
                    <w:rPr>
                      <w:rFonts w:hint="eastAsia"/>
                      <w:sz w:val="21"/>
                      <w:szCs w:val="21"/>
                    </w:rPr>
                    <w:t>运输</w:t>
                  </w:r>
                  <w:r>
                    <w:rPr>
                      <w:sz w:val="21"/>
                      <w:szCs w:val="21"/>
                    </w:rPr>
                    <w:t>道路</w:t>
                  </w:r>
                </w:p>
              </w:tc>
              <w:tc>
                <w:tcPr>
                  <w:tcW w:w="1701" w:type="pct"/>
                  <w:vAlign w:val="center"/>
                </w:tcPr>
                <w:p>
                  <w:pPr>
                    <w:widowControl w:val="0"/>
                    <w:wordWrap w:val="0"/>
                    <w:spacing w:line="240" w:lineRule="auto"/>
                    <w:jc w:val="center"/>
                    <w:rPr>
                      <w:sz w:val="21"/>
                    </w:rPr>
                  </w:pPr>
                  <w:r>
                    <w:rPr>
                      <w:rFonts w:hint="eastAsia"/>
                      <w:sz w:val="21"/>
                      <w:szCs w:val="21"/>
                    </w:rPr>
                    <w:t>雾化喷淋设施</w:t>
                  </w:r>
                </w:p>
              </w:tc>
              <w:tc>
                <w:tcPr>
                  <w:tcW w:w="890" w:type="pct"/>
                  <w:vMerge w:val="continue"/>
                  <w:vAlign w:val="center"/>
                </w:tcPr>
                <w:p>
                  <w:pPr>
                    <w:widowControl w:val="0"/>
                    <w:wordWrap w:val="0"/>
                    <w:spacing w:line="240" w:lineRule="auto"/>
                    <w:jc w:val="center"/>
                    <w:rPr>
                      <w:sz w:val="21"/>
                      <w:szCs w:val="21"/>
                    </w:rPr>
                  </w:pPr>
                </w:p>
              </w:tc>
              <w:tc>
                <w:tcPr>
                  <w:tcW w:w="1109" w:type="pct"/>
                  <w:vMerge w:val="continue"/>
                  <w:vAlign w:val="center"/>
                </w:tcPr>
                <w:p>
                  <w:pPr>
                    <w:widowControl w:val="0"/>
                    <w:wordWrap w:val="0"/>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407" w:type="pct"/>
                  <w:vMerge w:val="continue"/>
                  <w:vAlign w:val="center"/>
                </w:tcPr>
                <w:p>
                  <w:pPr>
                    <w:widowControl w:val="0"/>
                    <w:wordWrap w:val="0"/>
                    <w:spacing w:line="240" w:lineRule="auto"/>
                    <w:jc w:val="center"/>
                    <w:rPr>
                      <w:sz w:val="21"/>
                      <w:szCs w:val="21"/>
                    </w:rPr>
                  </w:pPr>
                </w:p>
              </w:tc>
              <w:tc>
                <w:tcPr>
                  <w:tcW w:w="893" w:type="pct"/>
                  <w:vAlign w:val="center"/>
                </w:tcPr>
                <w:p>
                  <w:pPr>
                    <w:widowControl w:val="0"/>
                    <w:wordWrap w:val="0"/>
                    <w:spacing w:line="240" w:lineRule="auto"/>
                    <w:jc w:val="center"/>
                    <w:rPr>
                      <w:sz w:val="21"/>
                      <w:szCs w:val="21"/>
                    </w:rPr>
                  </w:pPr>
                  <w:r>
                    <w:rPr>
                      <w:rFonts w:hint="eastAsia"/>
                      <w:sz w:val="21"/>
                      <w:szCs w:val="21"/>
                    </w:rPr>
                    <w:t>食堂</w:t>
                  </w:r>
                </w:p>
              </w:tc>
              <w:tc>
                <w:tcPr>
                  <w:tcW w:w="1701" w:type="pct"/>
                  <w:vAlign w:val="center"/>
                </w:tcPr>
                <w:p>
                  <w:pPr>
                    <w:widowControl w:val="0"/>
                    <w:wordWrap w:val="0"/>
                    <w:spacing w:line="240" w:lineRule="auto"/>
                    <w:jc w:val="center"/>
                    <w:rPr>
                      <w:sz w:val="21"/>
                      <w:szCs w:val="21"/>
                    </w:rPr>
                  </w:pPr>
                  <w:r>
                    <w:rPr>
                      <w:rFonts w:hint="eastAsia"/>
                      <w:sz w:val="21"/>
                      <w:szCs w:val="21"/>
                    </w:rPr>
                    <w:t>油烟净化器+专用烟道</w:t>
                  </w:r>
                </w:p>
              </w:tc>
              <w:tc>
                <w:tcPr>
                  <w:tcW w:w="890" w:type="pct"/>
                  <w:vAlign w:val="center"/>
                </w:tcPr>
                <w:p>
                  <w:pPr>
                    <w:widowControl w:val="0"/>
                    <w:wordWrap w:val="0"/>
                    <w:spacing w:line="240" w:lineRule="auto"/>
                    <w:jc w:val="center"/>
                    <w:rPr>
                      <w:sz w:val="21"/>
                      <w:szCs w:val="21"/>
                    </w:rPr>
                  </w:pPr>
                  <w:r>
                    <w:rPr>
                      <w:rFonts w:hint="eastAsia"/>
                      <w:sz w:val="21"/>
                      <w:szCs w:val="21"/>
                    </w:rPr>
                    <w:t>1套</w:t>
                  </w:r>
                </w:p>
              </w:tc>
              <w:tc>
                <w:tcPr>
                  <w:tcW w:w="1109" w:type="pct"/>
                  <w:vAlign w:val="center"/>
                </w:tcPr>
                <w:p>
                  <w:pPr>
                    <w:widowControl w:val="0"/>
                    <w:wordWrap w:val="0"/>
                    <w:spacing w:line="240" w:lineRule="auto"/>
                    <w:jc w:val="center"/>
                    <w:rPr>
                      <w:sz w:val="21"/>
                      <w:szCs w:val="21"/>
                    </w:rPr>
                  </w:pPr>
                  <w:r>
                    <w:rPr>
                      <w:rFonts w:hint="eastAsia"/>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407" w:type="pct"/>
                  <w:vMerge w:val="restart"/>
                  <w:vAlign w:val="center"/>
                </w:tcPr>
                <w:p>
                  <w:pPr>
                    <w:widowControl w:val="0"/>
                    <w:wordWrap w:val="0"/>
                    <w:spacing w:line="240" w:lineRule="auto"/>
                    <w:jc w:val="center"/>
                    <w:rPr>
                      <w:sz w:val="21"/>
                      <w:szCs w:val="21"/>
                    </w:rPr>
                  </w:pPr>
                  <w:r>
                    <w:rPr>
                      <w:sz w:val="21"/>
                      <w:szCs w:val="21"/>
                    </w:rPr>
                    <w:t>废水</w:t>
                  </w:r>
                </w:p>
              </w:tc>
              <w:tc>
                <w:tcPr>
                  <w:tcW w:w="893" w:type="pct"/>
                  <w:vAlign w:val="center"/>
                </w:tcPr>
                <w:p>
                  <w:pPr>
                    <w:widowControl w:val="0"/>
                    <w:wordWrap w:val="0"/>
                    <w:spacing w:line="240" w:lineRule="auto"/>
                    <w:jc w:val="center"/>
                    <w:rPr>
                      <w:sz w:val="21"/>
                      <w:szCs w:val="21"/>
                    </w:rPr>
                  </w:pPr>
                  <w:r>
                    <w:rPr>
                      <w:sz w:val="21"/>
                      <w:szCs w:val="21"/>
                    </w:rPr>
                    <w:t>生活污水</w:t>
                  </w:r>
                </w:p>
              </w:tc>
              <w:tc>
                <w:tcPr>
                  <w:tcW w:w="1701" w:type="pct"/>
                  <w:vAlign w:val="center"/>
                </w:tcPr>
                <w:p>
                  <w:pPr>
                    <w:widowControl w:val="0"/>
                    <w:wordWrap w:val="0"/>
                    <w:spacing w:line="240" w:lineRule="auto"/>
                    <w:jc w:val="center"/>
                    <w:rPr>
                      <w:sz w:val="21"/>
                      <w:szCs w:val="21"/>
                    </w:rPr>
                  </w:pPr>
                  <w:r>
                    <w:rPr>
                      <w:sz w:val="21"/>
                      <w:szCs w:val="21"/>
                    </w:rPr>
                    <w:t>新建化粪池（</w:t>
                  </w:r>
                  <w:r>
                    <w:rPr>
                      <w:rFonts w:hint="eastAsia"/>
                      <w:sz w:val="21"/>
                      <w:szCs w:val="21"/>
                    </w:rPr>
                    <w:t>容积5</w:t>
                  </w:r>
                  <w:r>
                    <w:rPr>
                      <w:sz w:val="21"/>
                      <w:szCs w:val="21"/>
                    </w:rPr>
                    <w:t>m</w:t>
                  </w:r>
                  <w:r>
                    <w:rPr>
                      <w:sz w:val="21"/>
                      <w:szCs w:val="21"/>
                      <w:vertAlign w:val="superscript"/>
                    </w:rPr>
                    <w:t>3</w:t>
                  </w:r>
                  <w:r>
                    <w:rPr>
                      <w:sz w:val="21"/>
                      <w:szCs w:val="21"/>
                    </w:rPr>
                    <w:t>）</w:t>
                  </w:r>
                </w:p>
              </w:tc>
              <w:tc>
                <w:tcPr>
                  <w:tcW w:w="890" w:type="pct"/>
                  <w:vAlign w:val="center"/>
                </w:tcPr>
                <w:p>
                  <w:pPr>
                    <w:widowControl w:val="0"/>
                    <w:wordWrap w:val="0"/>
                    <w:spacing w:line="240" w:lineRule="auto"/>
                    <w:jc w:val="center"/>
                    <w:rPr>
                      <w:sz w:val="21"/>
                      <w:szCs w:val="21"/>
                    </w:rPr>
                  </w:pPr>
                  <w:r>
                    <w:rPr>
                      <w:sz w:val="21"/>
                      <w:szCs w:val="21"/>
                    </w:rPr>
                    <w:t>1座</w:t>
                  </w:r>
                </w:p>
              </w:tc>
              <w:tc>
                <w:tcPr>
                  <w:tcW w:w="1109" w:type="pct"/>
                  <w:vAlign w:val="center"/>
                </w:tcPr>
                <w:p>
                  <w:pPr>
                    <w:widowControl w:val="0"/>
                    <w:wordWrap w:val="0"/>
                    <w:spacing w:line="240" w:lineRule="auto"/>
                    <w:jc w:val="center"/>
                    <w:rPr>
                      <w:sz w:val="21"/>
                      <w:szCs w:val="21"/>
                    </w:rPr>
                  </w:pPr>
                  <w:r>
                    <w:rPr>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407" w:type="pct"/>
                  <w:vMerge w:val="continue"/>
                  <w:vAlign w:val="center"/>
                </w:tcPr>
                <w:p>
                  <w:pPr>
                    <w:widowControl w:val="0"/>
                    <w:wordWrap w:val="0"/>
                    <w:spacing w:line="240" w:lineRule="auto"/>
                    <w:jc w:val="center"/>
                    <w:rPr>
                      <w:sz w:val="21"/>
                      <w:szCs w:val="21"/>
                    </w:rPr>
                  </w:pPr>
                </w:p>
              </w:tc>
              <w:tc>
                <w:tcPr>
                  <w:tcW w:w="893" w:type="pct"/>
                  <w:vAlign w:val="center"/>
                </w:tcPr>
                <w:p>
                  <w:pPr>
                    <w:widowControl w:val="0"/>
                    <w:wordWrap w:val="0"/>
                    <w:spacing w:line="240" w:lineRule="auto"/>
                    <w:jc w:val="center"/>
                    <w:rPr>
                      <w:sz w:val="21"/>
                      <w:szCs w:val="21"/>
                    </w:rPr>
                  </w:pPr>
                  <w:r>
                    <w:rPr>
                      <w:sz w:val="21"/>
                      <w:szCs w:val="21"/>
                    </w:rPr>
                    <w:t>生产废水</w:t>
                  </w:r>
                </w:p>
              </w:tc>
              <w:tc>
                <w:tcPr>
                  <w:tcW w:w="1701" w:type="pct"/>
                  <w:vAlign w:val="center"/>
                </w:tcPr>
                <w:p>
                  <w:pPr>
                    <w:widowControl w:val="0"/>
                    <w:wordWrap w:val="0"/>
                    <w:spacing w:line="240" w:lineRule="auto"/>
                    <w:jc w:val="center"/>
                    <w:rPr>
                      <w:sz w:val="21"/>
                      <w:szCs w:val="21"/>
                    </w:rPr>
                  </w:pPr>
                  <w:r>
                    <w:rPr>
                      <w:sz w:val="21"/>
                      <w:szCs w:val="21"/>
                    </w:rPr>
                    <w:t>沉淀池（</w:t>
                  </w:r>
                  <w:r>
                    <w:rPr>
                      <w:rFonts w:hint="eastAsia"/>
                      <w:sz w:val="21"/>
                      <w:szCs w:val="21"/>
                    </w:rPr>
                    <w:t>容积200</w:t>
                  </w:r>
                  <w:r>
                    <w:rPr>
                      <w:sz w:val="21"/>
                      <w:szCs w:val="21"/>
                    </w:rPr>
                    <w:t>m</w:t>
                  </w:r>
                  <w:r>
                    <w:rPr>
                      <w:sz w:val="21"/>
                      <w:szCs w:val="21"/>
                      <w:vertAlign w:val="superscript"/>
                    </w:rPr>
                    <w:t>3</w:t>
                  </w:r>
                  <w:r>
                    <w:rPr>
                      <w:sz w:val="21"/>
                      <w:szCs w:val="21"/>
                    </w:rPr>
                    <w:t>）</w:t>
                  </w:r>
                </w:p>
              </w:tc>
              <w:tc>
                <w:tcPr>
                  <w:tcW w:w="890" w:type="pct"/>
                  <w:vAlign w:val="center"/>
                </w:tcPr>
                <w:p>
                  <w:pPr>
                    <w:widowControl w:val="0"/>
                    <w:wordWrap w:val="0"/>
                    <w:spacing w:line="240" w:lineRule="auto"/>
                    <w:jc w:val="center"/>
                    <w:rPr>
                      <w:sz w:val="21"/>
                      <w:szCs w:val="21"/>
                    </w:rPr>
                  </w:pPr>
                  <w:r>
                    <w:rPr>
                      <w:sz w:val="21"/>
                      <w:szCs w:val="21"/>
                    </w:rPr>
                    <w:t>1座</w:t>
                  </w:r>
                </w:p>
              </w:tc>
              <w:tc>
                <w:tcPr>
                  <w:tcW w:w="1109" w:type="pct"/>
                  <w:vAlign w:val="center"/>
                </w:tcPr>
                <w:p>
                  <w:pPr>
                    <w:widowControl w:val="0"/>
                    <w:wordWrap w:val="0"/>
                    <w:spacing w:line="240" w:lineRule="auto"/>
                    <w:jc w:val="center"/>
                    <w:rPr>
                      <w:sz w:val="21"/>
                      <w:szCs w:val="21"/>
                    </w:rPr>
                  </w:pPr>
                  <w:r>
                    <w:rPr>
                      <w:rFonts w:hint="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407" w:type="pct"/>
                  <w:vMerge w:val="restart"/>
                  <w:vAlign w:val="center"/>
                </w:tcPr>
                <w:p>
                  <w:pPr>
                    <w:widowControl w:val="0"/>
                    <w:wordWrap w:val="0"/>
                    <w:spacing w:line="240" w:lineRule="auto"/>
                    <w:jc w:val="center"/>
                    <w:rPr>
                      <w:sz w:val="21"/>
                      <w:szCs w:val="21"/>
                    </w:rPr>
                  </w:pPr>
                  <w:r>
                    <w:rPr>
                      <w:sz w:val="21"/>
                      <w:szCs w:val="21"/>
                    </w:rPr>
                    <w:t>固废</w:t>
                  </w:r>
                </w:p>
              </w:tc>
              <w:tc>
                <w:tcPr>
                  <w:tcW w:w="893" w:type="pct"/>
                  <w:vAlign w:val="center"/>
                </w:tcPr>
                <w:p>
                  <w:pPr>
                    <w:widowControl w:val="0"/>
                    <w:wordWrap w:val="0"/>
                    <w:spacing w:line="240" w:lineRule="auto"/>
                    <w:jc w:val="center"/>
                    <w:rPr>
                      <w:sz w:val="21"/>
                      <w:szCs w:val="21"/>
                    </w:rPr>
                  </w:pPr>
                  <w:r>
                    <w:rPr>
                      <w:sz w:val="21"/>
                      <w:szCs w:val="21"/>
                    </w:rPr>
                    <w:t>生活垃圾</w:t>
                  </w:r>
                </w:p>
              </w:tc>
              <w:tc>
                <w:tcPr>
                  <w:tcW w:w="1701" w:type="pct"/>
                  <w:vAlign w:val="center"/>
                </w:tcPr>
                <w:p>
                  <w:pPr>
                    <w:widowControl w:val="0"/>
                    <w:wordWrap w:val="0"/>
                    <w:spacing w:line="240" w:lineRule="auto"/>
                    <w:jc w:val="center"/>
                    <w:rPr>
                      <w:sz w:val="21"/>
                      <w:szCs w:val="21"/>
                    </w:rPr>
                  </w:pPr>
                  <w:r>
                    <w:rPr>
                      <w:sz w:val="21"/>
                      <w:szCs w:val="21"/>
                    </w:rPr>
                    <w:t>垃圾桶</w:t>
                  </w:r>
                </w:p>
              </w:tc>
              <w:tc>
                <w:tcPr>
                  <w:tcW w:w="890" w:type="pct"/>
                  <w:vAlign w:val="center"/>
                </w:tcPr>
                <w:p>
                  <w:pPr>
                    <w:widowControl w:val="0"/>
                    <w:wordWrap w:val="0"/>
                    <w:spacing w:line="240" w:lineRule="auto"/>
                    <w:jc w:val="center"/>
                    <w:rPr>
                      <w:sz w:val="21"/>
                      <w:szCs w:val="21"/>
                    </w:rPr>
                  </w:pPr>
                  <w:r>
                    <w:rPr>
                      <w:sz w:val="21"/>
                      <w:szCs w:val="21"/>
                    </w:rPr>
                    <w:t>若干</w:t>
                  </w:r>
                </w:p>
              </w:tc>
              <w:tc>
                <w:tcPr>
                  <w:tcW w:w="1109" w:type="pct"/>
                  <w:vAlign w:val="center"/>
                </w:tcPr>
                <w:p>
                  <w:pPr>
                    <w:widowControl w:val="0"/>
                    <w:wordWrap w:val="0"/>
                    <w:spacing w:line="240" w:lineRule="auto"/>
                    <w:jc w:val="center"/>
                    <w:rPr>
                      <w:sz w:val="21"/>
                      <w:szCs w:val="21"/>
                    </w:rPr>
                  </w:pPr>
                  <w:r>
                    <w:rPr>
                      <w:rFonts w:hint="eastAsia"/>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407" w:type="pct"/>
                  <w:vMerge w:val="continue"/>
                  <w:vAlign w:val="center"/>
                </w:tcPr>
                <w:p>
                  <w:pPr>
                    <w:widowControl w:val="0"/>
                    <w:wordWrap w:val="0"/>
                    <w:spacing w:line="240" w:lineRule="auto"/>
                    <w:jc w:val="center"/>
                    <w:rPr>
                      <w:sz w:val="21"/>
                      <w:szCs w:val="21"/>
                    </w:rPr>
                  </w:pPr>
                </w:p>
              </w:tc>
              <w:tc>
                <w:tcPr>
                  <w:tcW w:w="893" w:type="pct"/>
                  <w:vMerge w:val="restart"/>
                  <w:vAlign w:val="center"/>
                </w:tcPr>
                <w:p>
                  <w:pPr>
                    <w:widowControl w:val="0"/>
                    <w:wordWrap w:val="0"/>
                    <w:spacing w:line="240" w:lineRule="auto"/>
                    <w:jc w:val="center"/>
                    <w:rPr>
                      <w:sz w:val="21"/>
                      <w:szCs w:val="21"/>
                    </w:rPr>
                  </w:pPr>
                  <w:r>
                    <w:rPr>
                      <w:sz w:val="21"/>
                      <w:szCs w:val="21"/>
                    </w:rPr>
                    <w:t>危险废物</w:t>
                  </w:r>
                </w:p>
              </w:tc>
              <w:tc>
                <w:tcPr>
                  <w:tcW w:w="1701" w:type="pct"/>
                  <w:vAlign w:val="center"/>
                </w:tcPr>
                <w:p>
                  <w:pPr>
                    <w:widowControl w:val="0"/>
                    <w:wordWrap w:val="0"/>
                    <w:spacing w:line="240" w:lineRule="auto"/>
                    <w:jc w:val="center"/>
                    <w:rPr>
                      <w:sz w:val="21"/>
                      <w:szCs w:val="21"/>
                    </w:rPr>
                  </w:pPr>
                  <w:r>
                    <w:rPr>
                      <w:sz w:val="21"/>
                      <w:szCs w:val="21"/>
                    </w:rPr>
                    <w:t>危废暂存间</w:t>
                  </w:r>
                </w:p>
              </w:tc>
              <w:tc>
                <w:tcPr>
                  <w:tcW w:w="890" w:type="pct"/>
                  <w:vAlign w:val="center"/>
                </w:tcPr>
                <w:p>
                  <w:pPr>
                    <w:widowControl w:val="0"/>
                    <w:wordWrap w:val="0"/>
                    <w:spacing w:line="240" w:lineRule="auto"/>
                    <w:jc w:val="center"/>
                    <w:rPr>
                      <w:sz w:val="21"/>
                      <w:szCs w:val="21"/>
                    </w:rPr>
                  </w:pPr>
                  <w:r>
                    <w:rPr>
                      <w:sz w:val="21"/>
                      <w:szCs w:val="21"/>
                    </w:rPr>
                    <w:t>1间</w:t>
                  </w:r>
                </w:p>
              </w:tc>
              <w:tc>
                <w:tcPr>
                  <w:tcW w:w="1109" w:type="pct"/>
                  <w:vAlign w:val="center"/>
                </w:tcPr>
                <w:p>
                  <w:pPr>
                    <w:widowControl w:val="0"/>
                    <w:wordWrap w:val="0"/>
                    <w:spacing w:line="240" w:lineRule="auto"/>
                    <w:jc w:val="center"/>
                    <w:rPr>
                      <w:sz w:val="21"/>
                      <w:szCs w:val="21"/>
                    </w:rPr>
                  </w:pPr>
                  <w:r>
                    <w:rPr>
                      <w:rFonts w:hint="eastAsia"/>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407" w:type="pct"/>
                  <w:vMerge w:val="continue"/>
                  <w:vAlign w:val="center"/>
                </w:tcPr>
                <w:p>
                  <w:pPr>
                    <w:widowControl w:val="0"/>
                    <w:wordWrap w:val="0"/>
                    <w:spacing w:line="240" w:lineRule="auto"/>
                    <w:jc w:val="center"/>
                    <w:rPr>
                      <w:sz w:val="21"/>
                      <w:szCs w:val="21"/>
                    </w:rPr>
                  </w:pPr>
                </w:p>
              </w:tc>
              <w:tc>
                <w:tcPr>
                  <w:tcW w:w="893" w:type="pct"/>
                  <w:vMerge w:val="continue"/>
                  <w:vAlign w:val="center"/>
                </w:tcPr>
                <w:p>
                  <w:pPr>
                    <w:widowControl w:val="0"/>
                    <w:wordWrap w:val="0"/>
                    <w:spacing w:line="240" w:lineRule="auto"/>
                    <w:jc w:val="center"/>
                    <w:rPr>
                      <w:sz w:val="21"/>
                      <w:szCs w:val="21"/>
                    </w:rPr>
                  </w:pPr>
                </w:p>
              </w:tc>
              <w:tc>
                <w:tcPr>
                  <w:tcW w:w="1701" w:type="pct"/>
                  <w:vAlign w:val="center"/>
                </w:tcPr>
                <w:p>
                  <w:pPr>
                    <w:widowControl w:val="0"/>
                    <w:wordWrap w:val="0"/>
                    <w:spacing w:line="240" w:lineRule="auto"/>
                    <w:jc w:val="center"/>
                    <w:rPr>
                      <w:sz w:val="21"/>
                      <w:szCs w:val="21"/>
                    </w:rPr>
                  </w:pPr>
                  <w:r>
                    <w:rPr>
                      <w:sz w:val="21"/>
                      <w:szCs w:val="21"/>
                    </w:rPr>
                    <w:t>专用容器</w:t>
                  </w:r>
                </w:p>
              </w:tc>
              <w:tc>
                <w:tcPr>
                  <w:tcW w:w="890" w:type="pct"/>
                  <w:vAlign w:val="center"/>
                </w:tcPr>
                <w:p>
                  <w:pPr>
                    <w:widowControl w:val="0"/>
                    <w:wordWrap w:val="0"/>
                    <w:spacing w:line="240" w:lineRule="auto"/>
                    <w:jc w:val="center"/>
                    <w:rPr>
                      <w:sz w:val="21"/>
                      <w:szCs w:val="21"/>
                    </w:rPr>
                  </w:pPr>
                  <w:r>
                    <w:rPr>
                      <w:sz w:val="21"/>
                      <w:szCs w:val="21"/>
                    </w:rPr>
                    <w:t>若干</w:t>
                  </w:r>
                </w:p>
              </w:tc>
              <w:tc>
                <w:tcPr>
                  <w:tcW w:w="1109" w:type="pct"/>
                  <w:vAlign w:val="center"/>
                </w:tcPr>
                <w:p>
                  <w:pPr>
                    <w:widowControl w:val="0"/>
                    <w:wordWrap w:val="0"/>
                    <w:spacing w:line="240" w:lineRule="auto"/>
                    <w:jc w:val="center"/>
                    <w:rPr>
                      <w:sz w:val="21"/>
                      <w:szCs w:val="21"/>
                    </w:rPr>
                  </w:pPr>
                  <w:r>
                    <w:rPr>
                      <w:sz w:val="21"/>
                      <w:szCs w:val="21"/>
                    </w:rPr>
                    <w:t>0.</w:t>
                  </w:r>
                  <w:r>
                    <w:rPr>
                      <w:rFonts w:hint="eastAsia"/>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1300" w:type="pct"/>
                  <w:gridSpan w:val="2"/>
                  <w:vAlign w:val="center"/>
                </w:tcPr>
                <w:p>
                  <w:pPr>
                    <w:widowControl w:val="0"/>
                    <w:wordWrap w:val="0"/>
                    <w:spacing w:line="240" w:lineRule="auto"/>
                    <w:jc w:val="center"/>
                    <w:rPr>
                      <w:sz w:val="21"/>
                      <w:szCs w:val="21"/>
                    </w:rPr>
                  </w:pPr>
                  <w:r>
                    <w:rPr>
                      <w:sz w:val="21"/>
                      <w:szCs w:val="21"/>
                    </w:rPr>
                    <w:t>噪声</w:t>
                  </w:r>
                </w:p>
              </w:tc>
              <w:tc>
                <w:tcPr>
                  <w:tcW w:w="1701" w:type="pct"/>
                  <w:vAlign w:val="center"/>
                </w:tcPr>
                <w:p>
                  <w:pPr>
                    <w:widowControl w:val="0"/>
                    <w:wordWrap w:val="0"/>
                    <w:spacing w:line="240" w:lineRule="auto"/>
                    <w:jc w:val="center"/>
                    <w:rPr>
                      <w:sz w:val="21"/>
                      <w:szCs w:val="21"/>
                    </w:rPr>
                  </w:pPr>
                  <w:r>
                    <w:rPr>
                      <w:sz w:val="21"/>
                      <w:szCs w:val="21"/>
                    </w:rPr>
                    <w:t>基础减</w:t>
                  </w:r>
                  <w:r>
                    <w:rPr>
                      <w:rFonts w:hint="eastAsia"/>
                      <w:sz w:val="21"/>
                      <w:szCs w:val="21"/>
                    </w:rPr>
                    <w:t>振</w:t>
                  </w:r>
                  <w:r>
                    <w:rPr>
                      <w:sz w:val="21"/>
                      <w:szCs w:val="21"/>
                    </w:rPr>
                    <w:t>、软连接</w:t>
                  </w:r>
                  <w:r>
                    <w:rPr>
                      <w:rFonts w:hint="eastAsia"/>
                      <w:sz w:val="21"/>
                      <w:szCs w:val="21"/>
                    </w:rPr>
                    <w:t>、</w:t>
                  </w:r>
                  <w:r>
                    <w:rPr>
                      <w:sz w:val="21"/>
                      <w:szCs w:val="21"/>
                    </w:rPr>
                    <w:t>隔声</w:t>
                  </w:r>
                </w:p>
              </w:tc>
              <w:tc>
                <w:tcPr>
                  <w:tcW w:w="890" w:type="pct"/>
                  <w:vAlign w:val="center"/>
                </w:tcPr>
                <w:p>
                  <w:pPr>
                    <w:widowControl w:val="0"/>
                    <w:wordWrap w:val="0"/>
                    <w:spacing w:line="240" w:lineRule="auto"/>
                    <w:jc w:val="center"/>
                    <w:rPr>
                      <w:sz w:val="21"/>
                      <w:szCs w:val="21"/>
                    </w:rPr>
                  </w:pPr>
                  <w:r>
                    <w:rPr>
                      <w:sz w:val="21"/>
                      <w:szCs w:val="21"/>
                    </w:rPr>
                    <w:t>/</w:t>
                  </w:r>
                </w:p>
              </w:tc>
              <w:tc>
                <w:tcPr>
                  <w:tcW w:w="1109" w:type="pct"/>
                  <w:vAlign w:val="center"/>
                </w:tcPr>
                <w:p>
                  <w:pPr>
                    <w:widowControl w:val="0"/>
                    <w:wordWrap w:val="0"/>
                    <w:spacing w:line="240" w:lineRule="auto"/>
                    <w:jc w:val="center"/>
                    <w:rPr>
                      <w:sz w:val="21"/>
                      <w:szCs w:val="21"/>
                    </w:rPr>
                  </w:pPr>
                  <w:r>
                    <w:rPr>
                      <w:rFonts w:hint="eastAsia"/>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jc w:val="center"/>
              </w:trPr>
              <w:tc>
                <w:tcPr>
                  <w:tcW w:w="3891" w:type="pct"/>
                  <w:gridSpan w:val="4"/>
                  <w:vAlign w:val="center"/>
                </w:tcPr>
                <w:p>
                  <w:pPr>
                    <w:widowControl w:val="0"/>
                    <w:wordWrap w:val="0"/>
                    <w:spacing w:line="240" w:lineRule="auto"/>
                    <w:jc w:val="center"/>
                    <w:rPr>
                      <w:sz w:val="21"/>
                      <w:szCs w:val="21"/>
                    </w:rPr>
                  </w:pPr>
                  <w:r>
                    <w:rPr>
                      <w:sz w:val="21"/>
                      <w:szCs w:val="21"/>
                    </w:rPr>
                    <w:t>合计</w:t>
                  </w:r>
                </w:p>
              </w:tc>
              <w:tc>
                <w:tcPr>
                  <w:tcW w:w="1109" w:type="pct"/>
                  <w:vAlign w:val="center"/>
                </w:tcPr>
                <w:p>
                  <w:pPr>
                    <w:widowControl w:val="0"/>
                    <w:wordWrap w:val="0"/>
                    <w:spacing w:line="240" w:lineRule="auto"/>
                    <w:jc w:val="center"/>
                    <w:rPr>
                      <w:sz w:val="21"/>
                      <w:szCs w:val="21"/>
                    </w:rPr>
                  </w:pPr>
                  <w:r>
                    <w:rPr>
                      <w:rFonts w:hint="eastAsia"/>
                      <w:sz w:val="21"/>
                      <w:szCs w:val="21"/>
                    </w:rPr>
                    <w:t>38</w:t>
                  </w:r>
                </w:p>
              </w:tc>
            </w:tr>
          </w:tbl>
          <w:p>
            <w:pPr>
              <w:widowControl w:val="0"/>
              <w:wordWrap w:val="0"/>
              <w:ind w:firstLine="480" w:firstLineChars="200"/>
            </w:pPr>
            <w:r>
              <w:rPr>
                <w:rFonts w:hint="eastAsia"/>
              </w:rPr>
              <w:t>4</w:t>
            </w:r>
            <w:r>
              <w:t>、竣工环保验收清单</w:t>
            </w:r>
          </w:p>
          <w:p>
            <w:pPr>
              <w:widowControl w:val="0"/>
              <w:tabs>
                <w:tab w:val="center" w:pos="4556"/>
              </w:tabs>
              <w:wordWrap w:val="0"/>
              <w:ind w:firstLine="480" w:firstLineChars="200"/>
            </w:pPr>
            <w:r>
              <w:t>根据中华人民共和国国务院令第682号《国务院关于修改〈建设项目环境保护管理条例〉的决定》，建设项目竣工后建设单位自主开展环境保护验收的程序和标准。根据新修改的《建设项目环境保护管理条例》，建设单位应当按照国务院环境保护行政主管部门规定的标准和程序，对配套建设的环境保护设施进行验收，编制验收报告；建设项目配套建设的环境保护设施经验收合格，方可投入生产或者使用；未经验收或者验收不合格的，不得投入生产或者使用。</w:t>
            </w:r>
          </w:p>
          <w:p>
            <w:pPr>
              <w:widowControl w:val="0"/>
              <w:tabs>
                <w:tab w:val="center" w:pos="4556"/>
              </w:tabs>
              <w:wordWrap w:val="0"/>
              <w:ind w:firstLine="480" w:firstLineChars="200"/>
            </w:pPr>
            <w:r>
              <w:rPr>
                <w:rFonts w:hint="eastAsia"/>
              </w:rPr>
              <w:t>本</w:t>
            </w:r>
            <w:r>
              <w:t>项目环境保护设施竣工验收清单见表</w:t>
            </w:r>
            <w:r>
              <w:rPr>
                <w:rFonts w:hint="eastAsia"/>
              </w:rPr>
              <w:t>7-1</w:t>
            </w:r>
            <w:r>
              <w:t>8</w:t>
            </w:r>
            <w:r>
              <w:rPr>
                <w:rFonts w:hint="eastAsia"/>
              </w:rPr>
              <w:t>。</w:t>
            </w:r>
          </w:p>
          <w:p>
            <w:pPr>
              <w:pStyle w:val="44"/>
              <w:widowControl w:val="0"/>
              <w:numPr>
                <w:ilvl w:val="0"/>
                <w:numId w:val="7"/>
              </w:numPr>
              <w:tabs>
                <w:tab w:val="left" w:pos="11"/>
              </w:tabs>
              <w:spacing w:line="240" w:lineRule="auto"/>
              <w:ind w:left="0" w:firstLine="0" w:firstLineChars="0"/>
              <w:jc w:val="center"/>
              <w:rPr>
                <w:b/>
                <w:sz w:val="21"/>
                <w:szCs w:val="21"/>
                <w:lang w:val="zh-CN"/>
              </w:rPr>
            </w:pPr>
            <w:r>
              <w:rPr>
                <w:b/>
                <w:sz w:val="21"/>
                <w:szCs w:val="21"/>
                <w:lang w:val="zh-CN"/>
              </w:rPr>
              <w:t>本项目工程环保设施验收清单（建议）</w:t>
            </w:r>
          </w:p>
          <w:tbl>
            <w:tblPr>
              <w:tblStyle w:val="24"/>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54"/>
              <w:gridCol w:w="1279"/>
              <w:gridCol w:w="993"/>
              <w:gridCol w:w="2880"/>
              <w:gridCol w:w="969"/>
              <w:gridCol w:w="21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466" w:type="pct"/>
                  <w:tcBorders>
                    <w:top w:val="single" w:color="auto" w:sz="4" w:space="0"/>
                    <w:left w:val="single" w:color="auto" w:sz="4" w:space="0"/>
                    <w:bottom w:val="single" w:color="auto" w:sz="4" w:space="0"/>
                    <w:right w:val="single" w:color="auto" w:sz="4" w:space="0"/>
                    <w:tl2br w:val="single" w:color="auto" w:sz="6" w:space="0"/>
                  </w:tcBorders>
                  <w:vAlign w:val="center"/>
                </w:tcPr>
                <w:p>
                  <w:pPr>
                    <w:widowControl w:val="0"/>
                    <w:wordWrap w:val="0"/>
                    <w:spacing w:line="240" w:lineRule="auto"/>
                    <w:jc w:val="center"/>
                    <w:rPr>
                      <w:sz w:val="21"/>
                      <w:szCs w:val="21"/>
                    </w:rPr>
                  </w:pPr>
                  <w:r>
                    <w:rPr>
                      <w:sz w:val="21"/>
                      <w:szCs w:val="21"/>
                    </w:rPr>
                    <w:t>内容</w:t>
                  </w:r>
                </w:p>
                <w:p>
                  <w:pPr>
                    <w:widowControl w:val="0"/>
                    <w:wordWrap w:val="0"/>
                    <w:spacing w:line="240" w:lineRule="auto"/>
                    <w:jc w:val="center"/>
                    <w:rPr>
                      <w:sz w:val="21"/>
                      <w:szCs w:val="21"/>
                    </w:rPr>
                  </w:pPr>
                  <w:r>
                    <w:rPr>
                      <w:sz w:val="21"/>
                      <w:szCs w:val="21"/>
                    </w:rPr>
                    <w:t>类型</w:t>
                  </w:r>
                </w:p>
              </w:tc>
              <w:tc>
                <w:tcPr>
                  <w:tcW w:w="697"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排放源</w:t>
                  </w:r>
                </w:p>
                <w:p>
                  <w:pPr>
                    <w:widowControl w:val="0"/>
                    <w:wordWrap w:val="0"/>
                    <w:spacing w:line="240" w:lineRule="auto"/>
                    <w:jc w:val="center"/>
                    <w:rPr>
                      <w:sz w:val="21"/>
                      <w:szCs w:val="21"/>
                    </w:rPr>
                  </w:pPr>
                  <w:r>
                    <w:rPr>
                      <w:sz w:val="21"/>
                      <w:szCs w:val="21"/>
                    </w:rPr>
                    <w:t>（编号）</w:t>
                  </w:r>
                </w:p>
              </w:tc>
              <w:tc>
                <w:tcPr>
                  <w:tcW w:w="541"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污染物</w:t>
                  </w:r>
                </w:p>
                <w:p>
                  <w:pPr>
                    <w:widowControl w:val="0"/>
                    <w:wordWrap w:val="0"/>
                    <w:spacing w:line="240" w:lineRule="auto"/>
                    <w:jc w:val="center"/>
                    <w:rPr>
                      <w:sz w:val="21"/>
                      <w:szCs w:val="21"/>
                    </w:rPr>
                  </w:pPr>
                  <w:r>
                    <w:rPr>
                      <w:sz w:val="21"/>
                      <w:szCs w:val="21"/>
                    </w:rPr>
                    <w:t>名称</w:t>
                  </w:r>
                </w:p>
              </w:tc>
              <w:tc>
                <w:tcPr>
                  <w:tcW w:w="1570"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环保设施</w:t>
                  </w:r>
                </w:p>
              </w:tc>
              <w:tc>
                <w:tcPr>
                  <w:tcW w:w="528"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数量</w:t>
                  </w:r>
                </w:p>
              </w:tc>
              <w:tc>
                <w:tcPr>
                  <w:tcW w:w="1197"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rFonts w:hint="eastAsia"/>
                      <w:sz w:val="21"/>
                      <w:szCs w:val="21"/>
                    </w:rPr>
                    <w:t>验收标准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4" w:hRule="atLeast"/>
                <w:jc w:val="center"/>
              </w:trPr>
              <w:tc>
                <w:tcPr>
                  <w:tcW w:w="466" w:type="pct"/>
                  <w:vMerge w:val="restart"/>
                  <w:tcBorders>
                    <w:top w:val="single" w:color="auto" w:sz="4" w:space="0"/>
                    <w:left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废气</w:t>
                  </w:r>
                </w:p>
              </w:tc>
              <w:tc>
                <w:tcPr>
                  <w:tcW w:w="697" w:type="pct"/>
                  <w:tcBorders>
                    <w:top w:val="single" w:color="auto" w:sz="4" w:space="0"/>
                    <w:left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生产车间</w:t>
                  </w:r>
                </w:p>
              </w:tc>
              <w:tc>
                <w:tcPr>
                  <w:tcW w:w="541"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rFonts w:hint="eastAsia"/>
                      <w:sz w:val="21"/>
                      <w:szCs w:val="21"/>
                    </w:rPr>
                    <w:t>粉尘</w:t>
                  </w:r>
                </w:p>
              </w:tc>
              <w:tc>
                <w:tcPr>
                  <w:tcW w:w="1570"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rPr>
                  </w:pPr>
                  <w:r>
                    <w:rPr>
                      <w:rFonts w:hint="eastAsia"/>
                      <w:sz w:val="21"/>
                      <w:szCs w:val="21"/>
                    </w:rPr>
                    <w:t>全封闭厂房、破碎筛分设备独立封闭、雾化喷淋设施（滚筛至下料斗的传送带上方、制砂机进出料口安装喷头）</w:t>
                  </w:r>
                </w:p>
              </w:tc>
              <w:tc>
                <w:tcPr>
                  <w:tcW w:w="528" w:type="pct"/>
                  <w:vMerge w:val="restart"/>
                  <w:tcBorders>
                    <w:top w:val="single" w:color="auto" w:sz="4" w:space="0"/>
                    <w:left w:val="single" w:color="auto" w:sz="4" w:space="0"/>
                    <w:right w:val="single" w:color="auto" w:sz="4" w:space="0"/>
                  </w:tcBorders>
                  <w:vAlign w:val="center"/>
                </w:tcPr>
                <w:p>
                  <w:pPr>
                    <w:widowControl w:val="0"/>
                    <w:wordWrap w:val="0"/>
                    <w:spacing w:line="240" w:lineRule="auto"/>
                    <w:jc w:val="center"/>
                    <w:rPr>
                      <w:sz w:val="21"/>
                    </w:rPr>
                  </w:pPr>
                  <w:r>
                    <w:rPr>
                      <w:rFonts w:hint="eastAsia"/>
                      <w:sz w:val="21"/>
                    </w:rPr>
                    <w:t>1套雾化喷淋设施，预计共</w:t>
                  </w:r>
                  <w:r>
                    <w:rPr>
                      <w:sz w:val="21"/>
                    </w:rPr>
                    <w:t>2</w:t>
                  </w:r>
                  <w:r>
                    <w:rPr>
                      <w:rFonts w:hint="eastAsia"/>
                      <w:sz w:val="21"/>
                    </w:rPr>
                    <w:t>0个雾化喷头（可根据需要适当增加）</w:t>
                  </w:r>
                </w:p>
              </w:tc>
              <w:tc>
                <w:tcPr>
                  <w:tcW w:w="1197" w:type="pct"/>
                  <w:vMerge w:val="restart"/>
                  <w:tcBorders>
                    <w:top w:val="single" w:color="auto" w:sz="4" w:space="0"/>
                    <w:left w:val="single" w:color="auto" w:sz="4" w:space="0"/>
                    <w:right w:val="single" w:color="auto" w:sz="4" w:space="0"/>
                  </w:tcBorders>
                  <w:vAlign w:val="center"/>
                </w:tcPr>
                <w:p>
                  <w:pPr>
                    <w:wordWrap w:val="0"/>
                    <w:spacing w:line="240" w:lineRule="auto"/>
                    <w:jc w:val="center"/>
                    <w:rPr>
                      <w:bCs/>
                      <w:kern w:val="0"/>
                      <w:sz w:val="21"/>
                      <w:szCs w:val="21"/>
                    </w:rPr>
                  </w:pPr>
                  <w:r>
                    <w:rPr>
                      <w:bCs/>
                      <w:kern w:val="0"/>
                      <w:sz w:val="21"/>
                      <w:szCs w:val="21"/>
                    </w:rPr>
                    <w:t>《大气污染物综合排放标准》（GB16297-1996）表2中相关限值要求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4" w:hRule="atLeast"/>
                <w:jc w:val="center"/>
              </w:trPr>
              <w:tc>
                <w:tcPr>
                  <w:tcW w:w="466" w:type="pct"/>
                  <w:vMerge w:val="continue"/>
                  <w:tcBorders>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p>
              </w:tc>
              <w:tc>
                <w:tcPr>
                  <w:tcW w:w="697" w:type="pct"/>
                  <w:tcBorders>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成品区</w:t>
                  </w:r>
                </w:p>
              </w:tc>
              <w:tc>
                <w:tcPr>
                  <w:tcW w:w="541"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粉尘</w:t>
                  </w:r>
                </w:p>
              </w:tc>
              <w:tc>
                <w:tcPr>
                  <w:tcW w:w="1570"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rPr>
                  </w:pPr>
                  <w:r>
                    <w:rPr>
                      <w:rFonts w:hint="eastAsia"/>
                      <w:sz w:val="21"/>
                      <w:szCs w:val="21"/>
                    </w:rPr>
                    <w:t>全封闭厂房、雾化喷淋设施（产品区厂房顶部安装喷头）</w:t>
                  </w:r>
                </w:p>
              </w:tc>
              <w:tc>
                <w:tcPr>
                  <w:tcW w:w="528" w:type="pct"/>
                  <w:vMerge w:val="continue"/>
                  <w:tcBorders>
                    <w:left w:val="single" w:color="auto" w:sz="4" w:space="0"/>
                    <w:right w:val="single" w:color="auto" w:sz="4" w:space="0"/>
                  </w:tcBorders>
                  <w:vAlign w:val="center"/>
                </w:tcPr>
                <w:p>
                  <w:pPr>
                    <w:widowControl w:val="0"/>
                    <w:wordWrap w:val="0"/>
                    <w:spacing w:line="240" w:lineRule="auto"/>
                    <w:jc w:val="center"/>
                    <w:rPr>
                      <w:sz w:val="21"/>
                    </w:rPr>
                  </w:pPr>
                </w:p>
              </w:tc>
              <w:tc>
                <w:tcPr>
                  <w:tcW w:w="1197" w:type="pct"/>
                  <w:vMerge w:val="continue"/>
                  <w:tcBorders>
                    <w:left w:val="single" w:color="auto" w:sz="4" w:space="0"/>
                    <w:right w:val="single" w:color="auto" w:sz="4" w:space="0"/>
                  </w:tcBorders>
                  <w:vAlign w:val="center"/>
                </w:tcPr>
                <w:p>
                  <w:pPr>
                    <w:wordWrap w:val="0"/>
                    <w:spacing w:line="240" w:lineRule="auto"/>
                    <w:jc w:val="center"/>
                    <w:rPr>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4" w:hRule="atLeast"/>
                <w:jc w:val="center"/>
              </w:trPr>
              <w:tc>
                <w:tcPr>
                  <w:tcW w:w="466" w:type="pct"/>
                  <w:vMerge w:val="continue"/>
                  <w:tcBorders>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p>
              </w:tc>
              <w:tc>
                <w:tcPr>
                  <w:tcW w:w="697" w:type="pct"/>
                  <w:tcBorders>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原料区</w:t>
                  </w:r>
                </w:p>
              </w:tc>
              <w:tc>
                <w:tcPr>
                  <w:tcW w:w="541"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粉尘</w:t>
                  </w:r>
                </w:p>
              </w:tc>
              <w:tc>
                <w:tcPr>
                  <w:tcW w:w="1570"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rPr>
                  </w:pPr>
                  <w:r>
                    <w:rPr>
                      <w:sz w:val="21"/>
                    </w:rPr>
                    <w:t>沾湿的土工布遮盖</w:t>
                  </w:r>
                  <w:r>
                    <w:rPr>
                      <w:rFonts w:hint="eastAsia"/>
                      <w:sz w:val="21"/>
                    </w:rPr>
                    <w:t>、雾化喷淋设施（</w:t>
                  </w:r>
                  <w:r>
                    <w:rPr>
                      <w:rFonts w:hint="eastAsia"/>
                      <w:sz w:val="21"/>
                      <w:szCs w:val="21"/>
                    </w:rPr>
                    <w:t>原料堆场装卸区及铲车运送通道上安装喷头</w:t>
                  </w:r>
                  <w:r>
                    <w:rPr>
                      <w:rFonts w:hint="eastAsia"/>
                      <w:sz w:val="21"/>
                    </w:rPr>
                    <w:t>）</w:t>
                  </w:r>
                </w:p>
              </w:tc>
              <w:tc>
                <w:tcPr>
                  <w:tcW w:w="528" w:type="pct"/>
                  <w:vMerge w:val="continue"/>
                  <w:tcBorders>
                    <w:left w:val="single" w:color="auto" w:sz="4" w:space="0"/>
                    <w:right w:val="single" w:color="auto" w:sz="4" w:space="0"/>
                  </w:tcBorders>
                  <w:vAlign w:val="center"/>
                </w:tcPr>
                <w:p>
                  <w:pPr>
                    <w:widowControl w:val="0"/>
                    <w:wordWrap w:val="0"/>
                    <w:spacing w:line="240" w:lineRule="auto"/>
                    <w:jc w:val="center"/>
                    <w:rPr>
                      <w:sz w:val="21"/>
                    </w:rPr>
                  </w:pPr>
                </w:p>
              </w:tc>
              <w:tc>
                <w:tcPr>
                  <w:tcW w:w="1197" w:type="pct"/>
                  <w:vMerge w:val="continue"/>
                  <w:tcBorders>
                    <w:left w:val="single" w:color="auto" w:sz="4" w:space="0"/>
                    <w:right w:val="single" w:color="auto" w:sz="4" w:space="0"/>
                  </w:tcBorders>
                  <w:vAlign w:val="center"/>
                </w:tcPr>
                <w:p>
                  <w:pPr>
                    <w:wordWrap w:val="0"/>
                    <w:spacing w:line="240" w:lineRule="auto"/>
                    <w:jc w:val="center"/>
                    <w:rPr>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4" w:hRule="atLeast"/>
                <w:jc w:val="center"/>
              </w:trPr>
              <w:tc>
                <w:tcPr>
                  <w:tcW w:w="466" w:type="pct"/>
                  <w:vMerge w:val="continue"/>
                  <w:tcBorders>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p>
              </w:tc>
              <w:tc>
                <w:tcPr>
                  <w:tcW w:w="697" w:type="pct"/>
                  <w:tcBorders>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车辆运输</w:t>
                  </w:r>
                </w:p>
              </w:tc>
              <w:tc>
                <w:tcPr>
                  <w:tcW w:w="541"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粉尘</w:t>
                  </w:r>
                </w:p>
              </w:tc>
              <w:tc>
                <w:tcPr>
                  <w:tcW w:w="1570"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rPr>
                  </w:pPr>
                  <w:r>
                    <w:rPr>
                      <w:rFonts w:hint="eastAsia"/>
                      <w:sz w:val="21"/>
                      <w:szCs w:val="21"/>
                    </w:rPr>
                    <w:t>雾化喷淋设施（运输道路上安装喷头）</w:t>
                  </w:r>
                </w:p>
              </w:tc>
              <w:tc>
                <w:tcPr>
                  <w:tcW w:w="528" w:type="pct"/>
                  <w:vMerge w:val="continue"/>
                  <w:tcBorders>
                    <w:left w:val="single" w:color="auto" w:sz="4" w:space="0"/>
                    <w:bottom w:val="single" w:color="auto" w:sz="4" w:space="0"/>
                    <w:right w:val="single" w:color="auto" w:sz="4" w:space="0"/>
                  </w:tcBorders>
                  <w:vAlign w:val="center"/>
                </w:tcPr>
                <w:p>
                  <w:pPr>
                    <w:widowControl w:val="0"/>
                    <w:wordWrap w:val="0"/>
                    <w:spacing w:line="240" w:lineRule="auto"/>
                    <w:jc w:val="center"/>
                    <w:rPr>
                      <w:sz w:val="21"/>
                    </w:rPr>
                  </w:pPr>
                </w:p>
              </w:tc>
              <w:tc>
                <w:tcPr>
                  <w:tcW w:w="1197" w:type="pct"/>
                  <w:vMerge w:val="continue"/>
                  <w:tcBorders>
                    <w:left w:val="single" w:color="auto" w:sz="4" w:space="0"/>
                    <w:bottom w:val="single" w:color="auto" w:sz="4" w:space="0"/>
                    <w:right w:val="single" w:color="auto" w:sz="4" w:space="0"/>
                  </w:tcBorders>
                  <w:vAlign w:val="center"/>
                </w:tcPr>
                <w:p>
                  <w:pPr>
                    <w:wordWrap w:val="0"/>
                    <w:spacing w:line="240" w:lineRule="auto"/>
                    <w:jc w:val="center"/>
                    <w:rPr>
                      <w:bCs/>
                      <w:kern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4" w:hRule="atLeast"/>
                <w:jc w:val="center"/>
              </w:trPr>
              <w:tc>
                <w:tcPr>
                  <w:tcW w:w="466" w:type="pct"/>
                  <w:vMerge w:val="continue"/>
                  <w:tcBorders>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p>
              </w:tc>
              <w:tc>
                <w:tcPr>
                  <w:tcW w:w="697" w:type="pct"/>
                  <w:tcBorders>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食堂</w:t>
                  </w:r>
                </w:p>
              </w:tc>
              <w:tc>
                <w:tcPr>
                  <w:tcW w:w="541"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油烟</w:t>
                  </w:r>
                </w:p>
              </w:tc>
              <w:tc>
                <w:tcPr>
                  <w:tcW w:w="1570"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rPr>
                  </w:pPr>
                  <w:r>
                    <w:rPr>
                      <w:sz w:val="21"/>
                    </w:rPr>
                    <w:t>油烟净化</w:t>
                  </w:r>
                  <w:r>
                    <w:rPr>
                      <w:rFonts w:hint="eastAsia"/>
                      <w:sz w:val="21"/>
                    </w:rPr>
                    <w:t>器+专用烟道</w:t>
                  </w:r>
                </w:p>
              </w:tc>
              <w:tc>
                <w:tcPr>
                  <w:tcW w:w="528"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rPr>
                  </w:pPr>
                  <w:r>
                    <w:rPr>
                      <w:sz w:val="21"/>
                    </w:rPr>
                    <w:t>1套</w:t>
                  </w:r>
                </w:p>
              </w:tc>
              <w:tc>
                <w:tcPr>
                  <w:tcW w:w="1197" w:type="pct"/>
                  <w:tcBorders>
                    <w:left w:val="single" w:color="auto" w:sz="4" w:space="0"/>
                    <w:bottom w:val="single" w:color="auto" w:sz="4" w:space="0"/>
                    <w:right w:val="single" w:color="auto" w:sz="4" w:space="0"/>
                  </w:tcBorders>
                  <w:vAlign w:val="center"/>
                </w:tcPr>
                <w:p>
                  <w:pPr>
                    <w:wordWrap w:val="0"/>
                    <w:spacing w:line="240" w:lineRule="auto"/>
                    <w:jc w:val="center"/>
                    <w:rPr>
                      <w:bCs/>
                      <w:kern w:val="0"/>
                      <w:sz w:val="21"/>
                      <w:szCs w:val="21"/>
                    </w:rPr>
                  </w:pPr>
                  <w:r>
                    <w:rPr>
                      <w:bCs/>
                      <w:kern w:val="0"/>
                      <w:sz w:val="21"/>
                      <w:szCs w:val="21"/>
                    </w:rPr>
                    <w:t>《饮食业油烟排放标准》（GB18483-2001）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4" w:hRule="atLeast"/>
                <w:jc w:val="center"/>
              </w:trPr>
              <w:tc>
                <w:tcPr>
                  <w:tcW w:w="466" w:type="pct"/>
                  <w:vMerge w:val="restart"/>
                  <w:tcBorders>
                    <w:top w:val="single" w:color="auto" w:sz="4" w:space="0"/>
                    <w:left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废水</w:t>
                  </w:r>
                </w:p>
              </w:tc>
              <w:tc>
                <w:tcPr>
                  <w:tcW w:w="697"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生活污水</w:t>
                  </w:r>
                </w:p>
              </w:tc>
              <w:tc>
                <w:tcPr>
                  <w:tcW w:w="541"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COD</w:t>
                  </w:r>
                </w:p>
                <w:p>
                  <w:pPr>
                    <w:widowControl w:val="0"/>
                    <w:wordWrap w:val="0"/>
                    <w:spacing w:line="240" w:lineRule="auto"/>
                    <w:jc w:val="center"/>
                    <w:rPr>
                      <w:sz w:val="21"/>
                      <w:szCs w:val="21"/>
                    </w:rPr>
                  </w:pPr>
                  <w:r>
                    <w:rPr>
                      <w:sz w:val="21"/>
                      <w:szCs w:val="21"/>
                    </w:rPr>
                    <w:t>BOD</w:t>
                  </w:r>
                  <w:r>
                    <w:rPr>
                      <w:sz w:val="21"/>
                      <w:szCs w:val="21"/>
                      <w:vertAlign w:val="subscript"/>
                    </w:rPr>
                    <w:t>5</w:t>
                  </w:r>
                </w:p>
                <w:p>
                  <w:pPr>
                    <w:widowControl w:val="0"/>
                    <w:wordWrap w:val="0"/>
                    <w:spacing w:line="240" w:lineRule="auto"/>
                    <w:jc w:val="center"/>
                    <w:rPr>
                      <w:sz w:val="21"/>
                      <w:szCs w:val="21"/>
                    </w:rPr>
                  </w:pPr>
                  <w:r>
                    <w:rPr>
                      <w:sz w:val="21"/>
                      <w:szCs w:val="21"/>
                    </w:rPr>
                    <w:t>NH</w:t>
                  </w:r>
                  <w:r>
                    <w:rPr>
                      <w:sz w:val="21"/>
                      <w:szCs w:val="21"/>
                      <w:vertAlign w:val="subscript"/>
                    </w:rPr>
                    <w:t>3</w:t>
                  </w:r>
                  <w:r>
                    <w:rPr>
                      <w:sz w:val="21"/>
                      <w:szCs w:val="21"/>
                    </w:rPr>
                    <w:t>-N</w:t>
                  </w:r>
                </w:p>
                <w:p>
                  <w:pPr>
                    <w:widowControl w:val="0"/>
                    <w:wordWrap w:val="0"/>
                    <w:spacing w:line="240" w:lineRule="auto"/>
                    <w:jc w:val="center"/>
                    <w:rPr>
                      <w:sz w:val="21"/>
                      <w:szCs w:val="21"/>
                    </w:rPr>
                  </w:pPr>
                  <w:r>
                    <w:rPr>
                      <w:sz w:val="21"/>
                      <w:szCs w:val="21"/>
                    </w:rPr>
                    <w:t>SS</w:t>
                  </w:r>
                </w:p>
              </w:tc>
              <w:tc>
                <w:tcPr>
                  <w:tcW w:w="1570" w:type="pct"/>
                  <w:tcBorders>
                    <w:top w:val="single" w:color="auto" w:sz="4" w:space="0"/>
                    <w:left w:val="single" w:color="auto" w:sz="4" w:space="0"/>
                    <w:bottom w:val="single" w:color="auto" w:sz="4" w:space="0"/>
                    <w:right w:val="single" w:color="auto" w:sz="4" w:space="0"/>
                  </w:tcBorders>
                  <w:vAlign w:val="center"/>
                </w:tcPr>
                <w:p>
                  <w:pPr>
                    <w:wordWrap w:val="0"/>
                    <w:spacing w:line="240" w:lineRule="auto"/>
                    <w:jc w:val="center"/>
                    <w:rPr>
                      <w:sz w:val="21"/>
                      <w:szCs w:val="21"/>
                    </w:rPr>
                  </w:pPr>
                  <w:r>
                    <w:rPr>
                      <w:sz w:val="21"/>
                      <w:szCs w:val="21"/>
                    </w:rPr>
                    <w:t>化粪池</w:t>
                  </w:r>
                </w:p>
              </w:tc>
              <w:tc>
                <w:tcPr>
                  <w:tcW w:w="528" w:type="pct"/>
                  <w:tcBorders>
                    <w:top w:val="single" w:color="auto" w:sz="4" w:space="0"/>
                    <w:left w:val="single" w:color="auto" w:sz="4" w:space="0"/>
                    <w:bottom w:val="single" w:color="auto" w:sz="4" w:space="0"/>
                    <w:right w:val="single" w:color="auto" w:sz="4" w:space="0"/>
                  </w:tcBorders>
                  <w:vAlign w:val="center"/>
                </w:tcPr>
                <w:p>
                  <w:pPr>
                    <w:wordWrap w:val="0"/>
                    <w:spacing w:line="240" w:lineRule="auto"/>
                    <w:jc w:val="center"/>
                    <w:rPr>
                      <w:sz w:val="21"/>
                      <w:szCs w:val="21"/>
                    </w:rPr>
                  </w:pPr>
                  <w:r>
                    <w:rPr>
                      <w:sz w:val="21"/>
                      <w:szCs w:val="21"/>
                    </w:rPr>
                    <w:t>1座</w:t>
                  </w:r>
                </w:p>
              </w:tc>
              <w:tc>
                <w:tcPr>
                  <w:tcW w:w="1197"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4" w:hRule="atLeast"/>
                <w:jc w:val="center"/>
              </w:trPr>
              <w:tc>
                <w:tcPr>
                  <w:tcW w:w="466" w:type="pct"/>
                  <w:vMerge w:val="continue"/>
                  <w:tcBorders>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p>
              </w:tc>
              <w:tc>
                <w:tcPr>
                  <w:tcW w:w="697"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生产废水</w:t>
                  </w:r>
                </w:p>
              </w:tc>
              <w:tc>
                <w:tcPr>
                  <w:tcW w:w="541"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rFonts w:hint="eastAsia"/>
                      <w:sz w:val="21"/>
                      <w:szCs w:val="21"/>
                    </w:rPr>
                    <w:t>SS</w:t>
                  </w:r>
                </w:p>
              </w:tc>
              <w:tc>
                <w:tcPr>
                  <w:tcW w:w="1570" w:type="pct"/>
                  <w:tcBorders>
                    <w:top w:val="single" w:color="auto" w:sz="4" w:space="0"/>
                    <w:left w:val="single" w:color="auto" w:sz="4" w:space="0"/>
                    <w:bottom w:val="single" w:color="auto" w:sz="4" w:space="0"/>
                    <w:right w:val="single" w:color="auto" w:sz="4" w:space="0"/>
                  </w:tcBorders>
                  <w:vAlign w:val="center"/>
                </w:tcPr>
                <w:p>
                  <w:pPr>
                    <w:wordWrap w:val="0"/>
                    <w:spacing w:line="240" w:lineRule="auto"/>
                    <w:jc w:val="center"/>
                    <w:rPr>
                      <w:sz w:val="21"/>
                      <w:szCs w:val="21"/>
                    </w:rPr>
                  </w:pPr>
                  <w:r>
                    <w:rPr>
                      <w:sz w:val="21"/>
                      <w:szCs w:val="21"/>
                    </w:rPr>
                    <w:t>沉淀池</w:t>
                  </w:r>
                </w:p>
              </w:tc>
              <w:tc>
                <w:tcPr>
                  <w:tcW w:w="528" w:type="pct"/>
                  <w:tcBorders>
                    <w:top w:val="single" w:color="auto" w:sz="4" w:space="0"/>
                    <w:left w:val="single" w:color="auto" w:sz="4" w:space="0"/>
                    <w:bottom w:val="single" w:color="auto" w:sz="4" w:space="0"/>
                    <w:right w:val="single" w:color="auto" w:sz="4" w:space="0"/>
                  </w:tcBorders>
                  <w:vAlign w:val="center"/>
                </w:tcPr>
                <w:p>
                  <w:pPr>
                    <w:wordWrap w:val="0"/>
                    <w:spacing w:line="240" w:lineRule="auto"/>
                    <w:jc w:val="center"/>
                    <w:rPr>
                      <w:sz w:val="21"/>
                      <w:szCs w:val="21"/>
                    </w:rPr>
                  </w:pPr>
                  <w:r>
                    <w:rPr>
                      <w:sz w:val="21"/>
                      <w:szCs w:val="21"/>
                    </w:rPr>
                    <w:t>1座</w:t>
                  </w:r>
                </w:p>
              </w:tc>
              <w:tc>
                <w:tcPr>
                  <w:tcW w:w="1197"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rFonts w:hint="eastAsia"/>
                      <w:snapToGrid w:val="0"/>
                      <w:kern w:val="0"/>
                      <w:sz w:val="21"/>
                      <w:szCs w:val="21"/>
                    </w:rPr>
                    <w:t>沉淀池处理后循环使用，不外排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29" w:hRule="atLeast"/>
                <w:jc w:val="center"/>
              </w:trPr>
              <w:tc>
                <w:tcPr>
                  <w:tcW w:w="466"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噪声</w:t>
                  </w:r>
                </w:p>
              </w:tc>
              <w:tc>
                <w:tcPr>
                  <w:tcW w:w="697"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生产设备</w:t>
                  </w:r>
                </w:p>
              </w:tc>
              <w:tc>
                <w:tcPr>
                  <w:tcW w:w="541"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lang w:val="en-GB"/>
                    </w:rPr>
                  </w:pPr>
                  <w:r>
                    <w:rPr>
                      <w:sz w:val="21"/>
                      <w:szCs w:val="21"/>
                    </w:rPr>
                    <w:t>设备运行噪声</w:t>
                  </w:r>
                </w:p>
              </w:tc>
              <w:tc>
                <w:tcPr>
                  <w:tcW w:w="1570"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lang w:val="en-GB"/>
                    </w:rPr>
                  </w:pPr>
                  <w:r>
                    <w:rPr>
                      <w:bCs/>
                      <w:sz w:val="21"/>
                      <w:szCs w:val="21"/>
                    </w:rPr>
                    <w:t>基础减振、软连接</w:t>
                  </w:r>
                  <w:r>
                    <w:rPr>
                      <w:rFonts w:hint="eastAsia"/>
                      <w:bCs/>
                      <w:sz w:val="21"/>
                      <w:szCs w:val="21"/>
                    </w:rPr>
                    <w:t>、</w:t>
                  </w:r>
                  <w:r>
                    <w:rPr>
                      <w:bCs/>
                      <w:sz w:val="21"/>
                      <w:szCs w:val="21"/>
                    </w:rPr>
                    <w:t>厂房隔声等</w:t>
                  </w:r>
                </w:p>
              </w:tc>
              <w:tc>
                <w:tcPr>
                  <w:tcW w:w="528"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lang w:val="en-GB"/>
                    </w:rPr>
                  </w:pPr>
                  <w:r>
                    <w:rPr>
                      <w:sz w:val="21"/>
                      <w:szCs w:val="21"/>
                      <w:lang w:val="en-GB"/>
                    </w:rPr>
                    <w:t>/</w:t>
                  </w:r>
                </w:p>
              </w:tc>
              <w:tc>
                <w:tcPr>
                  <w:tcW w:w="1197"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《工业企业厂界环境噪声排放标准》（GB12348-2008）2类标准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466" w:type="pct"/>
                  <w:vMerge w:val="restart"/>
                  <w:tcBorders>
                    <w:top w:val="single" w:color="auto" w:sz="4" w:space="0"/>
                    <w:left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固体废弃物</w:t>
                  </w:r>
                </w:p>
              </w:tc>
              <w:tc>
                <w:tcPr>
                  <w:tcW w:w="697" w:type="pct"/>
                  <w:tcBorders>
                    <w:top w:val="single" w:color="auto" w:sz="4" w:space="0"/>
                    <w:left w:val="single" w:color="auto" w:sz="4" w:space="0"/>
                    <w:bottom w:val="single" w:color="auto" w:sz="4" w:space="0"/>
                    <w:right w:val="single" w:color="auto" w:sz="4" w:space="0"/>
                  </w:tcBorders>
                  <w:vAlign w:val="center"/>
                </w:tcPr>
                <w:p>
                  <w:pPr>
                    <w:widowControl w:val="0"/>
                    <w:wordWrap w:val="0"/>
                    <w:adjustRightInd w:val="0"/>
                    <w:spacing w:line="240" w:lineRule="auto"/>
                    <w:jc w:val="center"/>
                    <w:rPr>
                      <w:sz w:val="21"/>
                      <w:szCs w:val="21"/>
                    </w:rPr>
                  </w:pPr>
                  <w:r>
                    <w:rPr>
                      <w:sz w:val="21"/>
                      <w:szCs w:val="21"/>
                    </w:rPr>
                    <w:t>员工生活</w:t>
                  </w:r>
                </w:p>
              </w:tc>
              <w:tc>
                <w:tcPr>
                  <w:tcW w:w="541" w:type="pct"/>
                  <w:tcBorders>
                    <w:top w:val="single" w:color="auto" w:sz="4" w:space="0"/>
                    <w:left w:val="single" w:color="auto" w:sz="4" w:space="0"/>
                    <w:bottom w:val="single" w:color="auto" w:sz="4" w:space="0"/>
                    <w:right w:val="single" w:color="auto" w:sz="4" w:space="0"/>
                  </w:tcBorders>
                  <w:vAlign w:val="center"/>
                </w:tcPr>
                <w:p>
                  <w:pPr>
                    <w:widowControl w:val="0"/>
                    <w:wordWrap w:val="0"/>
                    <w:adjustRightInd w:val="0"/>
                    <w:spacing w:line="240" w:lineRule="auto"/>
                    <w:jc w:val="center"/>
                    <w:rPr>
                      <w:sz w:val="21"/>
                      <w:szCs w:val="21"/>
                    </w:rPr>
                  </w:pPr>
                  <w:r>
                    <w:rPr>
                      <w:sz w:val="21"/>
                      <w:szCs w:val="21"/>
                    </w:rPr>
                    <w:t>生活</w:t>
                  </w:r>
                </w:p>
                <w:p>
                  <w:pPr>
                    <w:widowControl w:val="0"/>
                    <w:wordWrap w:val="0"/>
                    <w:adjustRightInd w:val="0"/>
                    <w:spacing w:line="240" w:lineRule="auto"/>
                    <w:jc w:val="center"/>
                    <w:rPr>
                      <w:sz w:val="21"/>
                      <w:szCs w:val="21"/>
                    </w:rPr>
                  </w:pPr>
                  <w:r>
                    <w:rPr>
                      <w:sz w:val="21"/>
                      <w:szCs w:val="21"/>
                    </w:rPr>
                    <w:t>垃圾</w:t>
                  </w:r>
                </w:p>
              </w:tc>
              <w:tc>
                <w:tcPr>
                  <w:tcW w:w="1570" w:type="pct"/>
                  <w:tcBorders>
                    <w:top w:val="single" w:color="auto" w:sz="4" w:space="0"/>
                    <w:left w:val="single" w:color="auto" w:sz="4" w:space="0"/>
                    <w:bottom w:val="single" w:color="auto" w:sz="4" w:space="0"/>
                    <w:right w:val="single" w:color="auto" w:sz="4" w:space="0"/>
                  </w:tcBorders>
                  <w:vAlign w:val="center"/>
                </w:tcPr>
                <w:p>
                  <w:pPr>
                    <w:widowControl w:val="0"/>
                    <w:wordWrap w:val="0"/>
                    <w:adjustRightInd w:val="0"/>
                    <w:spacing w:line="240" w:lineRule="auto"/>
                    <w:jc w:val="center"/>
                    <w:rPr>
                      <w:sz w:val="21"/>
                      <w:szCs w:val="21"/>
                    </w:rPr>
                  </w:pPr>
                  <w:r>
                    <w:rPr>
                      <w:rFonts w:hint="eastAsia"/>
                      <w:sz w:val="21"/>
                      <w:szCs w:val="21"/>
                    </w:rPr>
                    <w:t>生活</w:t>
                  </w:r>
                  <w:r>
                    <w:rPr>
                      <w:sz w:val="21"/>
                      <w:szCs w:val="21"/>
                    </w:rPr>
                    <w:t>垃圾分类桶</w:t>
                  </w:r>
                </w:p>
              </w:tc>
              <w:tc>
                <w:tcPr>
                  <w:tcW w:w="528" w:type="pct"/>
                  <w:tcBorders>
                    <w:top w:val="single" w:color="auto" w:sz="4" w:space="0"/>
                    <w:left w:val="single" w:color="auto" w:sz="4" w:space="0"/>
                    <w:bottom w:val="single" w:color="auto" w:sz="4" w:space="0"/>
                    <w:right w:val="single" w:color="auto" w:sz="4" w:space="0"/>
                  </w:tcBorders>
                  <w:vAlign w:val="center"/>
                </w:tcPr>
                <w:p>
                  <w:pPr>
                    <w:widowControl w:val="0"/>
                    <w:wordWrap w:val="0"/>
                    <w:adjustRightInd w:val="0"/>
                    <w:spacing w:line="240" w:lineRule="auto"/>
                    <w:jc w:val="center"/>
                    <w:rPr>
                      <w:sz w:val="21"/>
                      <w:szCs w:val="21"/>
                    </w:rPr>
                  </w:pPr>
                  <w:r>
                    <w:rPr>
                      <w:sz w:val="21"/>
                      <w:szCs w:val="21"/>
                    </w:rPr>
                    <w:t>若干</w:t>
                  </w:r>
                </w:p>
              </w:tc>
              <w:tc>
                <w:tcPr>
                  <w:tcW w:w="1197" w:type="pct"/>
                  <w:vMerge w:val="restar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rFonts w:hint="eastAsia"/>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692" w:hRule="atLeast"/>
                <w:jc w:val="center"/>
              </w:trPr>
              <w:tc>
                <w:tcPr>
                  <w:tcW w:w="466" w:type="pct"/>
                  <w:vMerge w:val="continue"/>
                  <w:tcBorders>
                    <w:left w:val="single" w:color="auto" w:sz="4" w:space="0"/>
                    <w:right w:val="single" w:color="auto" w:sz="4" w:space="0"/>
                  </w:tcBorders>
                  <w:vAlign w:val="center"/>
                </w:tcPr>
                <w:p>
                  <w:pPr>
                    <w:widowControl w:val="0"/>
                    <w:wordWrap w:val="0"/>
                    <w:spacing w:line="240" w:lineRule="auto"/>
                    <w:jc w:val="center"/>
                    <w:rPr>
                      <w:sz w:val="21"/>
                      <w:szCs w:val="21"/>
                    </w:rPr>
                  </w:pPr>
                </w:p>
              </w:tc>
              <w:tc>
                <w:tcPr>
                  <w:tcW w:w="697" w:type="pct"/>
                  <w:tcBorders>
                    <w:top w:val="single" w:color="auto" w:sz="4" w:space="0"/>
                    <w:left w:val="single" w:color="auto" w:sz="4" w:space="0"/>
                    <w:bottom w:val="single" w:color="auto" w:sz="4" w:space="0"/>
                    <w:right w:val="single" w:color="auto" w:sz="4" w:space="0"/>
                  </w:tcBorders>
                  <w:vAlign w:val="center"/>
                </w:tcPr>
                <w:p>
                  <w:pPr>
                    <w:widowControl w:val="0"/>
                    <w:wordWrap w:val="0"/>
                    <w:adjustRightInd w:val="0"/>
                    <w:spacing w:line="240" w:lineRule="auto"/>
                    <w:jc w:val="center"/>
                    <w:rPr>
                      <w:sz w:val="21"/>
                      <w:szCs w:val="21"/>
                    </w:rPr>
                  </w:pPr>
                  <w:r>
                    <w:rPr>
                      <w:sz w:val="21"/>
                      <w:szCs w:val="21"/>
                    </w:rPr>
                    <w:t>沉淀池</w:t>
                  </w:r>
                </w:p>
              </w:tc>
              <w:tc>
                <w:tcPr>
                  <w:tcW w:w="541" w:type="pct"/>
                  <w:tcBorders>
                    <w:top w:val="single" w:color="auto" w:sz="4" w:space="0"/>
                    <w:left w:val="single" w:color="auto" w:sz="4" w:space="0"/>
                    <w:bottom w:val="single" w:color="auto" w:sz="4" w:space="0"/>
                    <w:right w:val="single" w:color="auto" w:sz="4" w:space="0"/>
                  </w:tcBorders>
                  <w:vAlign w:val="center"/>
                </w:tcPr>
                <w:p>
                  <w:pPr>
                    <w:widowControl w:val="0"/>
                    <w:wordWrap w:val="0"/>
                    <w:adjustRightInd w:val="0"/>
                    <w:spacing w:line="240" w:lineRule="auto"/>
                    <w:jc w:val="center"/>
                    <w:rPr>
                      <w:sz w:val="21"/>
                      <w:szCs w:val="21"/>
                    </w:rPr>
                  </w:pPr>
                  <w:r>
                    <w:rPr>
                      <w:sz w:val="21"/>
                      <w:szCs w:val="21"/>
                    </w:rPr>
                    <w:t>底渣</w:t>
                  </w:r>
                </w:p>
              </w:tc>
              <w:tc>
                <w:tcPr>
                  <w:tcW w:w="1570" w:type="pct"/>
                  <w:tcBorders>
                    <w:top w:val="single" w:color="auto" w:sz="4" w:space="0"/>
                    <w:left w:val="single" w:color="auto" w:sz="4" w:space="0"/>
                    <w:bottom w:val="single" w:color="auto" w:sz="4" w:space="0"/>
                    <w:right w:val="single" w:color="auto" w:sz="4" w:space="0"/>
                  </w:tcBorders>
                  <w:vAlign w:val="center"/>
                </w:tcPr>
                <w:p>
                  <w:pPr>
                    <w:widowControl w:val="0"/>
                    <w:wordWrap w:val="0"/>
                    <w:adjustRightInd w:val="0"/>
                    <w:spacing w:line="240" w:lineRule="auto"/>
                    <w:jc w:val="center"/>
                    <w:rPr>
                      <w:sz w:val="21"/>
                      <w:szCs w:val="21"/>
                    </w:rPr>
                  </w:pPr>
                  <w:r>
                    <w:rPr>
                      <w:rFonts w:hint="eastAsia"/>
                      <w:sz w:val="21"/>
                      <w:szCs w:val="21"/>
                    </w:rPr>
                    <w:t xml:space="preserve"> 泥浆压滤一体机</w:t>
                  </w:r>
                </w:p>
              </w:tc>
              <w:tc>
                <w:tcPr>
                  <w:tcW w:w="528" w:type="pct"/>
                  <w:tcBorders>
                    <w:top w:val="single" w:color="auto" w:sz="4" w:space="0"/>
                    <w:left w:val="single" w:color="auto" w:sz="4" w:space="0"/>
                    <w:bottom w:val="single" w:color="auto" w:sz="4" w:space="0"/>
                    <w:right w:val="single" w:color="auto" w:sz="4" w:space="0"/>
                  </w:tcBorders>
                  <w:vAlign w:val="center"/>
                </w:tcPr>
                <w:p>
                  <w:pPr>
                    <w:widowControl w:val="0"/>
                    <w:wordWrap w:val="0"/>
                    <w:adjustRightInd w:val="0"/>
                    <w:spacing w:line="240" w:lineRule="auto"/>
                    <w:jc w:val="center"/>
                    <w:rPr>
                      <w:sz w:val="21"/>
                      <w:szCs w:val="21"/>
                    </w:rPr>
                  </w:pPr>
                  <w:r>
                    <w:rPr>
                      <w:rFonts w:hint="eastAsia"/>
                      <w:sz w:val="21"/>
                      <w:szCs w:val="21"/>
                    </w:rPr>
                    <w:t>1套</w:t>
                  </w:r>
                </w:p>
              </w:tc>
              <w:tc>
                <w:tcPr>
                  <w:tcW w:w="1197" w:type="pct"/>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《一般工业固体废物贮存、处置场污染控制标准》（GB18599-2001）及2013年修改单中有关规定；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466" w:type="pct"/>
                  <w:vMerge w:val="continue"/>
                  <w:tcBorders>
                    <w:left w:val="single" w:color="auto" w:sz="4" w:space="0"/>
                    <w:right w:val="single" w:color="auto" w:sz="4" w:space="0"/>
                  </w:tcBorders>
                  <w:vAlign w:val="center"/>
                </w:tcPr>
                <w:p>
                  <w:pPr>
                    <w:widowControl w:val="0"/>
                    <w:wordWrap w:val="0"/>
                    <w:spacing w:line="240" w:lineRule="auto"/>
                    <w:jc w:val="center"/>
                    <w:rPr>
                      <w:sz w:val="21"/>
                      <w:szCs w:val="21"/>
                    </w:rPr>
                  </w:pPr>
                </w:p>
              </w:tc>
              <w:tc>
                <w:tcPr>
                  <w:tcW w:w="697" w:type="pct"/>
                  <w:vMerge w:val="restart"/>
                  <w:tcBorders>
                    <w:top w:val="single" w:color="auto" w:sz="4" w:space="0"/>
                    <w:left w:val="single" w:color="auto" w:sz="4" w:space="0"/>
                    <w:right w:val="single" w:color="auto" w:sz="4" w:space="0"/>
                  </w:tcBorders>
                  <w:vAlign w:val="center"/>
                </w:tcPr>
                <w:p>
                  <w:pPr>
                    <w:widowControl w:val="0"/>
                    <w:wordWrap w:val="0"/>
                    <w:adjustRightInd w:val="0"/>
                    <w:spacing w:line="240" w:lineRule="auto"/>
                    <w:jc w:val="center"/>
                    <w:rPr>
                      <w:sz w:val="21"/>
                      <w:szCs w:val="21"/>
                    </w:rPr>
                  </w:pPr>
                  <w:r>
                    <w:rPr>
                      <w:sz w:val="21"/>
                      <w:szCs w:val="21"/>
                    </w:rPr>
                    <w:t>设备维护保养</w:t>
                  </w:r>
                </w:p>
              </w:tc>
              <w:tc>
                <w:tcPr>
                  <w:tcW w:w="541" w:type="pct"/>
                  <w:vMerge w:val="restart"/>
                  <w:tcBorders>
                    <w:top w:val="single" w:color="auto" w:sz="4" w:space="0"/>
                    <w:left w:val="single" w:color="auto" w:sz="4" w:space="0"/>
                    <w:right w:val="single" w:color="auto" w:sz="4" w:space="0"/>
                  </w:tcBorders>
                  <w:vAlign w:val="center"/>
                </w:tcPr>
                <w:p>
                  <w:pPr>
                    <w:widowControl w:val="0"/>
                    <w:wordWrap w:val="0"/>
                    <w:adjustRightInd w:val="0"/>
                    <w:spacing w:line="240" w:lineRule="auto"/>
                    <w:jc w:val="center"/>
                    <w:rPr>
                      <w:sz w:val="21"/>
                      <w:szCs w:val="21"/>
                    </w:rPr>
                  </w:pPr>
                  <w:r>
                    <w:rPr>
                      <w:sz w:val="21"/>
                      <w:szCs w:val="21"/>
                    </w:rPr>
                    <w:t>废机油、含油抹布</w:t>
                  </w:r>
                  <w:r>
                    <w:rPr>
                      <w:rFonts w:hint="eastAsia"/>
                      <w:sz w:val="21"/>
                      <w:szCs w:val="21"/>
                    </w:rPr>
                    <w:t>、</w:t>
                  </w:r>
                  <w:r>
                    <w:rPr>
                      <w:sz w:val="21"/>
                      <w:szCs w:val="21"/>
                    </w:rPr>
                    <w:t>手套</w:t>
                  </w:r>
                  <w:r>
                    <w:rPr>
                      <w:rFonts w:hint="eastAsia"/>
                      <w:sz w:val="21"/>
                      <w:szCs w:val="21"/>
                    </w:rPr>
                    <w:t>、</w:t>
                  </w:r>
                  <w:r>
                    <w:rPr>
                      <w:sz w:val="21"/>
                      <w:szCs w:val="21"/>
                    </w:rPr>
                    <w:t>废机油桶</w:t>
                  </w:r>
                  <w:r>
                    <w:rPr>
                      <w:rFonts w:hint="eastAsia"/>
                      <w:sz w:val="21"/>
                      <w:szCs w:val="21"/>
                    </w:rPr>
                    <w:t>等</w:t>
                  </w:r>
                </w:p>
              </w:tc>
              <w:tc>
                <w:tcPr>
                  <w:tcW w:w="1570" w:type="pct"/>
                  <w:tcBorders>
                    <w:top w:val="single" w:color="auto" w:sz="4" w:space="0"/>
                    <w:left w:val="single" w:color="auto" w:sz="4" w:space="0"/>
                    <w:bottom w:val="single" w:color="auto" w:sz="4" w:space="0"/>
                    <w:right w:val="single" w:color="auto" w:sz="4" w:space="0"/>
                  </w:tcBorders>
                  <w:vAlign w:val="center"/>
                </w:tcPr>
                <w:p>
                  <w:pPr>
                    <w:overflowPunct w:val="0"/>
                    <w:topLinePunct/>
                    <w:contextualSpacing/>
                    <w:jc w:val="center"/>
                    <w:rPr>
                      <w:sz w:val="21"/>
                      <w:szCs w:val="21"/>
                    </w:rPr>
                  </w:pPr>
                  <w:r>
                    <w:rPr>
                      <w:sz w:val="21"/>
                      <w:szCs w:val="21"/>
                    </w:rPr>
                    <w:t>专用</w:t>
                  </w:r>
                  <w:r>
                    <w:rPr>
                      <w:rFonts w:hint="eastAsia"/>
                      <w:sz w:val="21"/>
                      <w:szCs w:val="21"/>
                    </w:rPr>
                    <w:t>收集</w:t>
                  </w:r>
                  <w:r>
                    <w:rPr>
                      <w:sz w:val="21"/>
                      <w:szCs w:val="21"/>
                    </w:rPr>
                    <w:t>容器</w:t>
                  </w:r>
                </w:p>
              </w:tc>
              <w:tc>
                <w:tcPr>
                  <w:tcW w:w="528" w:type="pct"/>
                  <w:tcBorders>
                    <w:top w:val="single" w:color="auto" w:sz="4" w:space="0"/>
                    <w:left w:val="single" w:color="auto" w:sz="4" w:space="0"/>
                    <w:bottom w:val="single" w:color="auto" w:sz="4" w:space="0"/>
                    <w:right w:val="single" w:color="auto" w:sz="4" w:space="0"/>
                  </w:tcBorders>
                  <w:vAlign w:val="center"/>
                </w:tcPr>
                <w:p>
                  <w:pPr>
                    <w:overflowPunct w:val="0"/>
                    <w:topLinePunct/>
                    <w:contextualSpacing/>
                    <w:jc w:val="center"/>
                    <w:rPr>
                      <w:sz w:val="21"/>
                      <w:szCs w:val="21"/>
                    </w:rPr>
                  </w:pPr>
                  <w:r>
                    <w:rPr>
                      <w:rFonts w:hint="eastAsia"/>
                      <w:sz w:val="21"/>
                      <w:szCs w:val="21"/>
                    </w:rPr>
                    <w:t>3个</w:t>
                  </w:r>
                </w:p>
              </w:tc>
              <w:tc>
                <w:tcPr>
                  <w:tcW w:w="1197" w:type="pct"/>
                  <w:vMerge w:val="restart"/>
                  <w:tcBorders>
                    <w:top w:val="single" w:color="auto" w:sz="4" w:space="0"/>
                    <w:left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《危险废物贮存污染控制标准》（GB18597-2001）及2013年修改单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34" w:hRule="atLeast"/>
                <w:jc w:val="center"/>
              </w:trPr>
              <w:tc>
                <w:tcPr>
                  <w:tcW w:w="466" w:type="pct"/>
                  <w:vMerge w:val="continue"/>
                  <w:tcBorders>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p>
              </w:tc>
              <w:tc>
                <w:tcPr>
                  <w:tcW w:w="697" w:type="pct"/>
                  <w:vMerge w:val="continue"/>
                  <w:tcBorders>
                    <w:left w:val="single" w:color="auto" w:sz="4" w:space="0"/>
                    <w:bottom w:val="single" w:color="auto" w:sz="4" w:space="0"/>
                    <w:right w:val="single" w:color="auto" w:sz="4" w:space="0"/>
                  </w:tcBorders>
                  <w:vAlign w:val="center"/>
                </w:tcPr>
                <w:p>
                  <w:pPr>
                    <w:widowControl w:val="0"/>
                    <w:wordWrap w:val="0"/>
                    <w:adjustRightInd w:val="0"/>
                    <w:spacing w:line="240" w:lineRule="auto"/>
                    <w:jc w:val="center"/>
                    <w:rPr>
                      <w:sz w:val="21"/>
                      <w:szCs w:val="21"/>
                    </w:rPr>
                  </w:pPr>
                </w:p>
              </w:tc>
              <w:tc>
                <w:tcPr>
                  <w:tcW w:w="541" w:type="pct"/>
                  <w:vMerge w:val="continue"/>
                  <w:tcBorders>
                    <w:left w:val="single" w:color="auto" w:sz="4" w:space="0"/>
                    <w:bottom w:val="single" w:color="auto" w:sz="4" w:space="0"/>
                    <w:right w:val="single" w:color="auto" w:sz="4" w:space="0"/>
                  </w:tcBorders>
                  <w:vAlign w:val="center"/>
                </w:tcPr>
                <w:p>
                  <w:pPr>
                    <w:widowControl w:val="0"/>
                    <w:wordWrap w:val="0"/>
                    <w:adjustRightInd w:val="0"/>
                    <w:spacing w:line="240" w:lineRule="auto"/>
                    <w:jc w:val="center"/>
                    <w:rPr>
                      <w:sz w:val="21"/>
                      <w:szCs w:val="21"/>
                    </w:rPr>
                  </w:pPr>
                </w:p>
              </w:tc>
              <w:tc>
                <w:tcPr>
                  <w:tcW w:w="1570" w:type="pct"/>
                  <w:tcBorders>
                    <w:top w:val="single" w:color="auto" w:sz="4" w:space="0"/>
                    <w:left w:val="single" w:color="auto" w:sz="4" w:space="0"/>
                    <w:bottom w:val="single" w:color="auto" w:sz="4" w:space="0"/>
                    <w:right w:val="single" w:color="auto" w:sz="4" w:space="0"/>
                  </w:tcBorders>
                  <w:vAlign w:val="center"/>
                </w:tcPr>
                <w:p>
                  <w:pPr>
                    <w:pStyle w:val="58"/>
                    <w:jc w:val="center"/>
                    <w:rPr>
                      <w:rFonts w:ascii="Times New Roman" w:cs="Times New Roman"/>
                      <w:color w:val="auto"/>
                      <w:sz w:val="21"/>
                      <w:szCs w:val="21"/>
                    </w:rPr>
                  </w:pPr>
                  <w:r>
                    <w:rPr>
                      <w:rFonts w:ascii="Times New Roman" w:cs="Times New Roman"/>
                      <w:color w:val="auto"/>
                      <w:sz w:val="21"/>
                      <w:szCs w:val="21"/>
                    </w:rPr>
                    <w:t>危废暂存间</w:t>
                  </w:r>
                </w:p>
              </w:tc>
              <w:tc>
                <w:tcPr>
                  <w:tcW w:w="528" w:type="pct"/>
                  <w:tcBorders>
                    <w:top w:val="single" w:color="auto" w:sz="4" w:space="0"/>
                    <w:left w:val="single" w:color="auto" w:sz="4" w:space="0"/>
                    <w:bottom w:val="single" w:color="auto" w:sz="4" w:space="0"/>
                    <w:right w:val="single" w:color="auto" w:sz="4" w:space="0"/>
                  </w:tcBorders>
                  <w:vAlign w:val="center"/>
                </w:tcPr>
                <w:p>
                  <w:pPr>
                    <w:overflowPunct w:val="0"/>
                    <w:topLinePunct/>
                    <w:contextualSpacing/>
                    <w:jc w:val="center"/>
                    <w:rPr>
                      <w:sz w:val="21"/>
                      <w:szCs w:val="21"/>
                    </w:rPr>
                  </w:pPr>
                  <w:r>
                    <w:rPr>
                      <w:rFonts w:hint="eastAsia"/>
                      <w:sz w:val="21"/>
                      <w:szCs w:val="21"/>
                    </w:rPr>
                    <w:t>1个</w:t>
                  </w:r>
                </w:p>
              </w:tc>
              <w:tc>
                <w:tcPr>
                  <w:tcW w:w="1197" w:type="pct"/>
                  <w:vMerge w:val="continue"/>
                  <w:tcBorders>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p>
              </w:tc>
            </w:tr>
          </w:tbl>
          <w:p>
            <w:pPr>
              <w:widowControl w:val="0"/>
              <w:wordWrap w:val="0"/>
              <w:ind w:firstLine="480" w:firstLineChars="200"/>
              <w:rPr>
                <w:b/>
              </w:rPr>
            </w:pPr>
            <w:r>
              <w:rPr>
                <w:rFonts w:hint="eastAsia"/>
                <w:b/>
              </w:rPr>
              <w:t>5</w:t>
            </w:r>
            <w:r>
              <w:rPr>
                <w:b/>
              </w:rPr>
              <w:t>、污染物排放清单</w:t>
            </w:r>
          </w:p>
          <w:p>
            <w:pPr>
              <w:pStyle w:val="2"/>
              <w:widowControl w:val="0"/>
              <w:ind w:firstLine="480" w:firstLineChars="200"/>
              <w:outlineLvl w:val="1"/>
              <w:rPr>
                <w:rFonts w:asciiTheme="minorEastAsia" w:hAnsiTheme="minorEastAsia" w:eastAsiaTheme="minorEastAsia"/>
                <w:b w:val="0"/>
              </w:rPr>
            </w:pPr>
            <w:r>
              <w:rPr>
                <w:rFonts w:asciiTheme="minorEastAsia" w:hAnsiTheme="minorEastAsia" w:eastAsiaTheme="minorEastAsia"/>
                <w:b w:val="0"/>
                <w:sz w:val="24"/>
              </w:rPr>
              <w:t>本项目运营期污染物排放清单见表</w:t>
            </w:r>
            <w:r>
              <w:rPr>
                <w:rFonts w:ascii="Times New Roman" w:hAnsi="Times New Roman" w:eastAsiaTheme="minorEastAsia"/>
                <w:b w:val="0"/>
                <w:sz w:val="24"/>
              </w:rPr>
              <w:t>7-19</w:t>
            </w:r>
            <w:r>
              <w:rPr>
                <w:rFonts w:hint="eastAsia" w:asciiTheme="minorEastAsia" w:hAnsiTheme="minorEastAsia" w:eastAsiaTheme="minorEastAsia"/>
                <w:b w:val="0"/>
                <w:sz w:val="24"/>
              </w:rPr>
              <w:t>。</w:t>
            </w:r>
          </w:p>
          <w:p>
            <w:pPr>
              <w:keepNext/>
              <w:keepLines/>
              <w:widowControl w:val="0"/>
              <w:rPr>
                <w:rFonts w:eastAsia="黑体"/>
                <w:b/>
                <w:bCs/>
                <w:kern w:val="44"/>
                <w:sz w:val="30"/>
                <w:szCs w:val="30"/>
              </w:rPr>
            </w:pPr>
          </w:p>
        </w:tc>
      </w:tr>
    </w:tbl>
    <w:p/>
    <w:p>
      <w:pPr>
        <w:rPr>
          <w:b/>
          <w:sz w:val="32"/>
          <w:szCs w:val="32"/>
        </w:rPr>
        <w:sectPr>
          <w:pgSz w:w="11906" w:h="16838"/>
          <w:pgMar w:top="1440" w:right="1797" w:bottom="1440" w:left="1797" w:header="1191" w:footer="1191" w:gutter="0"/>
          <w:cols w:space="425" w:num="1"/>
          <w:docGrid w:type="linesAndChars" w:linePitch="312" w:charSpace="0"/>
        </w:sectPr>
      </w:pPr>
    </w:p>
    <w:p>
      <w:pPr>
        <w:pStyle w:val="44"/>
        <w:widowControl w:val="0"/>
        <w:numPr>
          <w:ilvl w:val="0"/>
          <w:numId w:val="7"/>
        </w:numPr>
        <w:tabs>
          <w:tab w:val="left" w:pos="11"/>
        </w:tabs>
        <w:spacing w:line="240" w:lineRule="auto"/>
        <w:ind w:left="0" w:firstLine="0" w:firstLineChars="0"/>
        <w:jc w:val="center"/>
        <w:rPr>
          <w:b/>
          <w:sz w:val="21"/>
          <w:szCs w:val="21"/>
          <w:lang w:val="zh-CN"/>
        </w:rPr>
      </w:pPr>
      <w:r>
        <w:rPr>
          <w:b/>
          <w:sz w:val="21"/>
          <w:szCs w:val="21"/>
          <w:lang w:val="zh-CN"/>
        </w:rPr>
        <w:t>污染物排放清单</w:t>
      </w:r>
    </w:p>
    <w:tbl>
      <w:tblPr>
        <w:tblStyle w:val="24"/>
        <w:tblW w:w="14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701"/>
        <w:gridCol w:w="1276"/>
        <w:gridCol w:w="1265"/>
        <w:gridCol w:w="1286"/>
        <w:gridCol w:w="2919"/>
        <w:gridCol w:w="2893"/>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762" w:type="dxa"/>
            <w:vAlign w:val="center"/>
          </w:tcPr>
          <w:p>
            <w:pPr>
              <w:spacing w:line="240" w:lineRule="auto"/>
              <w:jc w:val="center"/>
              <w:rPr>
                <w:bCs/>
                <w:sz w:val="21"/>
                <w:szCs w:val="21"/>
              </w:rPr>
            </w:pPr>
            <w:r>
              <w:rPr>
                <w:bCs/>
                <w:sz w:val="21"/>
                <w:szCs w:val="21"/>
              </w:rPr>
              <w:t>类别</w:t>
            </w:r>
          </w:p>
        </w:tc>
        <w:tc>
          <w:tcPr>
            <w:tcW w:w="1701" w:type="dxa"/>
            <w:vAlign w:val="center"/>
          </w:tcPr>
          <w:p>
            <w:pPr>
              <w:spacing w:line="240" w:lineRule="auto"/>
              <w:jc w:val="center"/>
              <w:rPr>
                <w:bCs/>
                <w:sz w:val="21"/>
                <w:szCs w:val="21"/>
              </w:rPr>
            </w:pPr>
            <w:r>
              <w:rPr>
                <w:bCs/>
                <w:sz w:val="21"/>
                <w:szCs w:val="21"/>
              </w:rPr>
              <w:t>污染源</w:t>
            </w:r>
          </w:p>
        </w:tc>
        <w:tc>
          <w:tcPr>
            <w:tcW w:w="1276" w:type="dxa"/>
            <w:vAlign w:val="center"/>
          </w:tcPr>
          <w:p>
            <w:pPr>
              <w:spacing w:line="240" w:lineRule="auto"/>
              <w:jc w:val="center"/>
              <w:rPr>
                <w:bCs/>
                <w:sz w:val="21"/>
                <w:szCs w:val="21"/>
              </w:rPr>
            </w:pPr>
            <w:r>
              <w:rPr>
                <w:bCs/>
                <w:sz w:val="21"/>
                <w:szCs w:val="21"/>
              </w:rPr>
              <w:t>污染因子</w:t>
            </w:r>
          </w:p>
        </w:tc>
        <w:tc>
          <w:tcPr>
            <w:tcW w:w="1265" w:type="dxa"/>
            <w:vAlign w:val="center"/>
          </w:tcPr>
          <w:p>
            <w:pPr>
              <w:spacing w:line="240" w:lineRule="auto"/>
              <w:jc w:val="center"/>
              <w:rPr>
                <w:bCs/>
                <w:sz w:val="21"/>
                <w:szCs w:val="21"/>
              </w:rPr>
            </w:pPr>
            <w:r>
              <w:rPr>
                <w:bCs/>
                <w:sz w:val="21"/>
                <w:szCs w:val="21"/>
              </w:rPr>
              <w:t>排放浓度</w:t>
            </w:r>
          </w:p>
        </w:tc>
        <w:tc>
          <w:tcPr>
            <w:tcW w:w="1286" w:type="dxa"/>
            <w:vAlign w:val="center"/>
          </w:tcPr>
          <w:p>
            <w:pPr>
              <w:spacing w:line="240" w:lineRule="auto"/>
              <w:jc w:val="center"/>
              <w:rPr>
                <w:rFonts w:eastAsia="黑体"/>
                <w:sz w:val="21"/>
                <w:szCs w:val="21"/>
              </w:rPr>
            </w:pPr>
            <w:r>
              <w:rPr>
                <w:bCs/>
                <w:sz w:val="21"/>
                <w:szCs w:val="21"/>
              </w:rPr>
              <w:t>排放量</w:t>
            </w:r>
          </w:p>
        </w:tc>
        <w:tc>
          <w:tcPr>
            <w:tcW w:w="2919" w:type="dxa"/>
            <w:vAlign w:val="center"/>
          </w:tcPr>
          <w:p>
            <w:pPr>
              <w:spacing w:line="240" w:lineRule="auto"/>
              <w:jc w:val="center"/>
              <w:rPr>
                <w:bCs/>
                <w:sz w:val="21"/>
                <w:szCs w:val="21"/>
              </w:rPr>
            </w:pPr>
            <w:r>
              <w:rPr>
                <w:bCs/>
                <w:sz w:val="21"/>
                <w:szCs w:val="21"/>
              </w:rPr>
              <w:t>排放标准、验收标准</w:t>
            </w:r>
          </w:p>
        </w:tc>
        <w:tc>
          <w:tcPr>
            <w:tcW w:w="2893" w:type="dxa"/>
            <w:vAlign w:val="center"/>
          </w:tcPr>
          <w:p>
            <w:pPr>
              <w:spacing w:line="240" w:lineRule="auto"/>
              <w:jc w:val="center"/>
              <w:rPr>
                <w:bCs/>
                <w:sz w:val="21"/>
                <w:szCs w:val="21"/>
              </w:rPr>
            </w:pPr>
            <w:r>
              <w:rPr>
                <w:bCs/>
                <w:sz w:val="21"/>
                <w:szCs w:val="21"/>
              </w:rPr>
              <w:t>环保设施</w:t>
            </w:r>
          </w:p>
        </w:tc>
        <w:tc>
          <w:tcPr>
            <w:tcW w:w="1962" w:type="dxa"/>
            <w:vAlign w:val="center"/>
          </w:tcPr>
          <w:p>
            <w:pPr>
              <w:spacing w:line="240" w:lineRule="auto"/>
              <w:jc w:val="center"/>
              <w:rPr>
                <w:bCs/>
                <w:sz w:val="21"/>
                <w:szCs w:val="21"/>
              </w:rPr>
            </w:pPr>
            <w:r>
              <w:rPr>
                <w:bCs/>
                <w:sz w:val="21"/>
                <w:szCs w:val="21"/>
              </w:rPr>
              <w:t>相关指标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62" w:type="dxa"/>
            <w:vMerge w:val="restart"/>
            <w:vAlign w:val="center"/>
          </w:tcPr>
          <w:p>
            <w:pPr>
              <w:spacing w:line="240" w:lineRule="auto"/>
              <w:jc w:val="center"/>
              <w:rPr>
                <w:sz w:val="21"/>
                <w:szCs w:val="21"/>
              </w:rPr>
            </w:pPr>
            <w:r>
              <w:rPr>
                <w:sz w:val="21"/>
                <w:szCs w:val="21"/>
              </w:rPr>
              <w:t>废气</w:t>
            </w:r>
          </w:p>
        </w:tc>
        <w:tc>
          <w:tcPr>
            <w:tcW w:w="1701" w:type="dxa"/>
            <w:vAlign w:val="center"/>
          </w:tcPr>
          <w:p>
            <w:pPr>
              <w:kinsoku w:val="0"/>
              <w:overflowPunct w:val="0"/>
              <w:spacing w:line="240" w:lineRule="auto"/>
              <w:jc w:val="center"/>
              <w:rPr>
                <w:sz w:val="21"/>
                <w:szCs w:val="21"/>
              </w:rPr>
            </w:pPr>
            <w:r>
              <w:rPr>
                <w:color w:val="000000"/>
                <w:sz w:val="21"/>
                <w:szCs w:val="21"/>
              </w:rPr>
              <w:t>破碎筛分工序</w:t>
            </w:r>
          </w:p>
        </w:tc>
        <w:tc>
          <w:tcPr>
            <w:tcW w:w="1276" w:type="dxa"/>
            <w:vMerge w:val="restart"/>
            <w:vAlign w:val="center"/>
          </w:tcPr>
          <w:p>
            <w:pPr>
              <w:kinsoku w:val="0"/>
              <w:overflowPunct w:val="0"/>
              <w:spacing w:line="240" w:lineRule="auto"/>
              <w:jc w:val="center"/>
              <w:rPr>
                <w:sz w:val="21"/>
                <w:szCs w:val="21"/>
              </w:rPr>
            </w:pPr>
            <w:r>
              <w:rPr>
                <w:sz w:val="21"/>
                <w:szCs w:val="21"/>
              </w:rPr>
              <w:t>粉尘</w:t>
            </w:r>
          </w:p>
        </w:tc>
        <w:tc>
          <w:tcPr>
            <w:tcW w:w="1265" w:type="dxa"/>
            <w:vAlign w:val="center"/>
          </w:tcPr>
          <w:p>
            <w:pPr>
              <w:spacing w:line="240" w:lineRule="auto"/>
              <w:jc w:val="center"/>
              <w:rPr>
                <w:sz w:val="21"/>
                <w:szCs w:val="21"/>
              </w:rPr>
            </w:pPr>
            <w:r>
              <w:rPr>
                <w:sz w:val="21"/>
                <w:szCs w:val="21"/>
              </w:rPr>
              <w:t>—</w:t>
            </w:r>
            <w:r>
              <w:rPr>
                <w:sz w:val="21"/>
                <w:szCs w:val="21"/>
                <w:vertAlign w:val="superscript"/>
              </w:rPr>
              <w:t xml:space="preserve">   </w:t>
            </w:r>
          </w:p>
        </w:tc>
        <w:tc>
          <w:tcPr>
            <w:tcW w:w="1286" w:type="dxa"/>
            <w:vAlign w:val="center"/>
          </w:tcPr>
          <w:p>
            <w:pPr>
              <w:spacing w:line="240" w:lineRule="auto"/>
              <w:contextualSpacing/>
              <w:jc w:val="center"/>
              <w:rPr>
                <w:sz w:val="21"/>
                <w:szCs w:val="21"/>
              </w:rPr>
            </w:pPr>
            <w:r>
              <w:rPr>
                <w:rFonts w:hint="eastAsia"/>
                <w:sz w:val="21"/>
                <w:szCs w:val="21"/>
              </w:rPr>
              <w:t>0.0</w:t>
            </w:r>
            <w:r>
              <w:rPr>
                <w:sz w:val="21"/>
                <w:szCs w:val="21"/>
              </w:rPr>
              <w:t>45t/a</w:t>
            </w:r>
          </w:p>
        </w:tc>
        <w:tc>
          <w:tcPr>
            <w:tcW w:w="2919" w:type="dxa"/>
            <w:vMerge w:val="restart"/>
            <w:vAlign w:val="center"/>
          </w:tcPr>
          <w:p>
            <w:pPr>
              <w:spacing w:line="240" w:lineRule="auto"/>
              <w:jc w:val="center"/>
              <w:rPr>
                <w:bCs/>
                <w:sz w:val="21"/>
                <w:szCs w:val="21"/>
              </w:rPr>
            </w:pPr>
            <w:r>
              <w:rPr>
                <w:spacing w:val="-6"/>
                <w:sz w:val="21"/>
                <w:szCs w:val="21"/>
              </w:rPr>
              <w:t>《大气污染物综合排放标准》（GB16297-1996）表2二级标准</w:t>
            </w:r>
          </w:p>
        </w:tc>
        <w:tc>
          <w:tcPr>
            <w:tcW w:w="2893" w:type="dxa"/>
            <w:vAlign w:val="center"/>
          </w:tcPr>
          <w:p>
            <w:pPr>
              <w:spacing w:line="240" w:lineRule="auto"/>
              <w:jc w:val="center"/>
              <w:rPr>
                <w:sz w:val="21"/>
                <w:szCs w:val="21"/>
              </w:rPr>
            </w:pPr>
            <w:r>
              <w:rPr>
                <w:rFonts w:hint="eastAsia"/>
                <w:sz w:val="21"/>
                <w:szCs w:val="21"/>
              </w:rPr>
              <w:t>破碎筛分设备单独封闭</w:t>
            </w:r>
          </w:p>
        </w:tc>
        <w:tc>
          <w:tcPr>
            <w:tcW w:w="1962" w:type="dxa"/>
            <w:vMerge w:val="restart"/>
            <w:vAlign w:val="center"/>
          </w:tcPr>
          <w:p>
            <w:pPr>
              <w:pStyle w:val="58"/>
              <w:spacing w:line="240" w:lineRule="auto"/>
              <w:jc w:val="center"/>
              <w:rPr>
                <w:rFonts w:ascii="Times New Roman" w:cs="Times New Roman"/>
                <w:sz w:val="21"/>
                <w:szCs w:val="21"/>
              </w:rPr>
            </w:pPr>
            <w:r>
              <w:rPr>
                <w:rFonts w:ascii="Times New Roman" w:cs="Times New Roman"/>
                <w:sz w:val="21"/>
                <w:szCs w:val="21"/>
              </w:rPr>
              <w:t>全封闭生产车间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62" w:type="dxa"/>
            <w:vMerge w:val="continue"/>
            <w:vAlign w:val="center"/>
          </w:tcPr>
          <w:p>
            <w:pPr>
              <w:spacing w:line="240" w:lineRule="auto"/>
              <w:jc w:val="center"/>
              <w:rPr>
                <w:sz w:val="21"/>
                <w:szCs w:val="21"/>
              </w:rPr>
            </w:pPr>
          </w:p>
        </w:tc>
        <w:tc>
          <w:tcPr>
            <w:tcW w:w="1701" w:type="dxa"/>
            <w:vAlign w:val="center"/>
          </w:tcPr>
          <w:p>
            <w:pPr>
              <w:kinsoku w:val="0"/>
              <w:overflowPunct w:val="0"/>
              <w:spacing w:line="240" w:lineRule="auto"/>
              <w:jc w:val="center"/>
              <w:rPr>
                <w:sz w:val="21"/>
                <w:szCs w:val="21"/>
              </w:rPr>
            </w:pPr>
            <w:r>
              <w:rPr>
                <w:sz w:val="21"/>
                <w:szCs w:val="21"/>
              </w:rPr>
              <w:t>制砂</w:t>
            </w:r>
            <w:r>
              <w:rPr>
                <w:color w:val="000000"/>
                <w:sz w:val="21"/>
                <w:szCs w:val="21"/>
              </w:rPr>
              <w:t>工序</w:t>
            </w:r>
          </w:p>
        </w:tc>
        <w:tc>
          <w:tcPr>
            <w:tcW w:w="1276" w:type="dxa"/>
            <w:vMerge w:val="continue"/>
            <w:vAlign w:val="center"/>
          </w:tcPr>
          <w:p>
            <w:pPr>
              <w:spacing w:line="240" w:lineRule="auto"/>
              <w:jc w:val="center"/>
              <w:rPr>
                <w:sz w:val="21"/>
                <w:szCs w:val="21"/>
              </w:rPr>
            </w:pPr>
          </w:p>
        </w:tc>
        <w:tc>
          <w:tcPr>
            <w:tcW w:w="1265" w:type="dxa"/>
            <w:vAlign w:val="center"/>
          </w:tcPr>
          <w:p>
            <w:pPr>
              <w:spacing w:line="240" w:lineRule="auto"/>
              <w:jc w:val="center"/>
              <w:rPr>
                <w:sz w:val="21"/>
                <w:szCs w:val="21"/>
              </w:rPr>
            </w:pPr>
            <w:r>
              <w:rPr>
                <w:sz w:val="21"/>
                <w:szCs w:val="21"/>
              </w:rPr>
              <w:t>—</w:t>
            </w:r>
            <w:r>
              <w:rPr>
                <w:sz w:val="21"/>
                <w:szCs w:val="21"/>
                <w:vertAlign w:val="superscript"/>
              </w:rPr>
              <w:t xml:space="preserve">   </w:t>
            </w:r>
          </w:p>
        </w:tc>
        <w:tc>
          <w:tcPr>
            <w:tcW w:w="1286" w:type="dxa"/>
            <w:vAlign w:val="center"/>
          </w:tcPr>
          <w:p>
            <w:pPr>
              <w:spacing w:line="240" w:lineRule="auto"/>
              <w:contextualSpacing/>
              <w:jc w:val="center"/>
              <w:rPr>
                <w:sz w:val="21"/>
                <w:szCs w:val="21"/>
              </w:rPr>
            </w:pPr>
            <w:r>
              <w:rPr>
                <w:rFonts w:hint="eastAsia"/>
                <w:sz w:val="21"/>
                <w:szCs w:val="21"/>
              </w:rPr>
              <w:t>0.1</w:t>
            </w:r>
            <w:r>
              <w:rPr>
                <w:sz w:val="21"/>
                <w:szCs w:val="21"/>
              </w:rPr>
              <w:t>2t/a</w:t>
            </w:r>
          </w:p>
        </w:tc>
        <w:tc>
          <w:tcPr>
            <w:tcW w:w="2919" w:type="dxa"/>
            <w:vMerge w:val="continue"/>
            <w:vAlign w:val="center"/>
          </w:tcPr>
          <w:p>
            <w:pPr>
              <w:spacing w:line="240" w:lineRule="auto"/>
              <w:jc w:val="center"/>
              <w:rPr>
                <w:bCs/>
                <w:sz w:val="21"/>
                <w:szCs w:val="21"/>
              </w:rPr>
            </w:pPr>
          </w:p>
        </w:tc>
        <w:tc>
          <w:tcPr>
            <w:tcW w:w="2893" w:type="dxa"/>
            <w:vMerge w:val="restart"/>
            <w:vAlign w:val="center"/>
          </w:tcPr>
          <w:p>
            <w:pPr>
              <w:spacing w:line="240" w:lineRule="auto"/>
              <w:jc w:val="center"/>
              <w:rPr>
                <w:bCs/>
                <w:snapToGrid w:val="0"/>
                <w:spacing w:val="-2"/>
                <w:sz w:val="21"/>
                <w:szCs w:val="21"/>
              </w:rPr>
            </w:pPr>
            <w:r>
              <w:rPr>
                <w:rFonts w:hint="eastAsia"/>
                <w:sz w:val="21"/>
                <w:szCs w:val="21"/>
              </w:rPr>
              <w:t>雾化喷淋设施（1套）</w:t>
            </w:r>
          </w:p>
        </w:tc>
        <w:tc>
          <w:tcPr>
            <w:tcW w:w="1962" w:type="dxa"/>
            <w:vMerge w:val="continue"/>
            <w:vAlign w:val="center"/>
          </w:tcPr>
          <w:p>
            <w:pPr>
              <w:pStyle w:val="58"/>
              <w:spacing w:line="240" w:lineRule="auto"/>
              <w:jc w:val="center"/>
              <w:rPr>
                <w:rFonts w:ascii="Times New Roman" w:cs="Times New Roman"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762" w:type="dxa"/>
            <w:vMerge w:val="continue"/>
            <w:vAlign w:val="center"/>
          </w:tcPr>
          <w:p>
            <w:pPr>
              <w:spacing w:line="240" w:lineRule="auto"/>
              <w:jc w:val="center"/>
              <w:rPr>
                <w:sz w:val="21"/>
                <w:szCs w:val="21"/>
              </w:rPr>
            </w:pPr>
          </w:p>
        </w:tc>
        <w:tc>
          <w:tcPr>
            <w:tcW w:w="1701" w:type="dxa"/>
            <w:vAlign w:val="center"/>
          </w:tcPr>
          <w:p>
            <w:pPr>
              <w:kinsoku w:val="0"/>
              <w:overflowPunct w:val="0"/>
              <w:spacing w:line="240" w:lineRule="auto"/>
              <w:jc w:val="center"/>
              <w:rPr>
                <w:color w:val="000000"/>
                <w:sz w:val="21"/>
                <w:szCs w:val="21"/>
              </w:rPr>
            </w:pPr>
            <w:r>
              <w:rPr>
                <w:rFonts w:hint="eastAsia"/>
                <w:sz w:val="21"/>
                <w:szCs w:val="21"/>
              </w:rPr>
              <w:t>产品区</w:t>
            </w:r>
            <w:r>
              <w:rPr>
                <w:sz w:val="21"/>
                <w:szCs w:val="21"/>
              </w:rPr>
              <w:t>装卸</w:t>
            </w:r>
            <w:r>
              <w:rPr>
                <w:color w:val="000000"/>
                <w:sz w:val="21"/>
                <w:szCs w:val="21"/>
              </w:rPr>
              <w:t>工序</w:t>
            </w:r>
          </w:p>
        </w:tc>
        <w:tc>
          <w:tcPr>
            <w:tcW w:w="1276" w:type="dxa"/>
            <w:vMerge w:val="continue"/>
            <w:vAlign w:val="center"/>
          </w:tcPr>
          <w:p>
            <w:pPr>
              <w:kinsoku w:val="0"/>
              <w:overflowPunct w:val="0"/>
              <w:spacing w:line="240" w:lineRule="auto"/>
              <w:jc w:val="center"/>
              <w:rPr>
                <w:sz w:val="21"/>
                <w:szCs w:val="21"/>
              </w:rPr>
            </w:pPr>
          </w:p>
        </w:tc>
        <w:tc>
          <w:tcPr>
            <w:tcW w:w="1265" w:type="dxa"/>
            <w:vAlign w:val="center"/>
          </w:tcPr>
          <w:p>
            <w:pPr>
              <w:spacing w:line="240" w:lineRule="auto"/>
              <w:jc w:val="center"/>
              <w:rPr>
                <w:sz w:val="21"/>
                <w:szCs w:val="21"/>
              </w:rPr>
            </w:pPr>
            <w:r>
              <w:rPr>
                <w:sz w:val="21"/>
                <w:szCs w:val="21"/>
              </w:rPr>
              <w:t>—</w:t>
            </w:r>
          </w:p>
        </w:tc>
        <w:tc>
          <w:tcPr>
            <w:tcW w:w="1286" w:type="dxa"/>
            <w:vAlign w:val="center"/>
          </w:tcPr>
          <w:p>
            <w:pPr>
              <w:spacing w:line="240" w:lineRule="auto"/>
              <w:contextualSpacing/>
              <w:jc w:val="center"/>
              <w:rPr>
                <w:sz w:val="21"/>
                <w:szCs w:val="21"/>
              </w:rPr>
            </w:pPr>
            <w:r>
              <w:rPr>
                <w:rFonts w:hint="eastAsia"/>
                <w:sz w:val="21"/>
                <w:szCs w:val="21"/>
              </w:rPr>
              <w:t>0.01</w:t>
            </w:r>
            <w:r>
              <w:rPr>
                <w:sz w:val="21"/>
                <w:szCs w:val="21"/>
              </w:rPr>
              <w:t>2t/a</w:t>
            </w:r>
          </w:p>
        </w:tc>
        <w:tc>
          <w:tcPr>
            <w:tcW w:w="2919" w:type="dxa"/>
            <w:vMerge w:val="continue"/>
            <w:vAlign w:val="center"/>
          </w:tcPr>
          <w:p>
            <w:pPr>
              <w:spacing w:line="240" w:lineRule="auto"/>
              <w:jc w:val="center"/>
              <w:rPr>
                <w:bCs/>
                <w:sz w:val="21"/>
                <w:szCs w:val="21"/>
              </w:rPr>
            </w:pPr>
          </w:p>
        </w:tc>
        <w:tc>
          <w:tcPr>
            <w:tcW w:w="2893" w:type="dxa"/>
            <w:vMerge w:val="continue"/>
            <w:vAlign w:val="center"/>
          </w:tcPr>
          <w:p>
            <w:pPr>
              <w:spacing w:line="240" w:lineRule="auto"/>
              <w:jc w:val="center"/>
              <w:rPr>
                <w:bCs/>
                <w:snapToGrid w:val="0"/>
                <w:spacing w:val="-2"/>
                <w:sz w:val="21"/>
                <w:szCs w:val="21"/>
              </w:rPr>
            </w:pPr>
          </w:p>
        </w:tc>
        <w:tc>
          <w:tcPr>
            <w:tcW w:w="1962" w:type="dxa"/>
            <w:vAlign w:val="center"/>
          </w:tcPr>
          <w:p>
            <w:pPr>
              <w:pStyle w:val="58"/>
              <w:spacing w:line="240" w:lineRule="auto"/>
              <w:jc w:val="center"/>
              <w:rPr>
                <w:rFonts w:ascii="Times New Roman" w:cs="Times New Roman" w:eastAsiaTheme="minorEastAsia"/>
                <w:sz w:val="21"/>
                <w:szCs w:val="21"/>
              </w:rPr>
            </w:pPr>
            <w:r>
              <w:rPr>
                <w:rFonts w:hint="eastAsia" w:ascii="Times New Roman" w:cs="Times New Roman"/>
                <w:sz w:val="21"/>
                <w:szCs w:val="21"/>
              </w:rPr>
              <w:t>全封闭产品区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62" w:type="dxa"/>
            <w:vMerge w:val="continue"/>
            <w:vAlign w:val="center"/>
          </w:tcPr>
          <w:p>
            <w:pPr>
              <w:spacing w:line="240" w:lineRule="auto"/>
              <w:jc w:val="center"/>
              <w:rPr>
                <w:sz w:val="21"/>
                <w:szCs w:val="21"/>
              </w:rPr>
            </w:pPr>
          </w:p>
        </w:tc>
        <w:tc>
          <w:tcPr>
            <w:tcW w:w="1701" w:type="dxa"/>
            <w:vAlign w:val="center"/>
          </w:tcPr>
          <w:p>
            <w:pPr>
              <w:kinsoku w:val="0"/>
              <w:overflowPunct w:val="0"/>
              <w:spacing w:line="240" w:lineRule="auto"/>
              <w:jc w:val="center"/>
              <w:rPr>
                <w:color w:val="000000"/>
                <w:sz w:val="21"/>
                <w:szCs w:val="21"/>
              </w:rPr>
            </w:pPr>
            <w:r>
              <w:rPr>
                <w:sz w:val="21"/>
                <w:szCs w:val="21"/>
              </w:rPr>
              <w:t>原料区</w:t>
            </w:r>
            <w:r>
              <w:rPr>
                <w:rFonts w:hint="eastAsia"/>
                <w:sz w:val="21"/>
                <w:szCs w:val="21"/>
              </w:rPr>
              <w:t>装卸</w:t>
            </w:r>
            <w:r>
              <w:rPr>
                <w:color w:val="000000"/>
                <w:sz w:val="21"/>
                <w:szCs w:val="21"/>
              </w:rPr>
              <w:t>工序</w:t>
            </w:r>
          </w:p>
        </w:tc>
        <w:tc>
          <w:tcPr>
            <w:tcW w:w="1276" w:type="dxa"/>
            <w:vMerge w:val="continue"/>
            <w:vAlign w:val="center"/>
          </w:tcPr>
          <w:p>
            <w:pPr>
              <w:spacing w:line="240" w:lineRule="auto"/>
              <w:jc w:val="center"/>
              <w:rPr>
                <w:color w:val="000000"/>
                <w:sz w:val="21"/>
                <w:szCs w:val="21"/>
              </w:rPr>
            </w:pPr>
          </w:p>
        </w:tc>
        <w:tc>
          <w:tcPr>
            <w:tcW w:w="1265" w:type="dxa"/>
            <w:vAlign w:val="center"/>
          </w:tcPr>
          <w:p>
            <w:pPr>
              <w:spacing w:line="240" w:lineRule="auto"/>
              <w:jc w:val="center"/>
              <w:rPr>
                <w:bCs/>
                <w:snapToGrid w:val="0"/>
                <w:spacing w:val="-2"/>
                <w:sz w:val="21"/>
                <w:szCs w:val="21"/>
              </w:rPr>
            </w:pPr>
            <w:r>
              <w:rPr>
                <w:sz w:val="21"/>
                <w:szCs w:val="21"/>
              </w:rPr>
              <w:t>—</w:t>
            </w:r>
          </w:p>
        </w:tc>
        <w:tc>
          <w:tcPr>
            <w:tcW w:w="1286" w:type="dxa"/>
            <w:vAlign w:val="center"/>
          </w:tcPr>
          <w:p>
            <w:pPr>
              <w:spacing w:line="240" w:lineRule="auto"/>
              <w:contextualSpacing/>
              <w:jc w:val="center"/>
              <w:rPr>
                <w:sz w:val="21"/>
                <w:szCs w:val="21"/>
              </w:rPr>
            </w:pPr>
            <w:r>
              <w:rPr>
                <w:rFonts w:hint="eastAsia"/>
                <w:sz w:val="21"/>
                <w:szCs w:val="21"/>
              </w:rPr>
              <w:t>0.0</w:t>
            </w:r>
            <w:r>
              <w:rPr>
                <w:sz w:val="21"/>
                <w:szCs w:val="21"/>
              </w:rPr>
              <w:t>3t/a</w:t>
            </w:r>
          </w:p>
        </w:tc>
        <w:tc>
          <w:tcPr>
            <w:tcW w:w="2919" w:type="dxa"/>
            <w:vMerge w:val="continue"/>
            <w:vAlign w:val="center"/>
          </w:tcPr>
          <w:p>
            <w:pPr>
              <w:spacing w:line="240" w:lineRule="auto"/>
              <w:jc w:val="center"/>
              <w:rPr>
                <w:spacing w:val="-6"/>
                <w:kern w:val="0"/>
                <w:sz w:val="21"/>
                <w:szCs w:val="21"/>
              </w:rPr>
            </w:pPr>
          </w:p>
        </w:tc>
        <w:tc>
          <w:tcPr>
            <w:tcW w:w="2893" w:type="dxa"/>
            <w:vMerge w:val="continue"/>
            <w:vAlign w:val="center"/>
          </w:tcPr>
          <w:p>
            <w:pPr>
              <w:spacing w:line="240" w:lineRule="auto"/>
              <w:jc w:val="center"/>
              <w:rPr>
                <w:sz w:val="21"/>
                <w:szCs w:val="21"/>
              </w:rPr>
            </w:pPr>
          </w:p>
        </w:tc>
        <w:tc>
          <w:tcPr>
            <w:tcW w:w="1962" w:type="dxa"/>
            <w:vAlign w:val="center"/>
          </w:tcPr>
          <w:p>
            <w:pPr>
              <w:pStyle w:val="58"/>
              <w:spacing w:line="240" w:lineRule="auto"/>
              <w:jc w:val="center"/>
              <w:rPr>
                <w:rFonts w:ascii="Times New Roman" w:cs="Times New Roman"/>
                <w:sz w:val="21"/>
                <w:szCs w:val="21"/>
              </w:rPr>
            </w:pPr>
            <w:r>
              <w:rPr>
                <w:rFonts w:hint="eastAsia" w:ascii="Times New Roman" w:cs="Times New Roman"/>
                <w:sz w:val="21"/>
                <w:szCs w:val="21"/>
              </w:rPr>
              <w:t>沾湿的土工布遮盖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62" w:type="dxa"/>
            <w:vMerge w:val="continue"/>
            <w:vAlign w:val="center"/>
          </w:tcPr>
          <w:p>
            <w:pPr>
              <w:spacing w:line="240" w:lineRule="auto"/>
              <w:jc w:val="center"/>
              <w:rPr>
                <w:sz w:val="21"/>
                <w:szCs w:val="21"/>
              </w:rPr>
            </w:pPr>
          </w:p>
        </w:tc>
        <w:tc>
          <w:tcPr>
            <w:tcW w:w="1701" w:type="dxa"/>
            <w:vAlign w:val="center"/>
          </w:tcPr>
          <w:p>
            <w:pPr>
              <w:spacing w:line="240" w:lineRule="auto"/>
              <w:jc w:val="center"/>
              <w:rPr>
                <w:sz w:val="21"/>
                <w:szCs w:val="21"/>
              </w:rPr>
            </w:pPr>
            <w:r>
              <w:rPr>
                <w:sz w:val="21"/>
                <w:szCs w:val="21"/>
              </w:rPr>
              <w:t>车辆运输</w:t>
            </w:r>
          </w:p>
        </w:tc>
        <w:tc>
          <w:tcPr>
            <w:tcW w:w="1276" w:type="dxa"/>
            <w:vMerge w:val="continue"/>
            <w:vAlign w:val="center"/>
          </w:tcPr>
          <w:p>
            <w:pPr>
              <w:spacing w:line="240" w:lineRule="auto"/>
              <w:jc w:val="center"/>
              <w:rPr>
                <w:color w:val="000000"/>
                <w:sz w:val="21"/>
                <w:szCs w:val="21"/>
              </w:rPr>
            </w:pPr>
          </w:p>
        </w:tc>
        <w:tc>
          <w:tcPr>
            <w:tcW w:w="1265" w:type="dxa"/>
            <w:vAlign w:val="center"/>
          </w:tcPr>
          <w:p>
            <w:pPr>
              <w:spacing w:line="240" w:lineRule="auto"/>
              <w:jc w:val="center"/>
              <w:rPr>
                <w:bCs/>
                <w:snapToGrid w:val="0"/>
                <w:spacing w:val="-2"/>
                <w:sz w:val="21"/>
                <w:szCs w:val="21"/>
              </w:rPr>
            </w:pPr>
            <w:r>
              <w:rPr>
                <w:sz w:val="21"/>
                <w:szCs w:val="21"/>
              </w:rPr>
              <w:t>—</w:t>
            </w:r>
          </w:p>
        </w:tc>
        <w:tc>
          <w:tcPr>
            <w:tcW w:w="1286" w:type="dxa"/>
            <w:vAlign w:val="center"/>
          </w:tcPr>
          <w:p>
            <w:pPr>
              <w:spacing w:line="240" w:lineRule="auto"/>
              <w:contextualSpacing/>
              <w:jc w:val="center"/>
              <w:rPr>
                <w:sz w:val="21"/>
                <w:szCs w:val="21"/>
              </w:rPr>
            </w:pPr>
            <w:r>
              <w:rPr>
                <w:rFonts w:hint="eastAsia"/>
                <w:bCs/>
                <w:snapToGrid w:val="0"/>
                <w:spacing w:val="-2"/>
                <w:sz w:val="21"/>
                <w:szCs w:val="21"/>
              </w:rPr>
              <w:t>0.0</w:t>
            </w:r>
            <w:r>
              <w:rPr>
                <w:bCs/>
                <w:snapToGrid w:val="0"/>
                <w:spacing w:val="-2"/>
                <w:sz w:val="21"/>
                <w:szCs w:val="21"/>
              </w:rPr>
              <w:t>188</w:t>
            </w:r>
            <w:r>
              <w:rPr>
                <w:sz w:val="21"/>
                <w:szCs w:val="21"/>
              </w:rPr>
              <w:t>t/a</w:t>
            </w:r>
          </w:p>
        </w:tc>
        <w:tc>
          <w:tcPr>
            <w:tcW w:w="2919" w:type="dxa"/>
            <w:vMerge w:val="continue"/>
            <w:vAlign w:val="center"/>
          </w:tcPr>
          <w:p>
            <w:pPr>
              <w:spacing w:line="240" w:lineRule="auto"/>
              <w:jc w:val="center"/>
              <w:rPr>
                <w:spacing w:val="-6"/>
                <w:kern w:val="0"/>
                <w:sz w:val="21"/>
                <w:szCs w:val="21"/>
              </w:rPr>
            </w:pPr>
          </w:p>
        </w:tc>
        <w:tc>
          <w:tcPr>
            <w:tcW w:w="2893" w:type="dxa"/>
            <w:vMerge w:val="continue"/>
            <w:vAlign w:val="center"/>
          </w:tcPr>
          <w:p>
            <w:pPr>
              <w:spacing w:line="240" w:lineRule="auto"/>
              <w:jc w:val="center"/>
              <w:rPr>
                <w:sz w:val="21"/>
                <w:szCs w:val="21"/>
              </w:rPr>
            </w:pPr>
          </w:p>
        </w:tc>
        <w:tc>
          <w:tcPr>
            <w:tcW w:w="1962" w:type="dxa"/>
            <w:vAlign w:val="center"/>
          </w:tcPr>
          <w:p>
            <w:pPr>
              <w:pStyle w:val="58"/>
              <w:spacing w:line="240" w:lineRule="auto"/>
              <w:jc w:val="center"/>
              <w:rPr>
                <w:rFonts w:ascii="Times New Roman" w:cs="Times New Roman" w:eastAsiaTheme="minorEastAsia"/>
                <w:sz w:val="21"/>
                <w:szCs w:val="21"/>
              </w:rPr>
            </w:pPr>
            <w:r>
              <w:rPr>
                <w:rFonts w:hint="eastAsia" w:ascii="Times New Roman" w:cs="Times New Roman"/>
                <w:sz w:val="21"/>
                <w:szCs w:val="21"/>
              </w:rPr>
              <w:t>道路硬化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62" w:type="dxa"/>
            <w:vMerge w:val="continue"/>
            <w:vAlign w:val="center"/>
          </w:tcPr>
          <w:p>
            <w:pPr>
              <w:spacing w:line="240" w:lineRule="auto"/>
              <w:jc w:val="center"/>
              <w:rPr>
                <w:sz w:val="21"/>
                <w:szCs w:val="21"/>
              </w:rPr>
            </w:pPr>
          </w:p>
        </w:tc>
        <w:tc>
          <w:tcPr>
            <w:tcW w:w="1701" w:type="dxa"/>
            <w:vAlign w:val="center"/>
          </w:tcPr>
          <w:p>
            <w:pPr>
              <w:kinsoku w:val="0"/>
              <w:overflowPunct w:val="0"/>
              <w:spacing w:line="240" w:lineRule="auto"/>
              <w:jc w:val="center"/>
              <w:rPr>
                <w:color w:val="000000"/>
                <w:sz w:val="21"/>
                <w:szCs w:val="21"/>
              </w:rPr>
            </w:pPr>
            <w:r>
              <w:rPr>
                <w:rFonts w:hint="eastAsia"/>
                <w:color w:val="000000"/>
                <w:sz w:val="21"/>
                <w:szCs w:val="21"/>
              </w:rPr>
              <w:t>员工</w:t>
            </w:r>
            <w:r>
              <w:rPr>
                <w:color w:val="000000"/>
                <w:sz w:val="21"/>
                <w:szCs w:val="21"/>
              </w:rPr>
              <w:t>食堂</w:t>
            </w:r>
          </w:p>
        </w:tc>
        <w:tc>
          <w:tcPr>
            <w:tcW w:w="1276" w:type="dxa"/>
            <w:vAlign w:val="center"/>
          </w:tcPr>
          <w:p>
            <w:pPr>
              <w:spacing w:line="240" w:lineRule="auto"/>
              <w:jc w:val="center"/>
              <w:rPr>
                <w:sz w:val="21"/>
                <w:szCs w:val="21"/>
              </w:rPr>
            </w:pPr>
            <w:r>
              <w:rPr>
                <w:color w:val="000000"/>
                <w:sz w:val="21"/>
                <w:szCs w:val="21"/>
              </w:rPr>
              <w:t>油烟废气</w:t>
            </w:r>
          </w:p>
        </w:tc>
        <w:tc>
          <w:tcPr>
            <w:tcW w:w="1265" w:type="dxa"/>
            <w:vAlign w:val="center"/>
          </w:tcPr>
          <w:p>
            <w:pPr>
              <w:spacing w:line="240" w:lineRule="auto"/>
              <w:jc w:val="center"/>
              <w:rPr>
                <w:sz w:val="21"/>
                <w:szCs w:val="21"/>
              </w:rPr>
            </w:pPr>
            <w:r>
              <w:rPr>
                <w:rFonts w:hint="eastAsia"/>
                <w:bCs/>
                <w:snapToGrid w:val="0"/>
                <w:spacing w:val="-2"/>
                <w:sz w:val="21"/>
                <w:szCs w:val="21"/>
              </w:rPr>
              <w:t>0.25</w:t>
            </w:r>
            <w:r>
              <w:rPr>
                <w:bCs/>
                <w:snapToGrid w:val="0"/>
                <w:spacing w:val="-2"/>
                <w:sz w:val="21"/>
                <w:szCs w:val="21"/>
              </w:rPr>
              <w:t>mg/m</w:t>
            </w:r>
            <w:r>
              <w:rPr>
                <w:bCs/>
                <w:snapToGrid w:val="0"/>
                <w:spacing w:val="-2"/>
                <w:sz w:val="21"/>
                <w:szCs w:val="21"/>
                <w:vertAlign w:val="superscript"/>
              </w:rPr>
              <w:t>3</w:t>
            </w:r>
            <w:r>
              <w:rPr>
                <w:sz w:val="21"/>
                <w:szCs w:val="21"/>
              </w:rPr>
              <w:t xml:space="preserve"> </w:t>
            </w:r>
          </w:p>
        </w:tc>
        <w:tc>
          <w:tcPr>
            <w:tcW w:w="1286" w:type="dxa"/>
            <w:vAlign w:val="center"/>
          </w:tcPr>
          <w:p>
            <w:pPr>
              <w:spacing w:line="240" w:lineRule="auto"/>
              <w:contextualSpacing/>
              <w:jc w:val="center"/>
              <w:rPr>
                <w:sz w:val="21"/>
                <w:szCs w:val="21"/>
              </w:rPr>
            </w:pPr>
            <w:r>
              <w:rPr>
                <w:rFonts w:hint="eastAsia"/>
                <w:bCs/>
                <w:snapToGrid w:val="0"/>
                <w:spacing w:val="-2"/>
                <w:sz w:val="21"/>
                <w:szCs w:val="21"/>
              </w:rPr>
              <w:t>0.52kg</w:t>
            </w:r>
            <w:r>
              <w:rPr>
                <w:bCs/>
                <w:snapToGrid w:val="0"/>
                <w:spacing w:val="-2"/>
                <w:sz w:val="21"/>
                <w:szCs w:val="21"/>
              </w:rPr>
              <w:t>/a</w:t>
            </w:r>
          </w:p>
        </w:tc>
        <w:tc>
          <w:tcPr>
            <w:tcW w:w="2919" w:type="dxa"/>
            <w:vAlign w:val="center"/>
          </w:tcPr>
          <w:p>
            <w:pPr>
              <w:spacing w:line="240" w:lineRule="auto"/>
              <w:jc w:val="center"/>
              <w:rPr>
                <w:bCs/>
                <w:sz w:val="21"/>
                <w:szCs w:val="21"/>
              </w:rPr>
            </w:pPr>
            <w:r>
              <w:rPr>
                <w:spacing w:val="-6"/>
                <w:kern w:val="0"/>
                <w:sz w:val="21"/>
                <w:szCs w:val="21"/>
              </w:rPr>
              <w:t>《饮食业油烟排放标准（试行）》（GB18483-2001）小型标准</w:t>
            </w:r>
          </w:p>
        </w:tc>
        <w:tc>
          <w:tcPr>
            <w:tcW w:w="2893" w:type="dxa"/>
            <w:vAlign w:val="center"/>
          </w:tcPr>
          <w:p>
            <w:pPr>
              <w:spacing w:line="240" w:lineRule="auto"/>
              <w:jc w:val="center"/>
              <w:rPr>
                <w:bCs/>
                <w:snapToGrid w:val="0"/>
                <w:spacing w:val="-2"/>
                <w:sz w:val="21"/>
                <w:szCs w:val="21"/>
              </w:rPr>
            </w:pPr>
            <w:r>
              <w:rPr>
                <w:rFonts w:hint="eastAsia"/>
                <w:sz w:val="21"/>
                <w:szCs w:val="21"/>
              </w:rPr>
              <w:t>油烟净化器+专用烟道</w:t>
            </w:r>
          </w:p>
        </w:tc>
        <w:tc>
          <w:tcPr>
            <w:tcW w:w="1962" w:type="dxa"/>
            <w:vAlign w:val="center"/>
          </w:tcPr>
          <w:p>
            <w:pPr>
              <w:pStyle w:val="58"/>
              <w:spacing w:line="240" w:lineRule="auto"/>
              <w:rPr>
                <w:rFonts w:ascii="Times New Roman" w:cs="Times New Roman"/>
                <w:sz w:val="21"/>
                <w:szCs w:val="21"/>
              </w:rPr>
            </w:pPr>
            <w:r>
              <w:rPr>
                <w:rFonts w:hint="eastAsia" w:ascii="Times New Roman" w:cs="Times New Roman"/>
                <w:sz w:val="21"/>
                <w:szCs w:val="21"/>
              </w:rPr>
              <w:t>处理效率60%以上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762" w:type="dxa"/>
            <w:vMerge w:val="restart"/>
            <w:vAlign w:val="center"/>
          </w:tcPr>
          <w:p>
            <w:pPr>
              <w:spacing w:line="240" w:lineRule="auto"/>
              <w:jc w:val="center"/>
              <w:rPr>
                <w:sz w:val="21"/>
                <w:szCs w:val="21"/>
              </w:rPr>
            </w:pPr>
            <w:r>
              <w:rPr>
                <w:sz w:val="21"/>
                <w:szCs w:val="21"/>
              </w:rPr>
              <w:t>废水</w:t>
            </w:r>
          </w:p>
        </w:tc>
        <w:tc>
          <w:tcPr>
            <w:tcW w:w="1701" w:type="dxa"/>
            <w:vAlign w:val="center"/>
          </w:tcPr>
          <w:p>
            <w:pPr>
              <w:spacing w:line="240" w:lineRule="auto"/>
              <w:jc w:val="center"/>
              <w:rPr>
                <w:sz w:val="21"/>
                <w:szCs w:val="21"/>
              </w:rPr>
            </w:pPr>
            <w:r>
              <w:rPr>
                <w:rFonts w:hint="eastAsia"/>
                <w:sz w:val="21"/>
                <w:szCs w:val="21"/>
              </w:rPr>
              <w:t>洗砂废水、</w:t>
            </w:r>
            <w:r>
              <w:rPr>
                <w:sz w:val="21"/>
                <w:szCs w:val="21"/>
              </w:rPr>
              <w:t>车辆</w:t>
            </w:r>
            <w:r>
              <w:rPr>
                <w:rFonts w:hint="eastAsia"/>
                <w:sz w:val="21"/>
                <w:szCs w:val="21"/>
              </w:rPr>
              <w:t>冲洗</w:t>
            </w:r>
            <w:r>
              <w:rPr>
                <w:sz w:val="21"/>
                <w:szCs w:val="21"/>
              </w:rPr>
              <w:t>废水</w:t>
            </w:r>
          </w:p>
        </w:tc>
        <w:tc>
          <w:tcPr>
            <w:tcW w:w="1276" w:type="dxa"/>
            <w:vAlign w:val="center"/>
          </w:tcPr>
          <w:p>
            <w:pPr>
              <w:spacing w:line="240" w:lineRule="auto"/>
              <w:jc w:val="center"/>
              <w:rPr>
                <w:sz w:val="21"/>
                <w:szCs w:val="21"/>
              </w:rPr>
            </w:pPr>
            <w:r>
              <w:rPr>
                <w:sz w:val="21"/>
                <w:szCs w:val="21"/>
              </w:rPr>
              <w:t>SS</w:t>
            </w:r>
          </w:p>
        </w:tc>
        <w:tc>
          <w:tcPr>
            <w:tcW w:w="1265" w:type="dxa"/>
            <w:vAlign w:val="center"/>
          </w:tcPr>
          <w:p>
            <w:pPr>
              <w:spacing w:line="240" w:lineRule="auto"/>
              <w:jc w:val="center"/>
              <w:rPr>
                <w:sz w:val="21"/>
                <w:szCs w:val="21"/>
              </w:rPr>
            </w:pPr>
            <w:r>
              <w:rPr>
                <w:sz w:val="21"/>
                <w:szCs w:val="21"/>
              </w:rPr>
              <w:t>—</w:t>
            </w:r>
          </w:p>
        </w:tc>
        <w:tc>
          <w:tcPr>
            <w:tcW w:w="1286" w:type="dxa"/>
            <w:vAlign w:val="center"/>
          </w:tcPr>
          <w:p>
            <w:pPr>
              <w:spacing w:line="240" w:lineRule="auto"/>
              <w:jc w:val="center"/>
              <w:rPr>
                <w:sz w:val="21"/>
                <w:szCs w:val="21"/>
              </w:rPr>
            </w:pPr>
            <w:r>
              <w:rPr>
                <w:sz w:val="21"/>
                <w:szCs w:val="21"/>
              </w:rPr>
              <w:t>—</w:t>
            </w:r>
          </w:p>
        </w:tc>
        <w:tc>
          <w:tcPr>
            <w:tcW w:w="2919" w:type="dxa"/>
            <w:vAlign w:val="center"/>
          </w:tcPr>
          <w:p>
            <w:pPr>
              <w:spacing w:line="240" w:lineRule="auto"/>
              <w:jc w:val="center"/>
              <w:rPr>
                <w:bCs/>
                <w:sz w:val="21"/>
                <w:szCs w:val="21"/>
              </w:rPr>
            </w:pPr>
            <w:r>
              <w:rPr>
                <w:rFonts w:hint="eastAsia"/>
                <w:kern w:val="0"/>
                <w:sz w:val="21"/>
                <w:szCs w:val="21"/>
              </w:rPr>
              <w:t>全部循环利用，不外排</w:t>
            </w:r>
          </w:p>
        </w:tc>
        <w:tc>
          <w:tcPr>
            <w:tcW w:w="2893" w:type="dxa"/>
            <w:vAlign w:val="center"/>
          </w:tcPr>
          <w:p>
            <w:pPr>
              <w:overflowPunct w:val="0"/>
              <w:topLinePunct/>
              <w:spacing w:line="240" w:lineRule="auto"/>
              <w:contextualSpacing/>
              <w:jc w:val="center"/>
              <w:rPr>
                <w:sz w:val="21"/>
                <w:szCs w:val="21"/>
              </w:rPr>
            </w:pPr>
            <w:r>
              <w:rPr>
                <w:rFonts w:hint="eastAsia"/>
                <w:sz w:val="21"/>
                <w:szCs w:val="21"/>
              </w:rPr>
              <w:t>沉淀池1座</w:t>
            </w:r>
          </w:p>
          <w:p>
            <w:pPr>
              <w:spacing w:line="240" w:lineRule="auto"/>
              <w:jc w:val="center"/>
              <w:rPr>
                <w:sz w:val="21"/>
                <w:szCs w:val="21"/>
              </w:rPr>
            </w:pPr>
            <w:r>
              <w:rPr>
                <w:rFonts w:hint="eastAsia"/>
                <w:sz w:val="21"/>
                <w:szCs w:val="21"/>
              </w:rPr>
              <w:t>（容积200m</w:t>
            </w:r>
            <w:r>
              <w:rPr>
                <w:rFonts w:hint="eastAsia"/>
                <w:sz w:val="21"/>
                <w:szCs w:val="21"/>
                <w:vertAlign w:val="superscript"/>
              </w:rPr>
              <w:t>3</w:t>
            </w:r>
            <w:r>
              <w:rPr>
                <w:rFonts w:hint="eastAsia"/>
                <w:sz w:val="21"/>
                <w:szCs w:val="21"/>
              </w:rPr>
              <w:t>）</w:t>
            </w:r>
          </w:p>
        </w:tc>
        <w:tc>
          <w:tcPr>
            <w:tcW w:w="1962" w:type="dxa"/>
            <w:vAlign w:val="center"/>
          </w:tcPr>
          <w:p>
            <w:pPr>
              <w:spacing w:line="240" w:lineRule="auto"/>
              <w:jc w:val="center"/>
              <w:rPr>
                <w:sz w:val="21"/>
                <w:szCs w:val="21"/>
              </w:rPr>
            </w:pPr>
            <w:r>
              <w:rPr>
                <w:rFonts w:hint="eastAsia"/>
                <w:sz w:val="21"/>
                <w:szCs w:val="21"/>
              </w:rPr>
              <w:t>循环利用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jc w:val="center"/>
        </w:trPr>
        <w:tc>
          <w:tcPr>
            <w:tcW w:w="762" w:type="dxa"/>
            <w:vMerge w:val="continue"/>
            <w:vAlign w:val="center"/>
          </w:tcPr>
          <w:p>
            <w:pPr>
              <w:spacing w:line="240" w:lineRule="auto"/>
              <w:jc w:val="center"/>
              <w:rPr>
                <w:sz w:val="21"/>
                <w:szCs w:val="21"/>
              </w:rPr>
            </w:pPr>
          </w:p>
        </w:tc>
        <w:tc>
          <w:tcPr>
            <w:tcW w:w="1701" w:type="dxa"/>
            <w:vMerge w:val="restart"/>
            <w:vAlign w:val="center"/>
          </w:tcPr>
          <w:p>
            <w:pPr>
              <w:spacing w:line="240" w:lineRule="auto"/>
              <w:jc w:val="center"/>
              <w:rPr>
                <w:sz w:val="21"/>
                <w:szCs w:val="21"/>
              </w:rPr>
            </w:pPr>
            <w:r>
              <w:rPr>
                <w:sz w:val="21"/>
                <w:szCs w:val="21"/>
              </w:rPr>
              <w:t>生活污水</w:t>
            </w:r>
            <w:r>
              <w:rPr>
                <w:rFonts w:hint="eastAsia" w:asciiTheme="minorEastAsia" w:hAnsiTheme="minorEastAsia" w:eastAsiaTheme="minorEastAsia"/>
                <w:sz w:val="21"/>
                <w:szCs w:val="21"/>
              </w:rPr>
              <w:t>(</w:t>
            </w:r>
            <w:r>
              <w:rPr>
                <w:rFonts w:hint="eastAsia"/>
                <w:sz w:val="21"/>
                <w:szCs w:val="21"/>
              </w:rPr>
              <w:t>99.84</w:t>
            </w:r>
            <w:r>
              <w:t>m</w:t>
            </w:r>
            <w:r>
              <w:rPr>
                <w:vertAlign w:val="superscript"/>
              </w:rPr>
              <w:t>3</w:t>
            </w:r>
            <w:r>
              <w:rPr>
                <w:sz w:val="21"/>
                <w:szCs w:val="21"/>
              </w:rPr>
              <w:t>/a</w:t>
            </w:r>
            <w:r>
              <w:rPr>
                <w:rFonts w:asciiTheme="minorEastAsia" w:hAnsiTheme="minorEastAsia" w:eastAsiaTheme="minorEastAsia"/>
                <w:sz w:val="21"/>
                <w:szCs w:val="21"/>
              </w:rPr>
              <w:t>)</w:t>
            </w:r>
          </w:p>
        </w:tc>
        <w:tc>
          <w:tcPr>
            <w:tcW w:w="1276" w:type="dxa"/>
            <w:vAlign w:val="center"/>
          </w:tcPr>
          <w:p>
            <w:pPr>
              <w:spacing w:line="240" w:lineRule="auto"/>
              <w:jc w:val="center"/>
              <w:rPr>
                <w:rFonts w:eastAsiaTheme="minorEastAsia"/>
                <w:sz w:val="21"/>
                <w:szCs w:val="21"/>
              </w:rPr>
            </w:pPr>
            <w:r>
              <w:rPr>
                <w:rFonts w:hint="eastAsia" w:eastAsiaTheme="minorEastAsia"/>
                <w:sz w:val="21"/>
                <w:szCs w:val="21"/>
              </w:rPr>
              <w:t>COD</w:t>
            </w:r>
          </w:p>
        </w:tc>
        <w:tc>
          <w:tcPr>
            <w:tcW w:w="1265" w:type="dxa"/>
            <w:vAlign w:val="center"/>
          </w:tcPr>
          <w:p>
            <w:pPr>
              <w:spacing w:line="240" w:lineRule="auto"/>
              <w:jc w:val="center"/>
              <w:rPr>
                <w:rFonts w:eastAsiaTheme="minorEastAsia"/>
                <w:sz w:val="21"/>
                <w:szCs w:val="21"/>
              </w:rPr>
            </w:pPr>
            <w:r>
              <w:rPr>
                <w:rFonts w:eastAsiaTheme="minorEastAsia"/>
                <w:sz w:val="21"/>
                <w:szCs w:val="21"/>
              </w:rPr>
              <w:t>0.</w:t>
            </w:r>
            <w:r>
              <w:rPr>
                <w:rFonts w:hint="eastAsia" w:eastAsiaTheme="minorEastAsia"/>
                <w:sz w:val="21"/>
                <w:szCs w:val="21"/>
              </w:rPr>
              <w:t>25</w:t>
            </w:r>
            <w:r>
              <w:rPr>
                <w:rFonts w:eastAsiaTheme="minorEastAsia"/>
                <w:sz w:val="21"/>
                <w:szCs w:val="21"/>
              </w:rPr>
              <w:t>mg/m</w:t>
            </w:r>
            <w:r>
              <w:rPr>
                <w:rFonts w:eastAsiaTheme="minorEastAsia"/>
                <w:sz w:val="21"/>
                <w:szCs w:val="21"/>
                <w:vertAlign w:val="superscript"/>
              </w:rPr>
              <w:t>3</w:t>
            </w:r>
          </w:p>
        </w:tc>
        <w:tc>
          <w:tcPr>
            <w:tcW w:w="1286" w:type="dxa"/>
            <w:vAlign w:val="center"/>
          </w:tcPr>
          <w:p>
            <w:pPr>
              <w:spacing w:line="240" w:lineRule="auto"/>
              <w:jc w:val="center"/>
              <w:rPr>
                <w:rFonts w:eastAsiaTheme="minorEastAsia"/>
                <w:sz w:val="21"/>
                <w:szCs w:val="21"/>
              </w:rPr>
            </w:pPr>
            <w:r>
              <w:rPr>
                <w:rFonts w:hint="eastAsia" w:eastAsiaTheme="minorEastAsia"/>
                <w:sz w:val="21"/>
                <w:szCs w:val="21"/>
              </w:rPr>
              <w:t>0.52</w:t>
            </w:r>
            <w:r>
              <w:rPr>
                <w:rFonts w:eastAsiaTheme="minorEastAsia"/>
                <w:sz w:val="21"/>
                <w:szCs w:val="21"/>
              </w:rPr>
              <w:t>kg/a</w:t>
            </w:r>
          </w:p>
        </w:tc>
        <w:tc>
          <w:tcPr>
            <w:tcW w:w="2919" w:type="dxa"/>
            <w:vMerge w:val="restart"/>
            <w:vAlign w:val="center"/>
          </w:tcPr>
          <w:p>
            <w:pPr>
              <w:spacing w:line="240" w:lineRule="auto"/>
              <w:jc w:val="center"/>
              <w:rPr>
                <w:bCs/>
                <w:sz w:val="21"/>
                <w:szCs w:val="21"/>
              </w:rPr>
            </w:pPr>
            <w:r>
              <w:rPr>
                <w:rFonts w:hint="eastAsia"/>
                <w:bCs/>
                <w:sz w:val="21"/>
                <w:szCs w:val="21"/>
              </w:rPr>
              <w:t>/</w:t>
            </w:r>
          </w:p>
        </w:tc>
        <w:tc>
          <w:tcPr>
            <w:tcW w:w="2893" w:type="dxa"/>
            <w:vMerge w:val="restart"/>
            <w:vAlign w:val="center"/>
          </w:tcPr>
          <w:p>
            <w:pPr>
              <w:spacing w:line="240" w:lineRule="auto"/>
              <w:jc w:val="center"/>
              <w:rPr>
                <w:sz w:val="21"/>
                <w:szCs w:val="21"/>
              </w:rPr>
            </w:pPr>
            <w:r>
              <w:rPr>
                <w:rFonts w:hint="eastAsia"/>
                <w:sz w:val="21"/>
                <w:szCs w:val="21"/>
              </w:rPr>
              <w:t>化粪池1座</w:t>
            </w:r>
            <w:r>
              <w:rPr>
                <w:sz w:val="21"/>
                <w:szCs w:val="21"/>
              </w:rPr>
              <w:t>（</w:t>
            </w:r>
            <w:r>
              <w:rPr>
                <w:rFonts w:hint="eastAsia"/>
                <w:sz w:val="21"/>
                <w:szCs w:val="21"/>
              </w:rPr>
              <w:t>容积5</w:t>
            </w:r>
            <w:r>
              <w:rPr>
                <w:sz w:val="21"/>
                <w:szCs w:val="21"/>
              </w:rPr>
              <w:t>m</w:t>
            </w:r>
            <w:r>
              <w:rPr>
                <w:sz w:val="21"/>
                <w:szCs w:val="21"/>
                <w:vertAlign w:val="superscript"/>
              </w:rPr>
              <w:t>3</w:t>
            </w:r>
            <w:r>
              <w:rPr>
                <w:sz w:val="21"/>
                <w:szCs w:val="21"/>
              </w:rPr>
              <w:t>）</w:t>
            </w:r>
          </w:p>
        </w:tc>
        <w:tc>
          <w:tcPr>
            <w:tcW w:w="1962" w:type="dxa"/>
            <w:vMerge w:val="restart"/>
            <w:vAlign w:val="center"/>
          </w:tcPr>
          <w:p>
            <w:pPr>
              <w:spacing w:line="240" w:lineRule="auto"/>
              <w:jc w:val="center"/>
              <w:rPr>
                <w:sz w:val="21"/>
                <w:szCs w:val="21"/>
              </w:rPr>
            </w:pPr>
            <w:r>
              <w:rPr>
                <w:sz w:val="21"/>
                <w:szCs w:val="21"/>
              </w:rPr>
              <w:t>作为农肥用于周边林地浇灌</w:t>
            </w:r>
            <w:r>
              <w:rPr>
                <w:rFonts w:hint="eastAsia"/>
                <w:sz w:val="21"/>
                <w:szCs w:val="21"/>
              </w:rPr>
              <w:t>，</w:t>
            </w:r>
            <w:r>
              <w:rPr>
                <w:sz w:val="21"/>
                <w:szCs w:val="21"/>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jc w:val="center"/>
        </w:trPr>
        <w:tc>
          <w:tcPr>
            <w:tcW w:w="762" w:type="dxa"/>
            <w:vMerge w:val="continue"/>
            <w:vAlign w:val="center"/>
          </w:tcPr>
          <w:p>
            <w:pPr>
              <w:spacing w:line="240" w:lineRule="auto"/>
              <w:jc w:val="center"/>
              <w:rPr>
                <w:sz w:val="21"/>
                <w:szCs w:val="21"/>
              </w:rPr>
            </w:pPr>
          </w:p>
        </w:tc>
        <w:tc>
          <w:tcPr>
            <w:tcW w:w="1701" w:type="dxa"/>
            <w:vMerge w:val="continue"/>
            <w:vAlign w:val="center"/>
          </w:tcPr>
          <w:p>
            <w:pPr>
              <w:spacing w:line="240" w:lineRule="auto"/>
              <w:jc w:val="center"/>
              <w:rPr>
                <w:sz w:val="21"/>
                <w:szCs w:val="21"/>
              </w:rPr>
            </w:pPr>
          </w:p>
        </w:tc>
        <w:tc>
          <w:tcPr>
            <w:tcW w:w="1276" w:type="dxa"/>
            <w:vAlign w:val="center"/>
          </w:tcPr>
          <w:p>
            <w:pPr>
              <w:spacing w:line="240" w:lineRule="auto"/>
              <w:jc w:val="center"/>
              <w:rPr>
                <w:rFonts w:eastAsiaTheme="minorEastAsia"/>
                <w:sz w:val="21"/>
                <w:szCs w:val="21"/>
              </w:rPr>
            </w:pPr>
            <w:r>
              <w:rPr>
                <w:sz w:val="21"/>
                <w:szCs w:val="21"/>
              </w:rPr>
              <w:t>BOD</w:t>
            </w:r>
            <w:r>
              <w:rPr>
                <w:sz w:val="21"/>
                <w:szCs w:val="21"/>
                <w:vertAlign w:val="subscript"/>
              </w:rPr>
              <w:t>5</w:t>
            </w:r>
          </w:p>
        </w:tc>
        <w:tc>
          <w:tcPr>
            <w:tcW w:w="1265" w:type="dxa"/>
            <w:vAlign w:val="center"/>
          </w:tcPr>
          <w:p>
            <w:pPr>
              <w:spacing w:line="280" w:lineRule="exact"/>
              <w:ind w:left="-23"/>
              <w:jc w:val="center"/>
              <w:rPr>
                <w:sz w:val="21"/>
                <w:szCs w:val="21"/>
              </w:rPr>
            </w:pPr>
            <w:r>
              <w:rPr>
                <w:sz w:val="21"/>
                <w:szCs w:val="21"/>
              </w:rPr>
              <w:t>315</w:t>
            </w:r>
            <w:r>
              <w:rPr>
                <w:rFonts w:hint="eastAsia"/>
                <w:sz w:val="21"/>
                <w:szCs w:val="21"/>
              </w:rPr>
              <w:t>mg/L</w:t>
            </w:r>
          </w:p>
        </w:tc>
        <w:tc>
          <w:tcPr>
            <w:tcW w:w="1286" w:type="dxa"/>
            <w:vAlign w:val="center"/>
          </w:tcPr>
          <w:p>
            <w:pPr>
              <w:spacing w:line="280" w:lineRule="exact"/>
              <w:ind w:left="-23"/>
              <w:jc w:val="center"/>
              <w:rPr>
                <w:sz w:val="21"/>
                <w:szCs w:val="21"/>
              </w:rPr>
            </w:pPr>
            <w:r>
              <w:rPr>
                <w:rFonts w:hint="eastAsia"/>
                <w:sz w:val="21"/>
                <w:szCs w:val="21"/>
              </w:rPr>
              <w:t>0.</w:t>
            </w:r>
            <w:r>
              <w:rPr>
                <w:sz w:val="21"/>
                <w:szCs w:val="21"/>
              </w:rPr>
              <w:t>031</w:t>
            </w:r>
            <w:r>
              <w:rPr>
                <w:rFonts w:hint="eastAsia"/>
                <w:sz w:val="21"/>
                <w:szCs w:val="21"/>
              </w:rPr>
              <w:t>t/a</w:t>
            </w:r>
          </w:p>
        </w:tc>
        <w:tc>
          <w:tcPr>
            <w:tcW w:w="2919" w:type="dxa"/>
            <w:vMerge w:val="continue"/>
            <w:vAlign w:val="center"/>
          </w:tcPr>
          <w:p>
            <w:pPr>
              <w:spacing w:line="240" w:lineRule="auto"/>
              <w:jc w:val="center"/>
              <w:rPr>
                <w:bCs/>
                <w:sz w:val="21"/>
                <w:szCs w:val="21"/>
              </w:rPr>
            </w:pPr>
          </w:p>
        </w:tc>
        <w:tc>
          <w:tcPr>
            <w:tcW w:w="2893" w:type="dxa"/>
            <w:vMerge w:val="continue"/>
            <w:vAlign w:val="center"/>
          </w:tcPr>
          <w:p>
            <w:pPr>
              <w:spacing w:line="240" w:lineRule="auto"/>
              <w:jc w:val="center"/>
              <w:rPr>
                <w:sz w:val="21"/>
                <w:szCs w:val="21"/>
              </w:rPr>
            </w:pPr>
          </w:p>
        </w:tc>
        <w:tc>
          <w:tcPr>
            <w:tcW w:w="1962" w:type="dxa"/>
            <w:vMerge w:val="continue"/>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jc w:val="center"/>
        </w:trPr>
        <w:tc>
          <w:tcPr>
            <w:tcW w:w="762" w:type="dxa"/>
            <w:vMerge w:val="continue"/>
            <w:vAlign w:val="center"/>
          </w:tcPr>
          <w:p>
            <w:pPr>
              <w:spacing w:line="240" w:lineRule="auto"/>
              <w:jc w:val="center"/>
              <w:rPr>
                <w:sz w:val="21"/>
                <w:szCs w:val="21"/>
              </w:rPr>
            </w:pPr>
          </w:p>
        </w:tc>
        <w:tc>
          <w:tcPr>
            <w:tcW w:w="1701" w:type="dxa"/>
            <w:vMerge w:val="continue"/>
            <w:vAlign w:val="center"/>
          </w:tcPr>
          <w:p>
            <w:pPr>
              <w:spacing w:line="240" w:lineRule="auto"/>
              <w:jc w:val="center"/>
              <w:rPr>
                <w:sz w:val="21"/>
                <w:szCs w:val="21"/>
              </w:rPr>
            </w:pPr>
          </w:p>
        </w:tc>
        <w:tc>
          <w:tcPr>
            <w:tcW w:w="1276" w:type="dxa"/>
            <w:vAlign w:val="center"/>
          </w:tcPr>
          <w:p>
            <w:pPr>
              <w:spacing w:line="240" w:lineRule="auto"/>
              <w:jc w:val="center"/>
              <w:rPr>
                <w:rFonts w:eastAsiaTheme="minorEastAsia"/>
                <w:sz w:val="21"/>
                <w:szCs w:val="21"/>
              </w:rPr>
            </w:pPr>
            <w:r>
              <w:rPr>
                <w:rFonts w:hint="eastAsia" w:eastAsiaTheme="minorEastAsia"/>
                <w:sz w:val="21"/>
                <w:szCs w:val="21"/>
              </w:rPr>
              <w:t>SS</w:t>
            </w:r>
          </w:p>
        </w:tc>
        <w:tc>
          <w:tcPr>
            <w:tcW w:w="1265" w:type="dxa"/>
            <w:vAlign w:val="center"/>
          </w:tcPr>
          <w:p>
            <w:pPr>
              <w:spacing w:line="280" w:lineRule="exact"/>
              <w:ind w:left="-23"/>
              <w:jc w:val="center"/>
              <w:rPr>
                <w:sz w:val="21"/>
                <w:szCs w:val="21"/>
                <w:lang w:val="zh-CN"/>
              </w:rPr>
            </w:pPr>
            <w:r>
              <w:rPr>
                <w:sz w:val="21"/>
                <w:szCs w:val="21"/>
              </w:rPr>
              <w:t>170</w:t>
            </w:r>
            <w:r>
              <w:rPr>
                <w:rFonts w:hint="eastAsia"/>
                <w:sz w:val="21"/>
                <w:szCs w:val="21"/>
              </w:rPr>
              <w:t>mg/L</w:t>
            </w:r>
          </w:p>
        </w:tc>
        <w:tc>
          <w:tcPr>
            <w:tcW w:w="1286" w:type="dxa"/>
            <w:vAlign w:val="center"/>
          </w:tcPr>
          <w:p>
            <w:pPr>
              <w:spacing w:line="280" w:lineRule="exact"/>
              <w:ind w:left="-23"/>
              <w:jc w:val="center"/>
              <w:rPr>
                <w:sz w:val="21"/>
                <w:szCs w:val="21"/>
                <w:lang w:val="zh-CN"/>
              </w:rPr>
            </w:pPr>
            <w:r>
              <w:rPr>
                <w:rFonts w:hint="eastAsia"/>
                <w:sz w:val="21"/>
                <w:szCs w:val="21"/>
              </w:rPr>
              <w:t>0.</w:t>
            </w:r>
            <w:r>
              <w:rPr>
                <w:sz w:val="21"/>
                <w:szCs w:val="21"/>
              </w:rPr>
              <w:t>017</w:t>
            </w:r>
            <w:r>
              <w:rPr>
                <w:rFonts w:hint="eastAsia"/>
                <w:sz w:val="21"/>
                <w:szCs w:val="21"/>
              </w:rPr>
              <w:t>t/a</w:t>
            </w:r>
          </w:p>
        </w:tc>
        <w:tc>
          <w:tcPr>
            <w:tcW w:w="2919" w:type="dxa"/>
            <w:vMerge w:val="continue"/>
            <w:vAlign w:val="center"/>
          </w:tcPr>
          <w:p>
            <w:pPr>
              <w:spacing w:line="240" w:lineRule="auto"/>
              <w:jc w:val="center"/>
              <w:rPr>
                <w:bCs/>
                <w:sz w:val="21"/>
                <w:szCs w:val="21"/>
              </w:rPr>
            </w:pPr>
          </w:p>
        </w:tc>
        <w:tc>
          <w:tcPr>
            <w:tcW w:w="2893" w:type="dxa"/>
            <w:vMerge w:val="continue"/>
            <w:vAlign w:val="center"/>
          </w:tcPr>
          <w:p>
            <w:pPr>
              <w:spacing w:line="240" w:lineRule="auto"/>
              <w:jc w:val="center"/>
              <w:rPr>
                <w:sz w:val="21"/>
                <w:szCs w:val="21"/>
              </w:rPr>
            </w:pPr>
          </w:p>
        </w:tc>
        <w:tc>
          <w:tcPr>
            <w:tcW w:w="1962" w:type="dxa"/>
            <w:vMerge w:val="continue"/>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jc w:val="center"/>
        </w:trPr>
        <w:tc>
          <w:tcPr>
            <w:tcW w:w="762" w:type="dxa"/>
            <w:vMerge w:val="continue"/>
            <w:vAlign w:val="center"/>
          </w:tcPr>
          <w:p>
            <w:pPr>
              <w:spacing w:line="240" w:lineRule="auto"/>
              <w:jc w:val="center"/>
              <w:rPr>
                <w:sz w:val="21"/>
                <w:szCs w:val="21"/>
              </w:rPr>
            </w:pPr>
          </w:p>
        </w:tc>
        <w:tc>
          <w:tcPr>
            <w:tcW w:w="1701" w:type="dxa"/>
            <w:vMerge w:val="continue"/>
            <w:vAlign w:val="center"/>
          </w:tcPr>
          <w:p>
            <w:pPr>
              <w:spacing w:line="240" w:lineRule="auto"/>
              <w:jc w:val="center"/>
              <w:rPr>
                <w:sz w:val="21"/>
                <w:szCs w:val="21"/>
              </w:rPr>
            </w:pPr>
          </w:p>
        </w:tc>
        <w:tc>
          <w:tcPr>
            <w:tcW w:w="1276" w:type="dxa"/>
            <w:vAlign w:val="center"/>
          </w:tcPr>
          <w:p>
            <w:pPr>
              <w:spacing w:line="240" w:lineRule="auto"/>
              <w:jc w:val="center"/>
              <w:rPr>
                <w:rFonts w:eastAsiaTheme="minorEastAsia"/>
                <w:sz w:val="21"/>
                <w:szCs w:val="21"/>
              </w:rPr>
            </w:pPr>
            <w:r>
              <w:rPr>
                <w:sz w:val="21"/>
                <w:szCs w:val="21"/>
              </w:rPr>
              <w:t>氨氮</w:t>
            </w:r>
          </w:p>
        </w:tc>
        <w:tc>
          <w:tcPr>
            <w:tcW w:w="1265" w:type="dxa"/>
            <w:vAlign w:val="center"/>
          </w:tcPr>
          <w:p>
            <w:pPr>
              <w:spacing w:line="280" w:lineRule="exact"/>
              <w:ind w:left="-23"/>
              <w:jc w:val="center"/>
              <w:rPr>
                <w:sz w:val="21"/>
                <w:szCs w:val="21"/>
                <w:lang w:val="zh-CN"/>
              </w:rPr>
            </w:pPr>
            <w:r>
              <w:rPr>
                <w:sz w:val="21"/>
                <w:szCs w:val="21"/>
              </w:rPr>
              <w:t>175</w:t>
            </w:r>
            <w:r>
              <w:rPr>
                <w:rFonts w:hint="eastAsia"/>
                <w:sz w:val="21"/>
                <w:szCs w:val="21"/>
              </w:rPr>
              <w:t>mg/L</w:t>
            </w:r>
          </w:p>
        </w:tc>
        <w:tc>
          <w:tcPr>
            <w:tcW w:w="1286" w:type="dxa"/>
            <w:vAlign w:val="center"/>
          </w:tcPr>
          <w:p>
            <w:pPr>
              <w:spacing w:line="280" w:lineRule="exact"/>
              <w:ind w:left="-23"/>
              <w:jc w:val="center"/>
              <w:rPr>
                <w:sz w:val="21"/>
                <w:szCs w:val="21"/>
                <w:lang w:val="zh-CN"/>
              </w:rPr>
            </w:pPr>
            <w:r>
              <w:rPr>
                <w:rFonts w:hint="eastAsia"/>
                <w:sz w:val="21"/>
                <w:szCs w:val="21"/>
              </w:rPr>
              <w:t>0.</w:t>
            </w:r>
            <w:r>
              <w:rPr>
                <w:sz w:val="21"/>
                <w:szCs w:val="21"/>
              </w:rPr>
              <w:t>017</w:t>
            </w:r>
            <w:r>
              <w:rPr>
                <w:rFonts w:hint="eastAsia"/>
                <w:sz w:val="21"/>
                <w:szCs w:val="21"/>
              </w:rPr>
              <w:t>t/a</w:t>
            </w:r>
          </w:p>
        </w:tc>
        <w:tc>
          <w:tcPr>
            <w:tcW w:w="2919" w:type="dxa"/>
            <w:vMerge w:val="continue"/>
            <w:vAlign w:val="center"/>
          </w:tcPr>
          <w:p>
            <w:pPr>
              <w:spacing w:line="240" w:lineRule="auto"/>
              <w:jc w:val="center"/>
              <w:rPr>
                <w:bCs/>
                <w:sz w:val="21"/>
                <w:szCs w:val="21"/>
              </w:rPr>
            </w:pPr>
          </w:p>
        </w:tc>
        <w:tc>
          <w:tcPr>
            <w:tcW w:w="2893" w:type="dxa"/>
            <w:vMerge w:val="continue"/>
            <w:vAlign w:val="center"/>
          </w:tcPr>
          <w:p>
            <w:pPr>
              <w:spacing w:line="240" w:lineRule="auto"/>
              <w:jc w:val="center"/>
              <w:rPr>
                <w:sz w:val="21"/>
                <w:szCs w:val="21"/>
              </w:rPr>
            </w:pPr>
          </w:p>
        </w:tc>
        <w:tc>
          <w:tcPr>
            <w:tcW w:w="1962" w:type="dxa"/>
            <w:vMerge w:val="continue"/>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jc w:val="center"/>
        </w:trPr>
        <w:tc>
          <w:tcPr>
            <w:tcW w:w="762" w:type="dxa"/>
            <w:vMerge w:val="continue"/>
            <w:vAlign w:val="center"/>
          </w:tcPr>
          <w:p>
            <w:pPr>
              <w:spacing w:line="240" w:lineRule="auto"/>
              <w:jc w:val="center"/>
              <w:rPr>
                <w:sz w:val="21"/>
                <w:szCs w:val="21"/>
              </w:rPr>
            </w:pPr>
          </w:p>
        </w:tc>
        <w:tc>
          <w:tcPr>
            <w:tcW w:w="1701" w:type="dxa"/>
            <w:vMerge w:val="continue"/>
            <w:vAlign w:val="center"/>
          </w:tcPr>
          <w:p>
            <w:pPr>
              <w:spacing w:line="240" w:lineRule="auto"/>
              <w:jc w:val="center"/>
              <w:rPr>
                <w:sz w:val="21"/>
                <w:szCs w:val="21"/>
              </w:rPr>
            </w:pPr>
          </w:p>
        </w:tc>
        <w:tc>
          <w:tcPr>
            <w:tcW w:w="1276" w:type="dxa"/>
            <w:vAlign w:val="center"/>
          </w:tcPr>
          <w:p>
            <w:pPr>
              <w:spacing w:line="240" w:lineRule="auto"/>
              <w:jc w:val="center"/>
              <w:rPr>
                <w:rFonts w:eastAsiaTheme="minorEastAsia"/>
                <w:sz w:val="21"/>
                <w:szCs w:val="21"/>
              </w:rPr>
            </w:pPr>
            <w:r>
              <w:rPr>
                <w:sz w:val="21"/>
                <w:szCs w:val="21"/>
              </w:rPr>
              <w:t>动植物油</w:t>
            </w:r>
          </w:p>
        </w:tc>
        <w:tc>
          <w:tcPr>
            <w:tcW w:w="1265" w:type="dxa"/>
            <w:vAlign w:val="center"/>
          </w:tcPr>
          <w:p>
            <w:pPr>
              <w:spacing w:line="280" w:lineRule="exact"/>
              <w:ind w:left="-23"/>
              <w:jc w:val="center"/>
              <w:rPr>
                <w:sz w:val="21"/>
                <w:szCs w:val="21"/>
              </w:rPr>
            </w:pPr>
            <w:r>
              <w:rPr>
                <w:rFonts w:hint="eastAsia"/>
                <w:sz w:val="21"/>
                <w:szCs w:val="21"/>
              </w:rPr>
              <w:t>30mg/L</w:t>
            </w:r>
          </w:p>
        </w:tc>
        <w:tc>
          <w:tcPr>
            <w:tcW w:w="1286" w:type="dxa"/>
            <w:vAlign w:val="center"/>
          </w:tcPr>
          <w:p>
            <w:pPr>
              <w:spacing w:line="280" w:lineRule="exact"/>
              <w:ind w:left="-23"/>
              <w:jc w:val="center"/>
              <w:rPr>
                <w:sz w:val="21"/>
                <w:szCs w:val="21"/>
              </w:rPr>
            </w:pPr>
            <w:r>
              <w:rPr>
                <w:rFonts w:hint="eastAsia"/>
                <w:sz w:val="21"/>
                <w:szCs w:val="21"/>
              </w:rPr>
              <w:t>0.0</w:t>
            </w:r>
            <w:r>
              <w:rPr>
                <w:sz w:val="21"/>
                <w:szCs w:val="21"/>
              </w:rPr>
              <w:t>03</w:t>
            </w:r>
            <w:r>
              <w:rPr>
                <w:rFonts w:hint="eastAsia"/>
                <w:sz w:val="21"/>
                <w:szCs w:val="21"/>
              </w:rPr>
              <w:t>t/a</w:t>
            </w:r>
          </w:p>
        </w:tc>
        <w:tc>
          <w:tcPr>
            <w:tcW w:w="2919" w:type="dxa"/>
            <w:vMerge w:val="continue"/>
            <w:vAlign w:val="center"/>
          </w:tcPr>
          <w:p>
            <w:pPr>
              <w:spacing w:line="240" w:lineRule="auto"/>
              <w:jc w:val="center"/>
              <w:rPr>
                <w:bCs/>
                <w:sz w:val="21"/>
                <w:szCs w:val="21"/>
              </w:rPr>
            </w:pPr>
          </w:p>
        </w:tc>
        <w:tc>
          <w:tcPr>
            <w:tcW w:w="2893" w:type="dxa"/>
            <w:vMerge w:val="continue"/>
            <w:vAlign w:val="center"/>
          </w:tcPr>
          <w:p>
            <w:pPr>
              <w:spacing w:line="240" w:lineRule="auto"/>
              <w:jc w:val="center"/>
              <w:rPr>
                <w:sz w:val="21"/>
                <w:szCs w:val="21"/>
              </w:rPr>
            </w:pPr>
          </w:p>
        </w:tc>
        <w:tc>
          <w:tcPr>
            <w:tcW w:w="1962" w:type="dxa"/>
            <w:vMerge w:val="continue"/>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762" w:type="dxa"/>
            <w:vMerge w:val="restart"/>
            <w:vAlign w:val="center"/>
          </w:tcPr>
          <w:p>
            <w:pPr>
              <w:spacing w:line="240" w:lineRule="auto"/>
              <w:jc w:val="center"/>
              <w:rPr>
                <w:sz w:val="21"/>
                <w:szCs w:val="21"/>
              </w:rPr>
            </w:pPr>
            <w:r>
              <w:rPr>
                <w:sz w:val="21"/>
                <w:szCs w:val="21"/>
              </w:rPr>
              <w:t>固体废物</w:t>
            </w:r>
          </w:p>
        </w:tc>
        <w:tc>
          <w:tcPr>
            <w:tcW w:w="1701" w:type="dxa"/>
            <w:vAlign w:val="center"/>
          </w:tcPr>
          <w:p>
            <w:pPr>
              <w:pStyle w:val="51"/>
              <w:kinsoku w:val="0"/>
              <w:overflowPunct w:val="0"/>
              <w:spacing w:line="240" w:lineRule="auto"/>
              <w:contextualSpacing/>
              <w:jc w:val="center"/>
              <w:rPr>
                <w:spacing w:val="-1"/>
                <w:sz w:val="21"/>
                <w:szCs w:val="21"/>
              </w:rPr>
            </w:pPr>
            <w:r>
              <w:rPr>
                <w:rFonts w:hint="eastAsia"/>
                <w:spacing w:val="-1"/>
                <w:sz w:val="21"/>
                <w:szCs w:val="21"/>
              </w:rPr>
              <w:t>沉淀池</w:t>
            </w:r>
          </w:p>
        </w:tc>
        <w:tc>
          <w:tcPr>
            <w:tcW w:w="1276" w:type="dxa"/>
            <w:vAlign w:val="center"/>
          </w:tcPr>
          <w:p>
            <w:pPr>
              <w:pStyle w:val="51"/>
              <w:kinsoku w:val="0"/>
              <w:overflowPunct w:val="0"/>
              <w:spacing w:line="240" w:lineRule="auto"/>
              <w:contextualSpacing/>
              <w:jc w:val="center"/>
              <w:rPr>
                <w:spacing w:val="-1"/>
                <w:sz w:val="21"/>
                <w:szCs w:val="21"/>
              </w:rPr>
            </w:pPr>
            <w:r>
              <w:rPr>
                <w:rFonts w:hint="eastAsia"/>
                <w:spacing w:val="-1"/>
                <w:sz w:val="21"/>
                <w:szCs w:val="21"/>
              </w:rPr>
              <w:t>沉淀底渣</w:t>
            </w:r>
          </w:p>
        </w:tc>
        <w:tc>
          <w:tcPr>
            <w:tcW w:w="1265" w:type="dxa"/>
            <w:vAlign w:val="center"/>
          </w:tcPr>
          <w:p>
            <w:pPr>
              <w:spacing w:line="240" w:lineRule="auto"/>
              <w:jc w:val="center"/>
              <w:rPr>
                <w:sz w:val="21"/>
                <w:szCs w:val="21"/>
              </w:rPr>
            </w:pPr>
            <w:r>
              <w:rPr>
                <w:sz w:val="21"/>
                <w:szCs w:val="21"/>
              </w:rPr>
              <w:t>—</w:t>
            </w:r>
          </w:p>
        </w:tc>
        <w:tc>
          <w:tcPr>
            <w:tcW w:w="1286" w:type="dxa"/>
            <w:vAlign w:val="center"/>
          </w:tcPr>
          <w:p>
            <w:pPr>
              <w:kinsoku w:val="0"/>
              <w:overflowPunct w:val="0"/>
              <w:spacing w:line="240" w:lineRule="auto"/>
              <w:contextualSpacing/>
              <w:jc w:val="center"/>
              <w:rPr>
                <w:spacing w:val="-1"/>
                <w:sz w:val="21"/>
                <w:szCs w:val="21"/>
              </w:rPr>
            </w:pPr>
            <w:r>
              <w:rPr>
                <w:rFonts w:hint="eastAsia"/>
                <w:spacing w:val="-1"/>
                <w:sz w:val="21"/>
                <w:szCs w:val="21"/>
              </w:rPr>
              <w:t>30</w:t>
            </w:r>
            <w:r>
              <w:rPr>
                <w:spacing w:val="-1"/>
                <w:sz w:val="21"/>
                <w:szCs w:val="21"/>
              </w:rPr>
              <w:t>t/a</w:t>
            </w:r>
          </w:p>
        </w:tc>
        <w:tc>
          <w:tcPr>
            <w:tcW w:w="2919" w:type="dxa"/>
            <w:vMerge w:val="restart"/>
            <w:vAlign w:val="center"/>
          </w:tcPr>
          <w:p>
            <w:pPr>
              <w:spacing w:line="240" w:lineRule="auto"/>
              <w:jc w:val="center"/>
              <w:rPr>
                <w:sz w:val="21"/>
                <w:szCs w:val="21"/>
              </w:rPr>
            </w:pPr>
            <w:r>
              <w:rPr>
                <w:sz w:val="21"/>
                <w:szCs w:val="21"/>
              </w:rPr>
              <w:t>《一般工业固体废物贮存、处置场污染控制标准》（GB18599-2001）</w:t>
            </w:r>
          </w:p>
          <w:p>
            <w:pPr>
              <w:spacing w:line="240" w:lineRule="auto"/>
              <w:jc w:val="center"/>
              <w:rPr>
                <w:sz w:val="21"/>
                <w:szCs w:val="21"/>
              </w:rPr>
            </w:pPr>
            <w:r>
              <w:rPr>
                <w:sz w:val="21"/>
                <w:szCs w:val="21"/>
              </w:rPr>
              <w:t>及其2013修改单相关规定</w:t>
            </w:r>
          </w:p>
        </w:tc>
        <w:tc>
          <w:tcPr>
            <w:tcW w:w="2893" w:type="dxa"/>
            <w:vAlign w:val="center"/>
          </w:tcPr>
          <w:p>
            <w:pPr>
              <w:spacing w:line="240" w:lineRule="auto"/>
              <w:jc w:val="center"/>
              <w:rPr>
                <w:bCs/>
                <w:sz w:val="21"/>
                <w:szCs w:val="21"/>
              </w:rPr>
            </w:pPr>
            <w:r>
              <w:rPr>
                <w:rFonts w:hint="eastAsia"/>
                <w:sz w:val="21"/>
                <w:szCs w:val="21"/>
              </w:rPr>
              <w:t>泥浆压滤机，泥饼在渣场妥善处置；滤液回用于生产</w:t>
            </w:r>
          </w:p>
        </w:tc>
        <w:tc>
          <w:tcPr>
            <w:tcW w:w="1962" w:type="dxa"/>
            <w:vMerge w:val="restart"/>
            <w:vAlign w:val="center"/>
          </w:tcPr>
          <w:p>
            <w:pPr>
              <w:spacing w:line="240" w:lineRule="auto"/>
              <w:jc w:val="center"/>
              <w:rPr>
                <w:sz w:val="21"/>
                <w:szCs w:val="21"/>
              </w:rPr>
            </w:pPr>
            <w:r>
              <w:rPr>
                <w:sz w:val="21"/>
                <w:szCs w:val="21"/>
              </w:rPr>
              <w:t>固废综合处置率100%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762" w:type="dxa"/>
            <w:vMerge w:val="continue"/>
            <w:vAlign w:val="center"/>
          </w:tcPr>
          <w:p>
            <w:pPr>
              <w:spacing w:line="240" w:lineRule="auto"/>
              <w:jc w:val="center"/>
              <w:rPr>
                <w:sz w:val="21"/>
                <w:szCs w:val="21"/>
              </w:rPr>
            </w:pPr>
          </w:p>
        </w:tc>
        <w:tc>
          <w:tcPr>
            <w:tcW w:w="1701" w:type="dxa"/>
            <w:vAlign w:val="center"/>
          </w:tcPr>
          <w:p>
            <w:pPr>
              <w:pStyle w:val="51"/>
              <w:kinsoku w:val="0"/>
              <w:overflowPunct w:val="0"/>
              <w:spacing w:line="240" w:lineRule="auto"/>
              <w:contextualSpacing/>
              <w:jc w:val="center"/>
              <w:rPr>
                <w:spacing w:val="-1"/>
                <w:sz w:val="21"/>
                <w:szCs w:val="21"/>
              </w:rPr>
            </w:pPr>
            <w:r>
              <w:rPr>
                <w:spacing w:val="-1"/>
                <w:sz w:val="21"/>
                <w:szCs w:val="21"/>
              </w:rPr>
              <w:t>办公生活</w:t>
            </w:r>
          </w:p>
        </w:tc>
        <w:tc>
          <w:tcPr>
            <w:tcW w:w="1276" w:type="dxa"/>
            <w:vAlign w:val="center"/>
          </w:tcPr>
          <w:p>
            <w:pPr>
              <w:pStyle w:val="51"/>
              <w:kinsoku w:val="0"/>
              <w:overflowPunct w:val="0"/>
              <w:spacing w:line="240" w:lineRule="auto"/>
              <w:contextualSpacing/>
              <w:jc w:val="center"/>
              <w:rPr>
                <w:spacing w:val="-1"/>
                <w:sz w:val="21"/>
                <w:szCs w:val="21"/>
              </w:rPr>
            </w:pPr>
            <w:r>
              <w:rPr>
                <w:sz w:val="21"/>
                <w:szCs w:val="21"/>
              </w:rPr>
              <w:t>生活垃圾</w:t>
            </w:r>
          </w:p>
        </w:tc>
        <w:tc>
          <w:tcPr>
            <w:tcW w:w="1265" w:type="dxa"/>
            <w:vAlign w:val="center"/>
          </w:tcPr>
          <w:p>
            <w:pPr>
              <w:spacing w:line="240" w:lineRule="auto"/>
              <w:jc w:val="center"/>
              <w:rPr>
                <w:sz w:val="21"/>
                <w:szCs w:val="21"/>
              </w:rPr>
            </w:pPr>
            <w:r>
              <w:rPr>
                <w:sz w:val="21"/>
                <w:szCs w:val="21"/>
              </w:rPr>
              <w:t>—</w:t>
            </w:r>
          </w:p>
        </w:tc>
        <w:tc>
          <w:tcPr>
            <w:tcW w:w="1286" w:type="dxa"/>
            <w:vAlign w:val="center"/>
          </w:tcPr>
          <w:p>
            <w:pPr>
              <w:kinsoku w:val="0"/>
              <w:overflowPunct w:val="0"/>
              <w:spacing w:line="240" w:lineRule="auto"/>
              <w:contextualSpacing/>
              <w:jc w:val="center"/>
              <w:rPr>
                <w:spacing w:val="-1"/>
                <w:sz w:val="21"/>
                <w:szCs w:val="21"/>
              </w:rPr>
            </w:pPr>
            <w:r>
              <w:rPr>
                <w:rFonts w:hint="eastAsia"/>
                <w:spacing w:val="-1"/>
                <w:sz w:val="21"/>
                <w:szCs w:val="21"/>
              </w:rPr>
              <w:t>0.78</w:t>
            </w:r>
            <w:r>
              <w:rPr>
                <w:spacing w:val="-1"/>
                <w:sz w:val="21"/>
                <w:szCs w:val="21"/>
              </w:rPr>
              <w:t>t/a</w:t>
            </w:r>
          </w:p>
        </w:tc>
        <w:tc>
          <w:tcPr>
            <w:tcW w:w="2919" w:type="dxa"/>
            <w:vMerge w:val="continue"/>
            <w:vAlign w:val="center"/>
          </w:tcPr>
          <w:p>
            <w:pPr>
              <w:spacing w:line="240" w:lineRule="auto"/>
              <w:jc w:val="center"/>
              <w:rPr>
                <w:sz w:val="21"/>
                <w:szCs w:val="21"/>
              </w:rPr>
            </w:pPr>
          </w:p>
        </w:tc>
        <w:tc>
          <w:tcPr>
            <w:tcW w:w="2893" w:type="dxa"/>
            <w:vAlign w:val="center"/>
          </w:tcPr>
          <w:p>
            <w:pPr>
              <w:spacing w:line="240" w:lineRule="auto"/>
              <w:jc w:val="center"/>
              <w:rPr>
                <w:bCs/>
                <w:sz w:val="21"/>
                <w:szCs w:val="21"/>
              </w:rPr>
            </w:pPr>
            <w:r>
              <w:rPr>
                <w:rFonts w:hint="eastAsia"/>
                <w:sz w:val="21"/>
                <w:szCs w:val="21"/>
              </w:rPr>
              <w:t>带盖的生活垃圾分类桶</w:t>
            </w:r>
          </w:p>
        </w:tc>
        <w:tc>
          <w:tcPr>
            <w:tcW w:w="1962" w:type="dxa"/>
            <w:vMerge w:val="continue"/>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762" w:type="dxa"/>
            <w:vMerge w:val="continue"/>
            <w:vAlign w:val="center"/>
          </w:tcPr>
          <w:p>
            <w:pPr>
              <w:spacing w:line="240" w:lineRule="auto"/>
              <w:jc w:val="center"/>
              <w:rPr>
                <w:sz w:val="21"/>
                <w:szCs w:val="21"/>
              </w:rPr>
            </w:pPr>
          </w:p>
        </w:tc>
        <w:tc>
          <w:tcPr>
            <w:tcW w:w="1701" w:type="dxa"/>
            <w:vMerge w:val="restart"/>
            <w:vAlign w:val="center"/>
          </w:tcPr>
          <w:p>
            <w:pPr>
              <w:pStyle w:val="51"/>
              <w:kinsoku w:val="0"/>
              <w:overflowPunct w:val="0"/>
              <w:spacing w:line="240" w:lineRule="auto"/>
              <w:contextualSpacing/>
              <w:jc w:val="center"/>
              <w:rPr>
                <w:spacing w:val="-1"/>
                <w:sz w:val="21"/>
                <w:szCs w:val="21"/>
              </w:rPr>
            </w:pPr>
            <w:r>
              <w:rPr>
                <w:sz w:val="21"/>
                <w:szCs w:val="21"/>
              </w:rPr>
              <w:t>设备维修保养</w:t>
            </w:r>
          </w:p>
        </w:tc>
        <w:tc>
          <w:tcPr>
            <w:tcW w:w="1276" w:type="dxa"/>
            <w:vAlign w:val="center"/>
          </w:tcPr>
          <w:p>
            <w:pPr>
              <w:pStyle w:val="51"/>
              <w:kinsoku w:val="0"/>
              <w:spacing w:line="240" w:lineRule="auto"/>
              <w:contextualSpacing/>
              <w:jc w:val="center"/>
              <w:rPr>
                <w:spacing w:val="-1"/>
                <w:sz w:val="21"/>
                <w:szCs w:val="21"/>
                <w:lang w:eastAsia="zh-CN"/>
              </w:rPr>
            </w:pPr>
            <w:r>
              <w:rPr>
                <w:sz w:val="21"/>
                <w:szCs w:val="21"/>
                <w:lang w:eastAsia="zh-CN"/>
              </w:rPr>
              <w:t>废机油</w:t>
            </w:r>
          </w:p>
        </w:tc>
        <w:tc>
          <w:tcPr>
            <w:tcW w:w="1265" w:type="dxa"/>
            <w:vMerge w:val="restart"/>
            <w:vAlign w:val="center"/>
          </w:tcPr>
          <w:p>
            <w:pPr>
              <w:spacing w:line="240" w:lineRule="auto"/>
              <w:jc w:val="center"/>
              <w:rPr>
                <w:sz w:val="21"/>
                <w:szCs w:val="21"/>
              </w:rPr>
            </w:pPr>
            <w:r>
              <w:rPr>
                <w:sz w:val="21"/>
                <w:szCs w:val="21"/>
              </w:rPr>
              <w:t>—</w:t>
            </w:r>
          </w:p>
        </w:tc>
        <w:tc>
          <w:tcPr>
            <w:tcW w:w="1286" w:type="dxa"/>
            <w:vAlign w:val="center"/>
          </w:tcPr>
          <w:p>
            <w:pPr>
              <w:pStyle w:val="51"/>
              <w:kinsoku w:val="0"/>
              <w:overflowPunct w:val="0"/>
              <w:spacing w:line="240" w:lineRule="auto"/>
              <w:contextualSpacing/>
              <w:jc w:val="center"/>
              <w:rPr>
                <w:rFonts w:ascii="Times New Roman" w:hAnsi="Times New Roman"/>
                <w:spacing w:val="-1"/>
                <w:sz w:val="21"/>
                <w:szCs w:val="21"/>
              </w:rPr>
            </w:pPr>
            <w:r>
              <w:rPr>
                <w:rFonts w:ascii="Times New Roman" w:hAnsi="Times New Roman"/>
                <w:spacing w:val="-1"/>
                <w:sz w:val="21"/>
                <w:szCs w:val="21"/>
              </w:rPr>
              <w:t>0.</w:t>
            </w:r>
            <w:r>
              <w:rPr>
                <w:rFonts w:hint="eastAsia" w:ascii="Times New Roman" w:hAnsi="Times New Roman"/>
                <w:spacing w:val="-1"/>
                <w:sz w:val="21"/>
                <w:szCs w:val="21"/>
                <w:lang w:eastAsia="zh-CN"/>
              </w:rPr>
              <w:t>01</w:t>
            </w:r>
            <w:r>
              <w:rPr>
                <w:rFonts w:ascii="Times New Roman" w:hAnsi="Times New Roman"/>
                <w:spacing w:val="-1"/>
                <w:sz w:val="21"/>
                <w:szCs w:val="21"/>
              </w:rPr>
              <w:t>t/a</w:t>
            </w:r>
          </w:p>
        </w:tc>
        <w:tc>
          <w:tcPr>
            <w:tcW w:w="2919" w:type="dxa"/>
            <w:vMerge w:val="restart"/>
            <w:vAlign w:val="center"/>
          </w:tcPr>
          <w:p>
            <w:pPr>
              <w:spacing w:line="240" w:lineRule="auto"/>
              <w:jc w:val="center"/>
              <w:rPr>
                <w:sz w:val="21"/>
                <w:szCs w:val="21"/>
              </w:rPr>
            </w:pPr>
            <w:r>
              <w:rPr>
                <w:sz w:val="21"/>
                <w:szCs w:val="21"/>
              </w:rPr>
              <w:t>《危险废物贮存污染控制标准》（GB18597-2001）</w:t>
            </w:r>
          </w:p>
          <w:p>
            <w:pPr>
              <w:spacing w:line="240" w:lineRule="auto"/>
              <w:jc w:val="center"/>
              <w:rPr>
                <w:sz w:val="21"/>
                <w:szCs w:val="21"/>
              </w:rPr>
            </w:pPr>
            <w:r>
              <w:rPr>
                <w:sz w:val="21"/>
                <w:szCs w:val="21"/>
              </w:rPr>
              <w:t>及其2013修改单相关规定</w:t>
            </w:r>
          </w:p>
        </w:tc>
        <w:tc>
          <w:tcPr>
            <w:tcW w:w="2893" w:type="dxa"/>
            <w:vMerge w:val="restart"/>
            <w:vAlign w:val="center"/>
          </w:tcPr>
          <w:p>
            <w:pPr>
              <w:spacing w:line="240" w:lineRule="auto"/>
              <w:jc w:val="center"/>
              <w:rPr>
                <w:kern w:val="0"/>
                <w:sz w:val="21"/>
                <w:szCs w:val="21"/>
              </w:rPr>
            </w:pPr>
            <w:r>
              <w:rPr>
                <w:kern w:val="0"/>
                <w:sz w:val="21"/>
                <w:szCs w:val="21"/>
              </w:rPr>
              <w:t>专用收集容器、</w:t>
            </w:r>
          </w:p>
          <w:p>
            <w:pPr>
              <w:spacing w:line="240" w:lineRule="auto"/>
              <w:jc w:val="center"/>
              <w:rPr>
                <w:bCs/>
                <w:sz w:val="21"/>
                <w:szCs w:val="21"/>
              </w:rPr>
            </w:pPr>
            <w:r>
              <w:rPr>
                <w:kern w:val="0"/>
                <w:sz w:val="21"/>
                <w:szCs w:val="21"/>
              </w:rPr>
              <w:t>危废暂存间</w:t>
            </w:r>
          </w:p>
        </w:tc>
        <w:tc>
          <w:tcPr>
            <w:tcW w:w="1962" w:type="dxa"/>
            <w:vMerge w:val="continue"/>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62" w:type="dxa"/>
            <w:vMerge w:val="continue"/>
            <w:vAlign w:val="center"/>
          </w:tcPr>
          <w:p>
            <w:pPr>
              <w:spacing w:line="240" w:lineRule="auto"/>
              <w:jc w:val="center"/>
              <w:rPr>
                <w:sz w:val="21"/>
                <w:szCs w:val="21"/>
              </w:rPr>
            </w:pPr>
          </w:p>
        </w:tc>
        <w:tc>
          <w:tcPr>
            <w:tcW w:w="1701" w:type="dxa"/>
            <w:vMerge w:val="continue"/>
            <w:vAlign w:val="center"/>
          </w:tcPr>
          <w:p>
            <w:pPr>
              <w:pStyle w:val="51"/>
              <w:kinsoku w:val="0"/>
              <w:overflowPunct w:val="0"/>
              <w:spacing w:line="240" w:lineRule="auto"/>
              <w:contextualSpacing/>
              <w:jc w:val="center"/>
              <w:rPr>
                <w:sz w:val="21"/>
                <w:szCs w:val="21"/>
                <w:lang w:eastAsia="zh-CN"/>
              </w:rPr>
            </w:pPr>
          </w:p>
        </w:tc>
        <w:tc>
          <w:tcPr>
            <w:tcW w:w="1276" w:type="dxa"/>
            <w:vAlign w:val="center"/>
          </w:tcPr>
          <w:p>
            <w:pPr>
              <w:pStyle w:val="51"/>
              <w:kinsoku w:val="0"/>
              <w:spacing w:line="240" w:lineRule="auto"/>
              <w:contextualSpacing/>
              <w:jc w:val="center"/>
              <w:rPr>
                <w:sz w:val="21"/>
                <w:szCs w:val="21"/>
                <w:lang w:eastAsia="zh-CN"/>
              </w:rPr>
            </w:pPr>
            <w:r>
              <w:rPr>
                <w:sz w:val="21"/>
                <w:szCs w:val="21"/>
                <w:lang w:eastAsia="zh-CN"/>
              </w:rPr>
              <w:t>含油抹布手套</w:t>
            </w:r>
            <w:r>
              <w:rPr>
                <w:rFonts w:hint="eastAsia"/>
                <w:sz w:val="21"/>
                <w:szCs w:val="21"/>
                <w:lang w:eastAsia="zh-CN"/>
              </w:rPr>
              <w:t>、</w:t>
            </w:r>
            <w:r>
              <w:rPr>
                <w:sz w:val="21"/>
                <w:szCs w:val="21"/>
                <w:lang w:eastAsia="zh-CN"/>
              </w:rPr>
              <w:t>废油桶</w:t>
            </w:r>
          </w:p>
        </w:tc>
        <w:tc>
          <w:tcPr>
            <w:tcW w:w="1265" w:type="dxa"/>
            <w:vMerge w:val="continue"/>
            <w:vAlign w:val="center"/>
          </w:tcPr>
          <w:p>
            <w:pPr>
              <w:spacing w:line="240" w:lineRule="auto"/>
              <w:jc w:val="center"/>
              <w:rPr>
                <w:sz w:val="21"/>
                <w:szCs w:val="21"/>
              </w:rPr>
            </w:pPr>
          </w:p>
        </w:tc>
        <w:tc>
          <w:tcPr>
            <w:tcW w:w="1286" w:type="dxa"/>
            <w:vAlign w:val="center"/>
          </w:tcPr>
          <w:p>
            <w:pPr>
              <w:pStyle w:val="51"/>
              <w:kinsoku w:val="0"/>
              <w:overflowPunct w:val="0"/>
              <w:spacing w:line="240" w:lineRule="auto"/>
              <w:contextualSpacing/>
              <w:jc w:val="center"/>
              <w:rPr>
                <w:rFonts w:ascii="Times New Roman" w:hAnsi="Times New Roman"/>
                <w:spacing w:val="-1"/>
                <w:sz w:val="21"/>
                <w:szCs w:val="21"/>
                <w:lang w:eastAsia="zh-CN"/>
              </w:rPr>
            </w:pPr>
            <w:r>
              <w:rPr>
                <w:rFonts w:ascii="Times New Roman" w:hAnsi="Times New Roman"/>
                <w:spacing w:val="-1"/>
                <w:sz w:val="21"/>
                <w:szCs w:val="21"/>
              </w:rPr>
              <w:t>0.</w:t>
            </w:r>
            <w:r>
              <w:rPr>
                <w:rFonts w:hint="eastAsia" w:ascii="Times New Roman" w:hAnsi="Times New Roman"/>
                <w:spacing w:val="-1"/>
                <w:sz w:val="21"/>
                <w:szCs w:val="21"/>
                <w:lang w:eastAsia="zh-CN"/>
              </w:rPr>
              <w:t>02</w:t>
            </w:r>
            <w:r>
              <w:rPr>
                <w:rFonts w:ascii="Times New Roman" w:hAnsi="Times New Roman"/>
                <w:spacing w:val="-1"/>
                <w:sz w:val="21"/>
                <w:szCs w:val="21"/>
              </w:rPr>
              <w:t>t/a</w:t>
            </w:r>
          </w:p>
        </w:tc>
        <w:tc>
          <w:tcPr>
            <w:tcW w:w="2919" w:type="dxa"/>
            <w:vMerge w:val="continue"/>
            <w:vAlign w:val="center"/>
          </w:tcPr>
          <w:p>
            <w:pPr>
              <w:spacing w:line="240" w:lineRule="auto"/>
              <w:jc w:val="center"/>
              <w:rPr>
                <w:sz w:val="21"/>
                <w:szCs w:val="21"/>
              </w:rPr>
            </w:pPr>
          </w:p>
        </w:tc>
        <w:tc>
          <w:tcPr>
            <w:tcW w:w="2893" w:type="dxa"/>
            <w:vMerge w:val="continue"/>
            <w:vAlign w:val="center"/>
          </w:tcPr>
          <w:p>
            <w:pPr>
              <w:spacing w:line="240" w:lineRule="auto"/>
              <w:jc w:val="center"/>
              <w:rPr>
                <w:kern w:val="0"/>
                <w:sz w:val="21"/>
                <w:szCs w:val="21"/>
              </w:rPr>
            </w:pPr>
          </w:p>
        </w:tc>
        <w:tc>
          <w:tcPr>
            <w:tcW w:w="1962" w:type="dxa"/>
            <w:vMerge w:val="continue"/>
            <w:vAlign w:val="center"/>
          </w:tcPr>
          <w:p>
            <w:pPr>
              <w:spacing w:line="24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62" w:type="dxa"/>
            <w:vAlign w:val="center"/>
          </w:tcPr>
          <w:p>
            <w:pPr>
              <w:spacing w:line="240" w:lineRule="auto"/>
              <w:jc w:val="center"/>
              <w:rPr>
                <w:sz w:val="21"/>
                <w:szCs w:val="21"/>
              </w:rPr>
            </w:pPr>
            <w:r>
              <w:rPr>
                <w:sz w:val="21"/>
                <w:szCs w:val="21"/>
              </w:rPr>
              <w:t>噪声</w:t>
            </w:r>
          </w:p>
        </w:tc>
        <w:tc>
          <w:tcPr>
            <w:tcW w:w="1701" w:type="dxa"/>
            <w:vAlign w:val="center"/>
          </w:tcPr>
          <w:p>
            <w:pPr>
              <w:pStyle w:val="92"/>
              <w:ind w:firstLine="0" w:firstLineChars="0"/>
              <w:jc w:val="center"/>
              <w:rPr>
                <w:sz w:val="21"/>
                <w:szCs w:val="21"/>
              </w:rPr>
            </w:pPr>
            <w:r>
              <w:rPr>
                <w:sz w:val="21"/>
                <w:szCs w:val="21"/>
              </w:rPr>
              <w:t>设备运行噪声</w:t>
            </w:r>
          </w:p>
        </w:tc>
        <w:tc>
          <w:tcPr>
            <w:tcW w:w="2541" w:type="dxa"/>
            <w:gridSpan w:val="2"/>
            <w:vAlign w:val="center"/>
          </w:tcPr>
          <w:p>
            <w:pPr>
              <w:spacing w:line="240" w:lineRule="auto"/>
              <w:jc w:val="center"/>
              <w:rPr>
                <w:sz w:val="21"/>
                <w:szCs w:val="21"/>
              </w:rPr>
            </w:pPr>
            <w:r>
              <w:rPr>
                <w:sz w:val="21"/>
                <w:szCs w:val="21"/>
              </w:rPr>
              <w:t>运行噪声</w:t>
            </w:r>
          </w:p>
        </w:tc>
        <w:tc>
          <w:tcPr>
            <w:tcW w:w="1286" w:type="dxa"/>
            <w:vAlign w:val="center"/>
          </w:tcPr>
          <w:p>
            <w:pPr>
              <w:spacing w:line="240" w:lineRule="auto"/>
              <w:jc w:val="center"/>
              <w:rPr>
                <w:sz w:val="21"/>
                <w:szCs w:val="21"/>
              </w:rPr>
            </w:pPr>
            <w:r>
              <w:rPr>
                <w:sz w:val="21"/>
                <w:szCs w:val="21"/>
              </w:rPr>
              <w:t>60dB(A)</w:t>
            </w:r>
          </w:p>
        </w:tc>
        <w:tc>
          <w:tcPr>
            <w:tcW w:w="2919" w:type="dxa"/>
            <w:vAlign w:val="center"/>
          </w:tcPr>
          <w:p>
            <w:pPr>
              <w:spacing w:line="240" w:lineRule="auto"/>
              <w:jc w:val="center"/>
              <w:rPr>
                <w:kern w:val="24"/>
                <w:sz w:val="21"/>
                <w:szCs w:val="21"/>
              </w:rPr>
            </w:pPr>
            <w:r>
              <w:rPr>
                <w:kern w:val="24"/>
                <w:sz w:val="21"/>
                <w:szCs w:val="21"/>
              </w:rPr>
              <w:t>《工业企业厂界环境噪声排放标准》（GB12348-2008）</w:t>
            </w:r>
          </w:p>
          <w:p>
            <w:pPr>
              <w:spacing w:line="240" w:lineRule="auto"/>
              <w:jc w:val="center"/>
              <w:rPr>
                <w:sz w:val="21"/>
                <w:szCs w:val="21"/>
              </w:rPr>
            </w:pPr>
            <w:r>
              <w:rPr>
                <w:kern w:val="24"/>
                <w:sz w:val="21"/>
                <w:szCs w:val="21"/>
              </w:rPr>
              <w:t>2类标准</w:t>
            </w:r>
          </w:p>
        </w:tc>
        <w:tc>
          <w:tcPr>
            <w:tcW w:w="4855" w:type="dxa"/>
            <w:gridSpan w:val="2"/>
            <w:vAlign w:val="center"/>
          </w:tcPr>
          <w:p>
            <w:pPr>
              <w:spacing w:line="240" w:lineRule="auto"/>
              <w:jc w:val="center"/>
              <w:rPr>
                <w:sz w:val="21"/>
                <w:szCs w:val="21"/>
              </w:rPr>
            </w:pPr>
            <w:r>
              <w:rPr>
                <w:bCs/>
                <w:sz w:val="21"/>
                <w:szCs w:val="21"/>
              </w:rPr>
              <w:t>选用低噪声设备，</w:t>
            </w:r>
            <w:r>
              <w:rPr>
                <w:rFonts w:hint="eastAsia"/>
                <w:bCs/>
                <w:sz w:val="21"/>
                <w:szCs w:val="21"/>
              </w:rPr>
              <w:t>置于</w:t>
            </w:r>
            <w:r>
              <w:rPr>
                <w:bCs/>
                <w:sz w:val="21"/>
                <w:szCs w:val="21"/>
              </w:rPr>
              <w:t>生产车间内、基础减振、厂房隔声等降噪措施</w:t>
            </w:r>
          </w:p>
        </w:tc>
      </w:tr>
    </w:tbl>
    <w:p>
      <w:pPr>
        <w:rPr>
          <w:b/>
          <w:sz w:val="32"/>
          <w:szCs w:val="32"/>
        </w:rPr>
        <w:sectPr>
          <w:pgSz w:w="16838" w:h="11906" w:orient="landscape"/>
          <w:pgMar w:top="1797" w:right="1440" w:bottom="1797" w:left="1440" w:header="1191" w:footer="1191" w:gutter="0"/>
          <w:cols w:space="425" w:num="1"/>
          <w:docGrid w:type="linesAndChars" w:linePitch="326" w:charSpace="0"/>
        </w:sectPr>
      </w:pPr>
    </w:p>
    <w:p>
      <w:pPr>
        <w:keepNext/>
        <w:keepLines/>
        <w:outlineLvl w:val="0"/>
        <w:rPr>
          <w:rFonts w:asciiTheme="minorEastAsia" w:hAnsiTheme="minorEastAsia" w:eastAsiaTheme="minorEastAsia"/>
          <w:b/>
          <w:bCs/>
          <w:kern w:val="44"/>
        </w:rPr>
      </w:pPr>
      <w:bookmarkStart w:id="71" w:name="_Toc29262"/>
      <w:r>
        <w:rPr>
          <w:rFonts w:asciiTheme="minorEastAsia" w:hAnsiTheme="minorEastAsia" w:eastAsiaTheme="minorEastAsia"/>
          <w:b/>
          <w:bCs/>
          <w:kern w:val="44"/>
        </w:rPr>
        <w:t>建设项目拟采取的防治措施及预期治理效果</w:t>
      </w:r>
      <w:bookmarkEnd w:id="71"/>
    </w:p>
    <w:tbl>
      <w:tblPr>
        <w:tblStyle w:val="24"/>
        <w:tblW w:w="8784" w:type="dxa"/>
        <w:jc w:val="center"/>
        <w:tblLayout w:type="fixed"/>
        <w:tblCellMar>
          <w:top w:w="0" w:type="dxa"/>
          <w:left w:w="85" w:type="dxa"/>
          <w:bottom w:w="0" w:type="dxa"/>
          <w:right w:w="85" w:type="dxa"/>
        </w:tblCellMar>
      </w:tblPr>
      <w:tblGrid>
        <w:gridCol w:w="1087"/>
        <w:gridCol w:w="1417"/>
        <w:gridCol w:w="1134"/>
        <w:gridCol w:w="2552"/>
        <w:gridCol w:w="2594"/>
      </w:tblGrid>
      <w:tr>
        <w:tblPrEx>
          <w:tblCellMar>
            <w:top w:w="0" w:type="dxa"/>
            <w:left w:w="85" w:type="dxa"/>
            <w:bottom w:w="0" w:type="dxa"/>
            <w:right w:w="85" w:type="dxa"/>
          </w:tblCellMar>
        </w:tblPrEx>
        <w:trPr>
          <w:trHeight w:val="637" w:hRule="atLeast"/>
          <w:jc w:val="center"/>
        </w:trPr>
        <w:tc>
          <w:tcPr>
            <w:tcW w:w="1087" w:type="dxa"/>
            <w:tcBorders>
              <w:top w:val="single" w:color="auto" w:sz="4" w:space="0"/>
              <w:left w:val="single" w:color="auto" w:sz="4" w:space="0"/>
              <w:bottom w:val="single" w:color="auto" w:sz="4" w:space="0"/>
              <w:right w:val="single" w:color="auto" w:sz="4" w:space="0"/>
              <w:tl2br w:val="single" w:color="auto" w:sz="4" w:space="0"/>
            </w:tcBorders>
            <w:vAlign w:val="center"/>
          </w:tcPr>
          <w:p>
            <w:pPr>
              <w:spacing w:line="240" w:lineRule="auto"/>
              <w:jc w:val="right"/>
              <w:rPr>
                <w:rFonts w:eastAsiaTheme="minorEastAsia"/>
                <w:sz w:val="21"/>
                <w:szCs w:val="21"/>
              </w:rPr>
            </w:pPr>
            <w:r>
              <w:rPr>
                <w:rFonts w:eastAsiaTheme="minorEastAsia"/>
                <w:sz w:val="21"/>
                <w:szCs w:val="21"/>
              </w:rPr>
              <w:t xml:space="preserve"> 内容</w:t>
            </w:r>
          </w:p>
          <w:p>
            <w:pPr>
              <w:spacing w:line="240" w:lineRule="auto"/>
              <w:jc w:val="left"/>
              <w:rPr>
                <w:rFonts w:eastAsiaTheme="minorEastAsia"/>
                <w:sz w:val="21"/>
                <w:szCs w:val="21"/>
              </w:rPr>
            </w:pPr>
            <w:r>
              <w:rPr>
                <w:rFonts w:eastAsiaTheme="minorEastAsia"/>
                <w:sz w:val="21"/>
                <w:szCs w:val="21"/>
              </w:rPr>
              <w:t>类型</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eastAsiaTheme="minorEastAsia"/>
                <w:sz w:val="21"/>
                <w:szCs w:val="21"/>
              </w:rPr>
            </w:pPr>
            <w:r>
              <w:rPr>
                <w:rFonts w:eastAsiaTheme="minorEastAsia"/>
                <w:sz w:val="21"/>
                <w:szCs w:val="21"/>
              </w:rPr>
              <w:t>排放源</w:t>
            </w:r>
          </w:p>
          <w:p>
            <w:pPr>
              <w:spacing w:line="240" w:lineRule="auto"/>
              <w:jc w:val="center"/>
              <w:rPr>
                <w:rFonts w:eastAsiaTheme="minorEastAsia"/>
                <w:sz w:val="21"/>
                <w:szCs w:val="21"/>
              </w:rPr>
            </w:pPr>
            <w:r>
              <w:rPr>
                <w:rFonts w:eastAsiaTheme="minorEastAsia"/>
                <w:sz w:val="21"/>
                <w:szCs w:val="21"/>
              </w:rPr>
              <w:t>(编号)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eastAsiaTheme="minorEastAsia"/>
                <w:sz w:val="21"/>
                <w:szCs w:val="21"/>
              </w:rPr>
            </w:pPr>
            <w:r>
              <w:rPr>
                <w:rFonts w:eastAsiaTheme="minorEastAsia"/>
                <w:sz w:val="21"/>
                <w:szCs w:val="21"/>
              </w:rPr>
              <w:t>污染物</w:t>
            </w:r>
          </w:p>
          <w:p>
            <w:pPr>
              <w:spacing w:line="240" w:lineRule="auto"/>
              <w:jc w:val="center"/>
              <w:rPr>
                <w:rFonts w:eastAsiaTheme="minorEastAsia"/>
                <w:sz w:val="21"/>
                <w:szCs w:val="21"/>
              </w:rPr>
            </w:pPr>
            <w:r>
              <w:rPr>
                <w:rFonts w:eastAsiaTheme="minorEastAsia"/>
                <w:sz w:val="21"/>
                <w:szCs w:val="21"/>
              </w:rPr>
              <w:t>名称</w:t>
            </w:r>
          </w:p>
        </w:tc>
        <w:tc>
          <w:tcPr>
            <w:tcW w:w="255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eastAsiaTheme="minorEastAsia"/>
                <w:sz w:val="21"/>
                <w:szCs w:val="21"/>
              </w:rPr>
            </w:pPr>
            <w:r>
              <w:rPr>
                <w:rFonts w:eastAsiaTheme="minorEastAsia"/>
                <w:sz w:val="21"/>
                <w:szCs w:val="21"/>
              </w:rPr>
              <w:t>防治措施</w:t>
            </w:r>
          </w:p>
        </w:tc>
        <w:tc>
          <w:tcPr>
            <w:tcW w:w="259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eastAsiaTheme="minorEastAsia"/>
                <w:sz w:val="21"/>
                <w:szCs w:val="21"/>
              </w:rPr>
            </w:pPr>
            <w:r>
              <w:rPr>
                <w:rFonts w:eastAsiaTheme="minorEastAsia"/>
                <w:sz w:val="21"/>
                <w:szCs w:val="21"/>
              </w:rPr>
              <w:t>预期治理效果</w:t>
            </w:r>
          </w:p>
        </w:tc>
      </w:tr>
      <w:tr>
        <w:tblPrEx>
          <w:tblCellMar>
            <w:top w:w="0" w:type="dxa"/>
            <w:left w:w="85" w:type="dxa"/>
            <w:bottom w:w="0" w:type="dxa"/>
            <w:right w:w="85" w:type="dxa"/>
          </w:tblCellMar>
        </w:tblPrEx>
        <w:trPr>
          <w:cantSplit/>
          <w:trHeight w:val="620" w:hRule="atLeast"/>
          <w:jc w:val="center"/>
        </w:trPr>
        <w:tc>
          <w:tcPr>
            <w:tcW w:w="108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eastAsiaTheme="minorEastAsia"/>
                <w:sz w:val="21"/>
                <w:szCs w:val="21"/>
              </w:rPr>
            </w:pPr>
            <w:r>
              <w:rPr>
                <w:rFonts w:eastAsiaTheme="minorEastAsia"/>
                <w:sz w:val="21"/>
                <w:szCs w:val="21"/>
              </w:rPr>
              <w:t>大气污染物</w:t>
            </w: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eastAsiaTheme="minorEastAsia"/>
                <w:kern w:val="0"/>
                <w:sz w:val="21"/>
                <w:szCs w:val="21"/>
              </w:rPr>
            </w:pPr>
            <w:r>
              <w:rPr>
                <w:rFonts w:hint="eastAsia" w:eastAsiaTheme="minorEastAsia"/>
                <w:kern w:val="0"/>
                <w:sz w:val="21"/>
                <w:szCs w:val="21"/>
              </w:rPr>
              <w:t>生产车间</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eastAsiaTheme="minorEastAsia"/>
                <w:sz w:val="21"/>
                <w:szCs w:val="21"/>
              </w:rPr>
            </w:pPr>
            <w:r>
              <w:rPr>
                <w:rFonts w:eastAsiaTheme="minorEastAsia"/>
                <w:sz w:val="21"/>
                <w:szCs w:val="21"/>
              </w:rPr>
              <w:t>粉尘</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eastAsiaTheme="minorEastAsia"/>
                <w:sz w:val="21"/>
                <w:szCs w:val="21"/>
              </w:rPr>
            </w:pPr>
            <w:r>
              <w:rPr>
                <w:rFonts w:hint="eastAsia" w:eastAsiaTheme="minorEastAsia"/>
                <w:sz w:val="21"/>
                <w:szCs w:val="21"/>
              </w:rPr>
              <w:t>全封闭厂房、破碎筛分设备独立封闭、雾化喷淋设施（滚筛至下料斗的传送带上方、制砂机进出料口安装喷头）</w:t>
            </w:r>
          </w:p>
        </w:tc>
        <w:tc>
          <w:tcPr>
            <w:tcW w:w="2594" w:type="dxa"/>
            <w:vMerge w:val="restart"/>
            <w:tcBorders>
              <w:top w:val="single" w:color="auto" w:sz="4" w:space="0"/>
              <w:left w:val="single" w:color="auto" w:sz="4" w:space="0"/>
              <w:right w:val="single" w:color="auto" w:sz="4" w:space="0"/>
            </w:tcBorders>
            <w:vAlign w:val="center"/>
          </w:tcPr>
          <w:p>
            <w:pPr>
              <w:spacing w:line="240" w:lineRule="auto"/>
              <w:jc w:val="center"/>
              <w:rPr>
                <w:rFonts w:eastAsiaTheme="minorEastAsia"/>
                <w:sz w:val="21"/>
                <w:szCs w:val="21"/>
              </w:rPr>
            </w:pPr>
            <w:r>
              <w:rPr>
                <w:rFonts w:eastAsiaTheme="minorEastAsia"/>
                <w:sz w:val="21"/>
                <w:szCs w:val="21"/>
              </w:rPr>
              <w:t>《大气污染物综合排放标准》（GB16297-1996）中表2相关要求</w:t>
            </w:r>
          </w:p>
        </w:tc>
      </w:tr>
      <w:tr>
        <w:tblPrEx>
          <w:tblCellMar>
            <w:top w:w="0" w:type="dxa"/>
            <w:left w:w="85" w:type="dxa"/>
            <w:bottom w:w="0" w:type="dxa"/>
            <w:right w:w="85" w:type="dxa"/>
          </w:tblCellMar>
        </w:tblPrEx>
        <w:trPr>
          <w:cantSplit/>
          <w:trHeight w:val="620" w:hRule="atLeast"/>
          <w:jc w:val="center"/>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eastAsiaTheme="minorEastAsia"/>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成品区</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粉尘</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wordWrap w:val="0"/>
              <w:spacing w:line="240" w:lineRule="auto"/>
              <w:jc w:val="center"/>
              <w:rPr>
                <w:sz w:val="21"/>
              </w:rPr>
            </w:pPr>
            <w:r>
              <w:rPr>
                <w:rFonts w:hint="eastAsia"/>
                <w:sz w:val="21"/>
                <w:szCs w:val="21"/>
              </w:rPr>
              <w:t>全封闭厂房、雾化喷淋设施（产品区厂房顶部安装喷头）</w:t>
            </w:r>
          </w:p>
        </w:tc>
        <w:tc>
          <w:tcPr>
            <w:tcW w:w="2594" w:type="dxa"/>
            <w:vMerge w:val="continue"/>
            <w:tcBorders>
              <w:left w:val="single" w:color="auto" w:sz="4" w:space="0"/>
              <w:right w:val="single" w:color="auto" w:sz="4" w:space="0"/>
            </w:tcBorders>
            <w:vAlign w:val="center"/>
          </w:tcPr>
          <w:p>
            <w:pPr>
              <w:spacing w:line="240" w:lineRule="auto"/>
              <w:jc w:val="center"/>
              <w:rPr>
                <w:rFonts w:eastAsiaTheme="minorEastAsia"/>
                <w:sz w:val="21"/>
                <w:szCs w:val="21"/>
              </w:rPr>
            </w:pPr>
          </w:p>
        </w:tc>
      </w:tr>
      <w:tr>
        <w:tblPrEx>
          <w:tblCellMar>
            <w:top w:w="0" w:type="dxa"/>
            <w:left w:w="85" w:type="dxa"/>
            <w:bottom w:w="0" w:type="dxa"/>
            <w:right w:w="85" w:type="dxa"/>
          </w:tblCellMar>
        </w:tblPrEx>
        <w:trPr>
          <w:cantSplit/>
          <w:trHeight w:val="620" w:hRule="atLeast"/>
          <w:jc w:val="center"/>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eastAsiaTheme="minorEastAsia"/>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原料区</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粉尘</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wordWrap w:val="0"/>
              <w:spacing w:line="240" w:lineRule="auto"/>
              <w:jc w:val="center"/>
              <w:rPr>
                <w:sz w:val="21"/>
              </w:rPr>
            </w:pPr>
            <w:r>
              <w:rPr>
                <w:sz w:val="21"/>
              </w:rPr>
              <w:t>沾湿的土工布遮盖</w:t>
            </w:r>
            <w:r>
              <w:rPr>
                <w:rFonts w:hint="eastAsia"/>
                <w:sz w:val="21"/>
              </w:rPr>
              <w:t>、雾化喷淋设施（</w:t>
            </w:r>
            <w:r>
              <w:rPr>
                <w:rFonts w:hint="eastAsia"/>
                <w:sz w:val="21"/>
                <w:szCs w:val="21"/>
              </w:rPr>
              <w:t>原料堆场装卸区及铲车运送通道上安装喷头</w:t>
            </w:r>
            <w:r>
              <w:rPr>
                <w:rFonts w:hint="eastAsia"/>
                <w:sz w:val="21"/>
              </w:rPr>
              <w:t>）</w:t>
            </w:r>
          </w:p>
        </w:tc>
        <w:tc>
          <w:tcPr>
            <w:tcW w:w="2594" w:type="dxa"/>
            <w:vMerge w:val="continue"/>
            <w:tcBorders>
              <w:left w:val="single" w:color="auto" w:sz="4" w:space="0"/>
              <w:right w:val="single" w:color="auto" w:sz="4" w:space="0"/>
            </w:tcBorders>
            <w:vAlign w:val="center"/>
          </w:tcPr>
          <w:p>
            <w:pPr>
              <w:spacing w:line="240" w:lineRule="auto"/>
              <w:jc w:val="center"/>
              <w:rPr>
                <w:rFonts w:eastAsiaTheme="minorEastAsia"/>
                <w:sz w:val="21"/>
                <w:szCs w:val="21"/>
              </w:rPr>
            </w:pPr>
          </w:p>
        </w:tc>
      </w:tr>
      <w:tr>
        <w:tblPrEx>
          <w:tblCellMar>
            <w:top w:w="0" w:type="dxa"/>
            <w:left w:w="85" w:type="dxa"/>
            <w:bottom w:w="0" w:type="dxa"/>
            <w:right w:w="85" w:type="dxa"/>
          </w:tblCellMar>
        </w:tblPrEx>
        <w:trPr>
          <w:cantSplit/>
          <w:trHeight w:val="620" w:hRule="atLeast"/>
          <w:jc w:val="center"/>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eastAsiaTheme="minorEastAsia"/>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车辆运输</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粉尘</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wordWrap w:val="0"/>
              <w:spacing w:line="240" w:lineRule="auto"/>
              <w:jc w:val="center"/>
              <w:rPr>
                <w:sz w:val="21"/>
              </w:rPr>
            </w:pPr>
            <w:r>
              <w:rPr>
                <w:rFonts w:hint="eastAsia"/>
                <w:sz w:val="21"/>
                <w:szCs w:val="21"/>
              </w:rPr>
              <w:t>雾化喷淋设施（运输道路上安装喷头）</w:t>
            </w:r>
          </w:p>
        </w:tc>
        <w:tc>
          <w:tcPr>
            <w:tcW w:w="2594" w:type="dxa"/>
            <w:vMerge w:val="continue"/>
            <w:tcBorders>
              <w:left w:val="single" w:color="auto" w:sz="4" w:space="0"/>
              <w:bottom w:val="single" w:color="auto" w:sz="4" w:space="0"/>
              <w:right w:val="single" w:color="auto" w:sz="4" w:space="0"/>
            </w:tcBorders>
            <w:vAlign w:val="center"/>
          </w:tcPr>
          <w:p>
            <w:pPr>
              <w:spacing w:line="240" w:lineRule="auto"/>
              <w:jc w:val="center"/>
              <w:rPr>
                <w:rFonts w:eastAsiaTheme="minorEastAsia"/>
                <w:sz w:val="21"/>
                <w:szCs w:val="21"/>
              </w:rPr>
            </w:pPr>
          </w:p>
        </w:tc>
      </w:tr>
      <w:tr>
        <w:tblPrEx>
          <w:tblCellMar>
            <w:top w:w="0" w:type="dxa"/>
            <w:left w:w="85" w:type="dxa"/>
            <w:bottom w:w="0" w:type="dxa"/>
            <w:right w:w="85" w:type="dxa"/>
          </w:tblCellMar>
        </w:tblPrEx>
        <w:trPr>
          <w:cantSplit/>
          <w:trHeight w:val="620" w:hRule="atLeast"/>
          <w:jc w:val="center"/>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eastAsiaTheme="minorEastAsia"/>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食堂</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油烟</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wordWrap w:val="0"/>
              <w:spacing w:line="240" w:lineRule="auto"/>
              <w:jc w:val="center"/>
              <w:rPr>
                <w:sz w:val="21"/>
              </w:rPr>
            </w:pPr>
            <w:r>
              <w:rPr>
                <w:sz w:val="21"/>
              </w:rPr>
              <w:t>油烟净化</w:t>
            </w:r>
            <w:r>
              <w:rPr>
                <w:rFonts w:hint="eastAsia"/>
                <w:sz w:val="21"/>
              </w:rPr>
              <w:t>器+专用烟道</w:t>
            </w:r>
          </w:p>
        </w:tc>
        <w:tc>
          <w:tcPr>
            <w:tcW w:w="259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eastAsiaTheme="minorEastAsia"/>
                <w:sz w:val="21"/>
                <w:szCs w:val="21"/>
              </w:rPr>
            </w:pPr>
            <w:r>
              <w:rPr>
                <w:rFonts w:eastAsiaTheme="minorEastAsia"/>
                <w:bCs/>
                <w:sz w:val="21"/>
                <w:szCs w:val="21"/>
              </w:rPr>
              <w:t>《饮食业油烟排放标准》（GB18483-2001）</w:t>
            </w:r>
          </w:p>
        </w:tc>
      </w:tr>
      <w:tr>
        <w:tblPrEx>
          <w:tblCellMar>
            <w:top w:w="0" w:type="dxa"/>
            <w:left w:w="85" w:type="dxa"/>
            <w:bottom w:w="0" w:type="dxa"/>
            <w:right w:w="85" w:type="dxa"/>
          </w:tblCellMar>
        </w:tblPrEx>
        <w:trPr>
          <w:cantSplit/>
          <w:trHeight w:val="615" w:hRule="atLeast"/>
          <w:jc w:val="center"/>
        </w:trPr>
        <w:tc>
          <w:tcPr>
            <w:tcW w:w="108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eastAsiaTheme="minorEastAsia"/>
                <w:sz w:val="21"/>
                <w:szCs w:val="21"/>
              </w:rPr>
            </w:pPr>
            <w:r>
              <w:rPr>
                <w:rFonts w:eastAsiaTheme="minorEastAsia"/>
                <w:sz w:val="21"/>
                <w:szCs w:val="21"/>
              </w:rPr>
              <w:t>水污染物</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生活污水</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wordWrap w:val="0"/>
              <w:spacing w:line="240" w:lineRule="auto"/>
              <w:jc w:val="center"/>
              <w:rPr>
                <w:sz w:val="21"/>
                <w:szCs w:val="21"/>
              </w:rPr>
            </w:pPr>
            <w:r>
              <w:rPr>
                <w:sz w:val="21"/>
                <w:szCs w:val="21"/>
              </w:rPr>
              <w:t>COD</w:t>
            </w:r>
          </w:p>
          <w:p>
            <w:pPr>
              <w:widowControl w:val="0"/>
              <w:wordWrap w:val="0"/>
              <w:spacing w:line="240" w:lineRule="auto"/>
              <w:jc w:val="center"/>
              <w:rPr>
                <w:sz w:val="21"/>
                <w:szCs w:val="21"/>
              </w:rPr>
            </w:pPr>
            <w:r>
              <w:rPr>
                <w:sz w:val="21"/>
                <w:szCs w:val="21"/>
              </w:rPr>
              <w:t>BOD</w:t>
            </w:r>
            <w:r>
              <w:rPr>
                <w:sz w:val="21"/>
                <w:szCs w:val="21"/>
                <w:vertAlign w:val="subscript"/>
              </w:rPr>
              <w:t>5</w:t>
            </w:r>
          </w:p>
          <w:p>
            <w:pPr>
              <w:widowControl w:val="0"/>
              <w:wordWrap w:val="0"/>
              <w:spacing w:line="240" w:lineRule="auto"/>
              <w:jc w:val="center"/>
              <w:rPr>
                <w:sz w:val="21"/>
                <w:szCs w:val="21"/>
              </w:rPr>
            </w:pPr>
            <w:r>
              <w:rPr>
                <w:sz w:val="21"/>
                <w:szCs w:val="21"/>
              </w:rPr>
              <w:t>NH</w:t>
            </w:r>
            <w:r>
              <w:rPr>
                <w:sz w:val="21"/>
                <w:szCs w:val="21"/>
                <w:vertAlign w:val="subscript"/>
              </w:rPr>
              <w:t>3</w:t>
            </w:r>
            <w:r>
              <w:rPr>
                <w:sz w:val="21"/>
                <w:szCs w:val="21"/>
              </w:rPr>
              <w:t>-N</w:t>
            </w:r>
          </w:p>
          <w:p>
            <w:pPr>
              <w:widowControl w:val="0"/>
              <w:wordWrap w:val="0"/>
              <w:spacing w:line="240" w:lineRule="auto"/>
              <w:jc w:val="center"/>
              <w:rPr>
                <w:sz w:val="21"/>
                <w:szCs w:val="21"/>
              </w:rPr>
            </w:pPr>
            <w:r>
              <w:rPr>
                <w:sz w:val="21"/>
                <w:szCs w:val="21"/>
              </w:rPr>
              <w:t>SS</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eastAsiaTheme="minorEastAsia"/>
                <w:sz w:val="21"/>
                <w:szCs w:val="21"/>
              </w:rPr>
            </w:pPr>
            <w:r>
              <w:rPr>
                <w:rFonts w:hint="eastAsia" w:eastAsiaTheme="minorEastAsia"/>
                <w:sz w:val="21"/>
                <w:szCs w:val="21"/>
              </w:rPr>
              <w:t>经</w:t>
            </w:r>
            <w:r>
              <w:rPr>
                <w:rFonts w:eastAsiaTheme="minorEastAsia"/>
                <w:sz w:val="21"/>
                <w:szCs w:val="21"/>
              </w:rPr>
              <w:t>化粪池处理后作为农肥用于周边</w:t>
            </w:r>
            <w:r>
              <w:rPr>
                <w:rFonts w:hint="eastAsia" w:eastAsiaTheme="minorEastAsia"/>
                <w:sz w:val="21"/>
                <w:szCs w:val="21"/>
              </w:rPr>
              <w:t>林地浇灌</w:t>
            </w:r>
          </w:p>
        </w:tc>
        <w:tc>
          <w:tcPr>
            <w:tcW w:w="25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eastAsiaTheme="minorEastAsia"/>
                <w:sz w:val="21"/>
                <w:szCs w:val="21"/>
              </w:rPr>
            </w:pPr>
            <w:r>
              <w:rPr>
                <w:rFonts w:eastAsiaTheme="minorEastAsia"/>
                <w:sz w:val="21"/>
                <w:szCs w:val="21"/>
              </w:rPr>
              <w:t>不外排</w:t>
            </w:r>
          </w:p>
        </w:tc>
      </w:tr>
      <w:tr>
        <w:tblPrEx>
          <w:tblCellMar>
            <w:top w:w="0" w:type="dxa"/>
            <w:left w:w="85" w:type="dxa"/>
            <w:bottom w:w="0" w:type="dxa"/>
            <w:right w:w="85" w:type="dxa"/>
          </w:tblCellMar>
        </w:tblPrEx>
        <w:trPr>
          <w:cantSplit/>
          <w:trHeight w:val="615" w:hRule="atLeast"/>
          <w:jc w:val="center"/>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eastAsiaTheme="minorEastAsia"/>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val="0"/>
              <w:wordWrap w:val="0"/>
              <w:spacing w:line="240" w:lineRule="auto"/>
              <w:jc w:val="center"/>
              <w:rPr>
                <w:sz w:val="21"/>
                <w:szCs w:val="21"/>
              </w:rPr>
            </w:pPr>
            <w:r>
              <w:rPr>
                <w:sz w:val="21"/>
                <w:szCs w:val="21"/>
              </w:rPr>
              <w:t>生产废水</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val="0"/>
              <w:wordWrap w:val="0"/>
              <w:spacing w:line="240" w:lineRule="auto"/>
              <w:jc w:val="center"/>
              <w:rPr>
                <w:sz w:val="21"/>
                <w:szCs w:val="21"/>
              </w:rPr>
            </w:pPr>
            <w:r>
              <w:rPr>
                <w:rFonts w:hint="eastAsia"/>
                <w:sz w:val="21"/>
                <w:szCs w:val="21"/>
              </w:rPr>
              <w:t>SS</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eastAsiaTheme="minorEastAsia"/>
                <w:sz w:val="21"/>
                <w:szCs w:val="21"/>
              </w:rPr>
            </w:pPr>
            <w:r>
              <w:rPr>
                <w:rFonts w:eastAsiaTheme="minorEastAsia"/>
                <w:sz w:val="21"/>
                <w:szCs w:val="21"/>
              </w:rPr>
              <w:t>三级沉淀池处理后循环使用</w:t>
            </w:r>
          </w:p>
        </w:tc>
        <w:tc>
          <w:tcPr>
            <w:tcW w:w="259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eastAsiaTheme="minorEastAsia"/>
                <w:sz w:val="21"/>
                <w:szCs w:val="21"/>
              </w:rPr>
            </w:pPr>
            <w:r>
              <w:rPr>
                <w:rFonts w:eastAsiaTheme="minorEastAsia"/>
                <w:sz w:val="21"/>
                <w:szCs w:val="21"/>
              </w:rPr>
              <w:t>不外排</w:t>
            </w:r>
          </w:p>
        </w:tc>
      </w:tr>
      <w:tr>
        <w:tblPrEx>
          <w:tblCellMar>
            <w:top w:w="0" w:type="dxa"/>
            <w:left w:w="85" w:type="dxa"/>
            <w:bottom w:w="0" w:type="dxa"/>
            <w:right w:w="85" w:type="dxa"/>
          </w:tblCellMar>
        </w:tblPrEx>
        <w:trPr>
          <w:cantSplit/>
          <w:trHeight w:val="516" w:hRule="atLeast"/>
          <w:jc w:val="center"/>
        </w:trPr>
        <w:tc>
          <w:tcPr>
            <w:tcW w:w="108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eastAsiaTheme="minorEastAsia"/>
                <w:sz w:val="21"/>
                <w:szCs w:val="21"/>
              </w:rPr>
            </w:pPr>
            <w:r>
              <w:rPr>
                <w:rFonts w:eastAsiaTheme="minorEastAsia"/>
                <w:sz w:val="21"/>
                <w:szCs w:val="21"/>
              </w:rPr>
              <w:t>固体废物</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eastAsiaTheme="minorEastAsia"/>
                <w:sz w:val="21"/>
                <w:szCs w:val="21"/>
              </w:rPr>
            </w:pPr>
            <w:r>
              <w:rPr>
                <w:rFonts w:eastAsiaTheme="minorEastAsia"/>
                <w:sz w:val="21"/>
                <w:szCs w:val="21"/>
              </w:rPr>
              <w:t>生产工程</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kern w:val="0"/>
                <w:sz w:val="21"/>
                <w:szCs w:val="21"/>
              </w:rPr>
            </w:pPr>
            <w:r>
              <w:rPr>
                <w:kern w:val="0"/>
                <w:sz w:val="21"/>
                <w:szCs w:val="21"/>
              </w:rPr>
              <w:t>沉淀池</w:t>
            </w:r>
          </w:p>
          <w:p>
            <w:pPr>
              <w:spacing w:line="240" w:lineRule="auto"/>
              <w:jc w:val="center"/>
              <w:rPr>
                <w:kern w:val="0"/>
                <w:sz w:val="21"/>
                <w:szCs w:val="21"/>
              </w:rPr>
            </w:pPr>
            <w:r>
              <w:rPr>
                <w:rFonts w:hint="eastAsia"/>
                <w:kern w:val="0"/>
                <w:sz w:val="21"/>
                <w:szCs w:val="21"/>
              </w:rPr>
              <w:t>底渣</w:t>
            </w:r>
          </w:p>
        </w:tc>
        <w:tc>
          <w:tcPr>
            <w:tcW w:w="2552" w:type="dxa"/>
            <w:tcBorders>
              <w:top w:val="single" w:color="auto" w:sz="4" w:space="0"/>
              <w:left w:val="single" w:color="auto" w:sz="4" w:space="0"/>
              <w:right w:val="single" w:color="auto" w:sz="4" w:space="0"/>
            </w:tcBorders>
            <w:shd w:val="clear" w:color="auto" w:fill="auto"/>
            <w:vAlign w:val="center"/>
          </w:tcPr>
          <w:p>
            <w:pPr>
              <w:spacing w:line="240" w:lineRule="auto"/>
              <w:jc w:val="center"/>
              <w:rPr>
                <w:spacing w:val="-2"/>
                <w:sz w:val="21"/>
                <w:szCs w:val="21"/>
              </w:rPr>
            </w:pPr>
            <w:r>
              <w:rPr>
                <w:sz w:val="21"/>
                <w:szCs w:val="21"/>
              </w:rPr>
              <w:t>定期清理</w:t>
            </w:r>
            <w:r>
              <w:rPr>
                <w:rFonts w:hint="eastAsia"/>
                <w:sz w:val="21"/>
                <w:szCs w:val="21"/>
              </w:rPr>
              <w:t>，</w:t>
            </w:r>
            <w:r>
              <w:rPr>
                <w:sz w:val="21"/>
                <w:szCs w:val="21"/>
              </w:rPr>
              <w:t>收集后外售</w:t>
            </w:r>
          </w:p>
        </w:tc>
        <w:tc>
          <w:tcPr>
            <w:tcW w:w="2594" w:type="dxa"/>
            <w:tcBorders>
              <w:top w:val="single" w:color="auto" w:sz="4" w:space="0"/>
              <w:left w:val="single" w:color="auto" w:sz="4" w:space="0"/>
              <w:right w:val="single" w:color="auto" w:sz="4" w:space="0"/>
            </w:tcBorders>
            <w:vAlign w:val="center"/>
          </w:tcPr>
          <w:p>
            <w:pPr>
              <w:spacing w:line="240" w:lineRule="auto"/>
              <w:jc w:val="center"/>
              <w:rPr>
                <w:rFonts w:eastAsiaTheme="minorEastAsia"/>
                <w:sz w:val="21"/>
                <w:szCs w:val="21"/>
              </w:rPr>
            </w:pPr>
            <w:r>
              <w:rPr>
                <w:rFonts w:eastAsiaTheme="minorEastAsia"/>
                <w:bCs/>
                <w:sz w:val="21"/>
                <w:szCs w:val="21"/>
              </w:rPr>
              <w:t>《一般工业固体废物贮存、处置场污染控制标准》（GB18599-2001）及2013年修改单中有关规定；</w:t>
            </w:r>
          </w:p>
        </w:tc>
      </w:tr>
      <w:tr>
        <w:tblPrEx>
          <w:tblCellMar>
            <w:top w:w="0" w:type="dxa"/>
            <w:left w:w="85" w:type="dxa"/>
            <w:bottom w:w="0" w:type="dxa"/>
            <w:right w:w="85" w:type="dxa"/>
          </w:tblCellMar>
        </w:tblPrEx>
        <w:trPr>
          <w:cantSplit/>
          <w:trHeight w:val="516" w:hRule="atLeast"/>
          <w:jc w:val="center"/>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eastAsiaTheme="minorEastAsia"/>
                <w:sz w:val="21"/>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eastAsiaTheme="minorEastAsia"/>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1"/>
                <w:szCs w:val="21"/>
              </w:rPr>
            </w:pPr>
            <w:r>
              <w:rPr>
                <w:sz w:val="21"/>
                <w:szCs w:val="21"/>
              </w:rPr>
              <w:t>废机油、废手套、废机油桶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sz w:val="21"/>
                <w:szCs w:val="21"/>
              </w:rPr>
            </w:pPr>
            <w:r>
              <w:rPr>
                <w:sz w:val="21"/>
                <w:szCs w:val="21"/>
              </w:rPr>
              <w:t>危废暂存间储存，定期委托资质单位处理</w:t>
            </w:r>
          </w:p>
        </w:tc>
        <w:tc>
          <w:tcPr>
            <w:tcW w:w="259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eastAsiaTheme="minorEastAsia"/>
                <w:sz w:val="21"/>
                <w:szCs w:val="21"/>
              </w:rPr>
            </w:pPr>
            <w:r>
              <w:rPr>
                <w:rFonts w:eastAsiaTheme="minorEastAsia"/>
                <w:bCs/>
                <w:sz w:val="21"/>
                <w:szCs w:val="21"/>
              </w:rPr>
              <w:t>《危险废物贮存污染控制标准》（GB18597-2001）及2013修改单</w:t>
            </w:r>
          </w:p>
        </w:tc>
      </w:tr>
      <w:tr>
        <w:tblPrEx>
          <w:tblCellMar>
            <w:top w:w="0" w:type="dxa"/>
            <w:left w:w="85" w:type="dxa"/>
            <w:bottom w:w="0" w:type="dxa"/>
            <w:right w:w="85" w:type="dxa"/>
          </w:tblCellMar>
        </w:tblPrEx>
        <w:trPr>
          <w:cantSplit/>
          <w:trHeight w:val="516" w:hRule="atLeast"/>
          <w:jc w:val="center"/>
        </w:trPr>
        <w:tc>
          <w:tcPr>
            <w:tcW w:w="108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eastAsiaTheme="minorEastAsia"/>
                <w:sz w:val="21"/>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eastAsiaTheme="minorEastAsia"/>
                <w:sz w:val="21"/>
                <w:szCs w:val="21"/>
              </w:rPr>
            </w:pPr>
            <w:r>
              <w:rPr>
                <w:rFonts w:eastAsiaTheme="minorEastAsia"/>
                <w:sz w:val="21"/>
                <w:szCs w:val="21"/>
              </w:rPr>
              <w:t>办公生活</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sz w:val="21"/>
                <w:szCs w:val="21"/>
              </w:rPr>
            </w:pPr>
            <w:r>
              <w:rPr>
                <w:sz w:val="21"/>
                <w:szCs w:val="21"/>
              </w:rPr>
              <w:t>生活垃圾</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sz w:val="21"/>
                <w:szCs w:val="21"/>
              </w:rPr>
            </w:pPr>
            <w:r>
              <w:rPr>
                <w:sz w:val="21"/>
                <w:szCs w:val="21"/>
              </w:rPr>
              <w:t>厂内垃圾桶收集后，交于环卫部门统一清运</w:t>
            </w:r>
          </w:p>
        </w:tc>
        <w:tc>
          <w:tcPr>
            <w:tcW w:w="2594"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eastAsiaTheme="minorEastAsia"/>
                <w:sz w:val="21"/>
                <w:szCs w:val="21"/>
              </w:rPr>
            </w:pPr>
            <w:r>
              <w:rPr>
                <w:rFonts w:eastAsiaTheme="minorEastAsia"/>
                <w:sz w:val="21"/>
                <w:szCs w:val="21"/>
              </w:rPr>
              <w:t>（GB16889-2008）《生活垃圾填埋场污染物控制标准》</w:t>
            </w:r>
          </w:p>
        </w:tc>
      </w:tr>
      <w:tr>
        <w:tblPrEx>
          <w:tblCellMar>
            <w:top w:w="0" w:type="dxa"/>
            <w:left w:w="85" w:type="dxa"/>
            <w:bottom w:w="0" w:type="dxa"/>
            <w:right w:w="85" w:type="dxa"/>
          </w:tblCellMar>
        </w:tblPrEx>
        <w:trPr>
          <w:trHeight w:val="978"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eastAsiaTheme="minorEastAsia"/>
                <w:sz w:val="21"/>
                <w:szCs w:val="21"/>
              </w:rPr>
            </w:pPr>
            <w:r>
              <w:rPr>
                <w:rFonts w:eastAsiaTheme="minorEastAsia"/>
                <w:sz w:val="21"/>
                <w:szCs w:val="21"/>
              </w:rPr>
              <w:t>噪</w:t>
            </w:r>
          </w:p>
          <w:p>
            <w:pPr>
              <w:spacing w:line="240" w:lineRule="auto"/>
              <w:jc w:val="center"/>
              <w:rPr>
                <w:rFonts w:eastAsiaTheme="minorEastAsia"/>
                <w:sz w:val="21"/>
                <w:szCs w:val="21"/>
              </w:rPr>
            </w:pPr>
            <w:r>
              <w:rPr>
                <w:rFonts w:eastAsiaTheme="minorEastAsia"/>
                <w:sz w:val="21"/>
                <w:szCs w:val="21"/>
              </w:rPr>
              <w:t>声</w:t>
            </w:r>
          </w:p>
        </w:tc>
        <w:tc>
          <w:tcPr>
            <w:tcW w:w="5103"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rPr>
                <w:rFonts w:eastAsiaTheme="minorEastAsia"/>
                <w:sz w:val="21"/>
                <w:szCs w:val="21"/>
              </w:rPr>
            </w:pPr>
            <w:r>
              <w:rPr>
                <w:rFonts w:eastAsiaTheme="minorEastAsia"/>
                <w:sz w:val="21"/>
                <w:szCs w:val="21"/>
              </w:rPr>
              <w:t>项目噪声主要为</w:t>
            </w:r>
            <w:r>
              <w:rPr>
                <w:rFonts w:hint="eastAsia" w:eastAsiaTheme="minorEastAsia"/>
                <w:sz w:val="21"/>
                <w:szCs w:val="21"/>
              </w:rPr>
              <w:t>给料机、碎石机、滚筛、制砂机和洗砂机等设备工作时产生的机械噪声，噪声级在85-100dB（A）</w:t>
            </w:r>
            <w:r>
              <w:rPr>
                <w:rFonts w:eastAsiaTheme="minorEastAsia"/>
                <w:sz w:val="21"/>
                <w:szCs w:val="21"/>
              </w:rPr>
              <w:t>，设备基础减振、软连接</w:t>
            </w:r>
            <w:r>
              <w:rPr>
                <w:rFonts w:hint="eastAsia" w:eastAsiaTheme="minorEastAsia"/>
                <w:sz w:val="21"/>
                <w:szCs w:val="21"/>
              </w:rPr>
              <w:t>、</w:t>
            </w:r>
            <w:r>
              <w:rPr>
                <w:rFonts w:eastAsiaTheme="minorEastAsia"/>
                <w:sz w:val="21"/>
                <w:szCs w:val="21"/>
              </w:rPr>
              <w:t>厂房隔声</w:t>
            </w:r>
            <w:r>
              <w:rPr>
                <w:rFonts w:hint="eastAsia" w:eastAsiaTheme="minorEastAsia"/>
                <w:sz w:val="21"/>
                <w:szCs w:val="21"/>
              </w:rPr>
              <w:t>，</w:t>
            </w:r>
            <w:r>
              <w:rPr>
                <w:rFonts w:eastAsiaTheme="minorEastAsia"/>
                <w:sz w:val="21"/>
                <w:szCs w:val="21"/>
              </w:rPr>
              <w:t>经距离衰减后，对周围环境影响较小。</w:t>
            </w:r>
          </w:p>
        </w:tc>
        <w:tc>
          <w:tcPr>
            <w:tcW w:w="2594" w:type="dxa"/>
            <w:tcBorders>
              <w:top w:val="single" w:color="auto" w:sz="4" w:space="0"/>
              <w:left w:val="single" w:color="auto" w:sz="4" w:space="0"/>
              <w:bottom w:val="single" w:color="auto" w:sz="4" w:space="0"/>
              <w:right w:val="single" w:color="auto" w:sz="4" w:space="0"/>
            </w:tcBorders>
            <w:vAlign w:val="center"/>
          </w:tcPr>
          <w:p>
            <w:pPr>
              <w:spacing w:line="240" w:lineRule="auto"/>
              <w:rPr>
                <w:rFonts w:eastAsiaTheme="minorEastAsia"/>
                <w:sz w:val="21"/>
                <w:szCs w:val="21"/>
              </w:rPr>
            </w:pPr>
            <w:r>
              <w:rPr>
                <w:rFonts w:eastAsiaTheme="minorEastAsia"/>
                <w:sz w:val="21"/>
                <w:szCs w:val="21"/>
              </w:rPr>
              <w:t>《工业企业厂界环境噪声排放标准》（GB12348-2008）2类标准要求</w:t>
            </w:r>
          </w:p>
        </w:tc>
      </w:tr>
      <w:tr>
        <w:tblPrEx>
          <w:tblCellMar>
            <w:top w:w="0" w:type="dxa"/>
            <w:left w:w="85" w:type="dxa"/>
            <w:bottom w:w="0" w:type="dxa"/>
            <w:right w:w="85" w:type="dxa"/>
          </w:tblCellMar>
        </w:tblPrEx>
        <w:trPr>
          <w:trHeight w:val="1238" w:hRule="atLeast"/>
          <w:jc w:val="center"/>
        </w:trPr>
        <w:tc>
          <w:tcPr>
            <w:tcW w:w="8784"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b/>
                <w:bCs/>
                <w:sz w:val="21"/>
                <w:szCs w:val="21"/>
              </w:rPr>
            </w:pPr>
            <w:r>
              <w:rPr>
                <w:b/>
                <w:bCs/>
                <w:sz w:val="21"/>
                <w:szCs w:val="21"/>
              </w:rPr>
              <w:t>生态保护措施及预期效果：</w:t>
            </w:r>
          </w:p>
          <w:p>
            <w:pPr>
              <w:pStyle w:val="4"/>
              <w:spacing w:after="0" w:afterLines="0" w:line="288" w:lineRule="auto"/>
              <w:ind w:firstLine="420" w:firstLineChars="200"/>
              <w:rPr>
                <w:bCs w:val="0"/>
                <w:sz w:val="21"/>
                <w:szCs w:val="21"/>
              </w:rPr>
            </w:pPr>
            <w:r>
              <w:rPr>
                <w:bCs w:val="0"/>
                <w:sz w:val="21"/>
                <w:szCs w:val="21"/>
              </w:rPr>
              <w:t>本项目</w:t>
            </w:r>
            <w:r>
              <w:rPr>
                <w:rFonts w:hint="eastAsia"/>
                <w:bCs w:val="0"/>
                <w:sz w:val="21"/>
                <w:szCs w:val="21"/>
              </w:rPr>
              <w:t>场址</w:t>
            </w:r>
            <w:r>
              <w:rPr>
                <w:bCs w:val="0"/>
                <w:sz w:val="21"/>
                <w:szCs w:val="21"/>
              </w:rPr>
              <w:t>为原渣场</w:t>
            </w:r>
            <w:r>
              <w:rPr>
                <w:rFonts w:hint="eastAsia"/>
                <w:bCs w:val="0"/>
                <w:sz w:val="21"/>
                <w:szCs w:val="21"/>
              </w:rPr>
              <w:t>，运营期不涉及</w:t>
            </w:r>
            <w:r>
              <w:rPr>
                <w:bCs w:val="0"/>
                <w:sz w:val="21"/>
                <w:szCs w:val="21"/>
              </w:rPr>
              <w:t>生态影响</w:t>
            </w:r>
            <w:r>
              <w:rPr>
                <w:rFonts w:hint="eastAsia"/>
                <w:bCs w:val="0"/>
                <w:sz w:val="21"/>
                <w:szCs w:val="21"/>
              </w:rPr>
              <w:t>。</w:t>
            </w:r>
            <w:r>
              <w:rPr>
                <w:bCs w:val="0"/>
                <w:sz w:val="21"/>
                <w:szCs w:val="21"/>
              </w:rPr>
              <w:t>针对生产过程中产生的主要污染物采取综合性的污染防治措施，加强管理和监督检查</w:t>
            </w:r>
            <w:r>
              <w:rPr>
                <w:rFonts w:hint="eastAsia"/>
                <w:bCs w:val="0"/>
                <w:sz w:val="21"/>
                <w:szCs w:val="21"/>
              </w:rPr>
              <w:t>，</w:t>
            </w:r>
            <w:r>
              <w:rPr>
                <w:bCs w:val="0"/>
                <w:sz w:val="21"/>
                <w:szCs w:val="21"/>
              </w:rPr>
              <w:t>保证环保设备</w:t>
            </w:r>
            <w:r>
              <w:rPr>
                <w:rFonts w:hint="eastAsia"/>
                <w:bCs w:val="0"/>
                <w:sz w:val="21"/>
                <w:szCs w:val="21"/>
              </w:rPr>
              <w:t>正常</w:t>
            </w:r>
            <w:r>
              <w:rPr>
                <w:bCs w:val="0"/>
                <w:sz w:val="21"/>
                <w:szCs w:val="21"/>
              </w:rPr>
              <w:t>稳定运行，使各种污染物的排放值均能达到国家标准，</w:t>
            </w:r>
            <w:r>
              <w:rPr>
                <w:rFonts w:hint="eastAsia"/>
                <w:bCs w:val="0"/>
                <w:sz w:val="21"/>
                <w:szCs w:val="21"/>
              </w:rPr>
              <w:t>将</w:t>
            </w:r>
            <w:r>
              <w:rPr>
                <w:bCs w:val="0"/>
                <w:sz w:val="21"/>
                <w:szCs w:val="21"/>
              </w:rPr>
              <w:t>其对环境的影响</w:t>
            </w:r>
            <w:r>
              <w:rPr>
                <w:rFonts w:hint="eastAsia"/>
                <w:bCs w:val="0"/>
                <w:sz w:val="21"/>
                <w:szCs w:val="21"/>
              </w:rPr>
              <w:t>降至</w:t>
            </w:r>
            <w:r>
              <w:rPr>
                <w:bCs w:val="0"/>
                <w:sz w:val="21"/>
                <w:szCs w:val="21"/>
              </w:rPr>
              <w:t>最低程</w:t>
            </w:r>
            <w:r>
              <w:rPr>
                <w:rFonts w:hint="eastAsia"/>
                <w:bCs w:val="0"/>
                <w:sz w:val="21"/>
                <w:szCs w:val="21"/>
              </w:rPr>
              <w:t>度。</w:t>
            </w:r>
          </w:p>
        </w:tc>
      </w:tr>
    </w:tbl>
    <w:p>
      <w:pPr>
        <w:rPr>
          <w:b/>
          <w:sz w:val="32"/>
          <w:szCs w:val="32"/>
        </w:rPr>
        <w:sectPr>
          <w:pgSz w:w="11906" w:h="16838"/>
          <w:pgMar w:top="1440" w:right="1797" w:bottom="1440" w:left="1797" w:header="1191" w:footer="1191" w:gutter="0"/>
          <w:cols w:space="425" w:num="1"/>
          <w:docGrid w:type="linesAndChars" w:linePitch="312" w:charSpace="0"/>
        </w:sectPr>
      </w:pPr>
    </w:p>
    <w:p>
      <w:pPr>
        <w:keepNext/>
        <w:keepLines/>
        <w:outlineLvl w:val="0"/>
        <w:rPr>
          <w:rFonts w:asciiTheme="minorEastAsia" w:hAnsiTheme="minorEastAsia" w:eastAsiaTheme="minorEastAsia"/>
          <w:b/>
          <w:bCs/>
          <w:kern w:val="44"/>
        </w:rPr>
      </w:pPr>
      <w:bookmarkStart w:id="72" w:name="_Toc4070"/>
      <w:r>
        <w:rPr>
          <w:rFonts w:asciiTheme="minorEastAsia" w:hAnsiTheme="minorEastAsia" w:eastAsiaTheme="minorEastAsia"/>
          <w:b/>
          <w:bCs/>
          <w:kern w:val="44"/>
        </w:rPr>
        <w:t>结论与要求</w:t>
      </w:r>
      <w:bookmarkEnd w:id="72"/>
    </w:p>
    <w:tbl>
      <w:tblPr>
        <w:tblStyle w:val="2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9" w:hRule="atLeast"/>
          <w:jc w:val="center"/>
        </w:trPr>
        <w:tc>
          <w:tcPr>
            <w:tcW w:w="8528" w:type="dxa"/>
          </w:tcPr>
          <w:p>
            <w:pPr>
              <w:pStyle w:val="32"/>
              <w:widowControl w:val="0"/>
              <w:adjustRightInd w:val="0"/>
              <w:snapToGrid w:val="0"/>
              <w:spacing w:before="156" w:beforeLines="50"/>
              <w:ind w:firstLine="482"/>
              <w:rPr>
                <w:b/>
                <w:bCs/>
              </w:rPr>
            </w:pPr>
            <w:r>
              <w:rPr>
                <w:b/>
                <w:bCs/>
              </w:rPr>
              <w:t>一、结论</w:t>
            </w:r>
          </w:p>
          <w:p>
            <w:pPr>
              <w:widowControl w:val="0"/>
              <w:ind w:firstLine="480" w:firstLineChars="200"/>
              <w:rPr>
                <w:b/>
                <w:bCs/>
              </w:rPr>
            </w:pPr>
            <w:r>
              <w:rPr>
                <w:b/>
                <w:bCs/>
              </w:rPr>
              <w:t>1、项目概况</w:t>
            </w:r>
          </w:p>
          <w:p>
            <w:pPr>
              <w:widowControl w:val="0"/>
              <w:ind w:firstLine="480" w:firstLineChars="200"/>
            </w:pPr>
            <w:r>
              <w:rPr>
                <w:rFonts w:hint="eastAsia"/>
              </w:rPr>
              <w:t>旬阳县华拓工贸有限公司</w:t>
            </w:r>
            <w:r>
              <w:t>投资</w:t>
            </w:r>
            <w:r>
              <w:rPr>
                <w:rFonts w:hint="eastAsia"/>
              </w:rPr>
              <w:t>3</w:t>
            </w:r>
            <w:r>
              <w:t>00万元，在</w:t>
            </w:r>
            <w:r>
              <w:rPr>
                <w:rFonts w:hint="eastAsia"/>
              </w:rPr>
              <w:t>安康市镇坪县钟宝镇</w:t>
            </w:r>
            <w:r>
              <w:t>三坪村一组建设</w:t>
            </w:r>
            <w:r>
              <w:rPr>
                <w:rFonts w:hint="eastAsia"/>
              </w:rPr>
              <w:t>三坪村高速废渣循环再利用项目，</w:t>
            </w:r>
            <w:r>
              <w:t>项目占地面积</w:t>
            </w:r>
            <w:r>
              <w:rPr>
                <w:rFonts w:hint="eastAsia"/>
              </w:rPr>
              <w:t>3000m</w:t>
            </w:r>
            <w:r>
              <w:rPr>
                <w:rFonts w:hint="eastAsia"/>
                <w:vertAlign w:val="superscript"/>
              </w:rPr>
              <w:t>2</w:t>
            </w:r>
            <w:r>
              <w:rPr>
                <w:rFonts w:hint="eastAsia"/>
              </w:rPr>
              <w:t>，</w:t>
            </w:r>
            <w:r>
              <w:t>主要建设内容包括</w:t>
            </w:r>
            <w:r>
              <w:rPr>
                <w:rFonts w:hint="eastAsia"/>
              </w:rPr>
              <w:t>高速废渣加工</w:t>
            </w:r>
            <w:r>
              <w:t>生产线</w:t>
            </w:r>
            <w:r>
              <w:rPr>
                <w:rFonts w:hint="eastAsia"/>
              </w:rPr>
              <w:t>1条及</w:t>
            </w:r>
            <w:r>
              <w:t>其配套辅助设施</w:t>
            </w:r>
            <w:r>
              <w:rPr>
                <w:rStyle w:val="30"/>
                <w:rFonts w:hint="eastAsia"/>
              </w:rPr>
              <w:t>，</w:t>
            </w:r>
            <w:r>
              <w:t>主要对</w:t>
            </w:r>
            <w:r>
              <w:rPr>
                <w:rFonts w:hint="eastAsia"/>
              </w:rPr>
              <w:t>巫镇高速</w:t>
            </w:r>
            <w:r>
              <w:t>鸡心</w:t>
            </w:r>
            <w:r>
              <w:rPr>
                <w:rFonts w:hint="eastAsia"/>
              </w:rPr>
              <w:t>岭</w:t>
            </w:r>
            <w:r>
              <w:t>隧道洞渣进行加工处理</w:t>
            </w:r>
            <w:r>
              <w:rPr>
                <w:rFonts w:hint="eastAsia"/>
              </w:rPr>
              <w:t>。</w:t>
            </w:r>
          </w:p>
          <w:p>
            <w:pPr>
              <w:widowControl w:val="0"/>
              <w:ind w:firstLine="480" w:firstLineChars="200"/>
              <w:rPr>
                <w:b/>
                <w:bCs/>
              </w:rPr>
            </w:pPr>
            <w:r>
              <w:rPr>
                <w:rFonts w:hint="eastAsia"/>
                <w:b/>
                <w:bCs/>
              </w:rPr>
              <w:t>2、产业政策符合性</w:t>
            </w:r>
          </w:p>
          <w:p>
            <w:pPr>
              <w:widowControl w:val="0"/>
              <w:ind w:firstLine="480" w:firstLineChars="200"/>
              <w:rPr>
                <w:b/>
                <w:bCs/>
              </w:rPr>
            </w:pPr>
            <w:r>
              <w:t>本项目</w:t>
            </w:r>
            <w:r>
              <w:rPr>
                <w:rFonts w:hint="eastAsia"/>
                <w:szCs w:val="22"/>
              </w:rPr>
              <w:t>利用</w:t>
            </w:r>
            <w:r>
              <w:rPr>
                <w:szCs w:val="22"/>
              </w:rPr>
              <w:t>高速路施工废石渣加工碎石料</w:t>
            </w:r>
            <w:r>
              <w:rPr>
                <w:rFonts w:hint="eastAsia"/>
                <w:szCs w:val="22"/>
              </w:rPr>
              <w:t>，</w:t>
            </w:r>
            <w:r>
              <w:rPr>
                <w:szCs w:val="22"/>
              </w:rPr>
              <w:t>属固废综合</w:t>
            </w:r>
            <w:r>
              <w:rPr>
                <w:rFonts w:hint="eastAsia"/>
              </w:rPr>
              <w:t>利用</w:t>
            </w:r>
            <w:r>
              <w:t>项目</w:t>
            </w:r>
            <w:r>
              <w:rPr>
                <w:szCs w:val="22"/>
              </w:rPr>
              <w:t>，</w:t>
            </w:r>
            <w:r>
              <w:t>根据《产业结构调整指导目录（201</w:t>
            </w:r>
            <w:r>
              <w:rPr>
                <w:rFonts w:hint="eastAsia"/>
              </w:rPr>
              <w:t>9</w:t>
            </w:r>
            <w:r>
              <w:t>年本）》，本项目不在鼓励类、限制类以及淘汰类之列，项目工艺和所用设备无目录中规定淘汰类工艺装备</w:t>
            </w:r>
            <w:r>
              <w:rPr>
                <w:rFonts w:hint="eastAsia"/>
              </w:rPr>
              <w:t>，</w:t>
            </w:r>
            <w:r>
              <w:t>可视为允许类；</w:t>
            </w:r>
            <w:r>
              <w:rPr>
                <w:bCs/>
              </w:rPr>
              <w:t>且</w:t>
            </w:r>
            <w:r>
              <w:t>项目已取得</w:t>
            </w:r>
            <w:r>
              <w:rPr>
                <w:rFonts w:hint="eastAsia"/>
              </w:rPr>
              <w:t>镇坪县发展和改革局</w:t>
            </w:r>
            <w:r>
              <w:t>关于本项目的备案确认书（项目代码：2020-610927-30-03-049097），因此本项目的建设符合国家和地方产业政策。</w:t>
            </w:r>
          </w:p>
          <w:p>
            <w:pPr>
              <w:widowControl w:val="0"/>
              <w:ind w:firstLine="480" w:firstLineChars="200"/>
              <w:rPr>
                <w:b/>
                <w:bCs/>
              </w:rPr>
            </w:pPr>
            <w:r>
              <w:rPr>
                <w:rFonts w:hint="eastAsia"/>
                <w:b/>
                <w:bCs/>
              </w:rPr>
              <w:t>3</w:t>
            </w:r>
            <w:r>
              <w:rPr>
                <w:b/>
                <w:bCs/>
              </w:rPr>
              <w:t>、规划选址符合性</w:t>
            </w:r>
          </w:p>
          <w:p>
            <w:pPr>
              <w:widowControl w:val="0"/>
              <w:ind w:firstLine="480" w:firstLineChars="200"/>
              <w:rPr>
                <w:b/>
                <w:bCs/>
              </w:rPr>
            </w:pPr>
            <w:r>
              <w:rPr>
                <w:rFonts w:asciiTheme="minorEastAsia" w:hAnsiTheme="minorEastAsia" w:eastAsiaTheme="minorEastAsia"/>
              </w:rPr>
              <w:t>目选址于钟宝镇三坪村一组</w:t>
            </w:r>
            <w:r>
              <w:rPr>
                <w:rFonts w:hint="eastAsia" w:asciiTheme="minorEastAsia" w:hAnsiTheme="minorEastAsia" w:eastAsiaTheme="minorEastAsia"/>
              </w:rPr>
              <w:t>，占地</w:t>
            </w:r>
            <w:r>
              <w:rPr>
                <w:rFonts w:eastAsiaTheme="minorEastAsia"/>
              </w:rPr>
              <w:t>3000</w:t>
            </w:r>
            <w:r>
              <w:rPr>
                <w:rFonts w:asciiTheme="minorEastAsia" w:hAnsiTheme="minorEastAsia" w:eastAsiaTheme="minorEastAsia"/>
              </w:rPr>
              <w:t>平方米</w:t>
            </w:r>
            <w:r>
              <w:rPr>
                <w:rFonts w:hint="eastAsia" w:asciiTheme="minorEastAsia" w:hAnsiTheme="minorEastAsia" w:eastAsiaTheme="minorEastAsia"/>
              </w:rPr>
              <w:t>，用地为中铁十二局集团第四工程有限公司巫镇高速总承包指挥部五分部所属渣石场。</w:t>
            </w:r>
            <w:r>
              <w:t>根据现场调查，选址不涉及基本农田保护区、自然保护区、风景名胜区、饮用水水源保护区等环境敏感区域；项目所在区域</w:t>
            </w:r>
            <w:r>
              <w:rPr>
                <w:bCs/>
              </w:rPr>
              <w:t>环境空气质量、水环境质量、厂界四周的声环境质量均较好，有一定的环境容量；</w:t>
            </w:r>
            <w:r>
              <w:t>且厂址所在地道路交通便捷，供水、供电等基础设施较</w:t>
            </w:r>
            <w:r>
              <w:rPr>
                <w:rFonts w:hint="eastAsia"/>
              </w:rPr>
              <w:t>齐全</w:t>
            </w:r>
            <w:r>
              <w:t>。综上所述，项目选址合理。</w:t>
            </w:r>
          </w:p>
          <w:p>
            <w:pPr>
              <w:widowControl w:val="0"/>
              <w:ind w:firstLine="480" w:firstLineChars="200"/>
              <w:rPr>
                <w:b/>
                <w:bCs/>
              </w:rPr>
            </w:pPr>
            <w:r>
              <w:rPr>
                <w:rFonts w:hint="eastAsia"/>
                <w:b/>
                <w:bCs/>
              </w:rPr>
              <w:t>4、</w:t>
            </w:r>
            <w:r>
              <w:rPr>
                <w:b/>
                <w:bCs/>
              </w:rPr>
              <w:t>环境质量现状</w:t>
            </w:r>
          </w:p>
          <w:p>
            <w:pPr>
              <w:widowControl w:val="0"/>
              <w:ind w:firstLine="480" w:firstLineChars="200"/>
            </w:pPr>
            <w:r>
              <w:t>建设项目所在地为乡村地区，陕西省生态环境厅办公室发布的《201</w:t>
            </w:r>
            <w:r>
              <w:rPr>
                <w:rFonts w:hint="eastAsia"/>
              </w:rPr>
              <w:t>9</w:t>
            </w:r>
            <w:r>
              <w:t>年</w:t>
            </w:r>
            <w:r>
              <w:rPr>
                <w:rFonts w:hint="eastAsia"/>
              </w:rPr>
              <w:t>12月及</w:t>
            </w:r>
            <w:r>
              <w:t>1～12月全省环境空气质量状况》中</w:t>
            </w:r>
            <w:r>
              <w:rPr>
                <w:rFonts w:hint="eastAsia"/>
              </w:rPr>
              <w:t>安康市镇坪县</w:t>
            </w:r>
            <w:r>
              <w:t>的常规例行监测数据，PM</w:t>
            </w:r>
            <w:r>
              <w:rPr>
                <w:vertAlign w:val="subscript"/>
              </w:rPr>
              <w:t>10</w:t>
            </w:r>
            <w:r>
              <w:rPr>
                <w:rFonts w:hint="eastAsia"/>
              </w:rPr>
              <w:t>、</w:t>
            </w:r>
            <w:r>
              <w:t>PM</w:t>
            </w:r>
            <w:r>
              <w:rPr>
                <w:vertAlign w:val="subscript"/>
              </w:rPr>
              <w:t>2.5</w:t>
            </w:r>
            <w:r>
              <w:rPr>
                <w:rFonts w:hint="eastAsia"/>
              </w:rPr>
              <w:t>、</w:t>
            </w:r>
            <w:r>
              <w:t>SO</w:t>
            </w:r>
            <w:r>
              <w:rPr>
                <w:vertAlign w:val="subscript"/>
              </w:rPr>
              <w:t>2</w:t>
            </w:r>
            <w:r>
              <w:t>、NO</w:t>
            </w:r>
            <w:r>
              <w:rPr>
                <w:vertAlign w:val="subscript"/>
              </w:rPr>
              <w:t>2</w:t>
            </w:r>
            <w:r>
              <w:t>年均浓度</w:t>
            </w:r>
            <w:r>
              <w:rPr>
                <w:rFonts w:hint="eastAsia"/>
              </w:rPr>
              <w:t>，</w:t>
            </w:r>
            <w:r>
              <w:t>CO、O</w:t>
            </w:r>
            <w:r>
              <w:rPr>
                <w:vertAlign w:val="subscript"/>
              </w:rPr>
              <w:t>3</w:t>
            </w:r>
            <w:r>
              <w:t>百分位浓度均可满足《环境空气质量标准》（GB3095-2012）的二级标准要求</w:t>
            </w:r>
            <w:r>
              <w:rPr>
                <w:bCs/>
              </w:rPr>
              <w:t>，项目所在区域为达标区</w:t>
            </w:r>
            <w:r>
              <w:rPr>
                <w:rFonts w:hint="eastAsia"/>
              </w:rPr>
              <w:t>。</w:t>
            </w:r>
          </w:p>
          <w:p>
            <w:pPr>
              <w:widowControl w:val="0"/>
              <w:ind w:firstLine="480" w:firstLineChars="200"/>
            </w:pPr>
            <w:r>
              <w:t>根据监测报告，</w:t>
            </w:r>
            <w:r>
              <w:rPr>
                <w:rFonts w:hint="eastAsia"/>
              </w:rPr>
              <w:t>目所在地环境空气中TSP日均监测浓度均满足《环境空气质量标准》（GB3095-2012）二级标准要求。</w:t>
            </w:r>
          </w:p>
          <w:p>
            <w:pPr>
              <w:widowControl w:val="0"/>
              <w:ind w:firstLine="480" w:firstLineChars="200"/>
              <w:rPr>
                <w:b/>
                <w:bCs/>
              </w:rPr>
            </w:pPr>
            <w:r>
              <w:rPr>
                <w:rFonts w:hint="eastAsia"/>
                <w:b/>
                <w:bCs/>
              </w:rPr>
              <w:t>5</w:t>
            </w:r>
            <w:r>
              <w:rPr>
                <w:b/>
                <w:bCs/>
              </w:rPr>
              <w:t>、施工期环境影响分析</w:t>
            </w:r>
          </w:p>
          <w:p>
            <w:pPr>
              <w:widowControl w:val="0"/>
              <w:ind w:firstLine="480" w:firstLineChars="200"/>
            </w:pPr>
            <w:r>
              <w:t>施工期工程废水经集水池收集后回用，不对外排放；施工场地经过洒水降尘、保持车辆整洁等措施，可以有效控制施工场地粉尘的产生；通过合理安排施工时间、加强管理等措施，可以有效控制噪声源。生活垃圾在施工结束后清运至附近垃圾转运站；产生的少量建筑垃圾、废土方用于场地平整。</w:t>
            </w:r>
          </w:p>
          <w:p>
            <w:pPr>
              <w:widowControl w:val="0"/>
              <w:ind w:firstLine="480" w:firstLineChars="200"/>
            </w:pPr>
            <w:r>
              <w:t>本项目施工期较短，采取上述措施后，施工期对外环境的影响是暂时和较小的，其影响随着施工期的结束而消失。</w:t>
            </w:r>
          </w:p>
          <w:p>
            <w:pPr>
              <w:widowControl w:val="0"/>
              <w:ind w:firstLine="480" w:firstLineChars="200"/>
              <w:rPr>
                <w:b/>
                <w:bCs/>
              </w:rPr>
            </w:pPr>
            <w:r>
              <w:rPr>
                <w:rFonts w:hint="eastAsia"/>
                <w:b/>
                <w:bCs/>
              </w:rPr>
              <w:t>6</w:t>
            </w:r>
            <w:r>
              <w:rPr>
                <w:b/>
                <w:bCs/>
              </w:rPr>
              <w:t>、营运期环境影响分析</w:t>
            </w:r>
          </w:p>
          <w:p>
            <w:pPr>
              <w:widowControl w:val="0"/>
              <w:ind w:firstLine="480" w:firstLineChars="200"/>
            </w:pPr>
            <w:r>
              <w:t>（1）</w:t>
            </w:r>
            <w:r>
              <w:rPr>
                <w:rFonts w:hint="eastAsia"/>
              </w:rPr>
              <w:t>废气</w:t>
            </w:r>
          </w:p>
          <w:p>
            <w:pPr>
              <w:widowControl w:val="0"/>
              <w:ind w:firstLine="480" w:firstLineChars="200"/>
            </w:pPr>
            <w:r>
              <w:t>运营期废气主要是</w:t>
            </w:r>
            <w:r>
              <w:rPr>
                <w:bCs/>
              </w:rPr>
              <w:t>破碎筛分粉尘、制砂粉尘</w:t>
            </w:r>
            <w:r>
              <w:rPr>
                <w:rFonts w:hint="eastAsia"/>
                <w:bCs/>
              </w:rPr>
              <w:t>、产品</w:t>
            </w:r>
            <w:r>
              <w:rPr>
                <w:bCs/>
              </w:rPr>
              <w:t>装卸粉尘</w:t>
            </w:r>
            <w:r>
              <w:rPr>
                <w:rFonts w:hint="eastAsia"/>
                <w:bCs/>
              </w:rPr>
              <w:t>、</w:t>
            </w:r>
            <w:r>
              <w:rPr>
                <w:bCs/>
              </w:rPr>
              <w:t>原料卸料粉尘</w:t>
            </w:r>
            <w:r>
              <w:rPr>
                <w:rFonts w:hint="eastAsia"/>
                <w:bCs/>
              </w:rPr>
              <w:t>和</w:t>
            </w:r>
            <w:r>
              <w:rPr>
                <w:bCs/>
              </w:rPr>
              <w:t>运输</w:t>
            </w:r>
            <w:r>
              <w:rPr>
                <w:rFonts w:hint="eastAsia"/>
                <w:bCs/>
              </w:rPr>
              <w:t>车辆</w:t>
            </w:r>
            <w:r>
              <w:rPr>
                <w:bCs/>
              </w:rPr>
              <w:t>扬尘</w:t>
            </w:r>
            <w:r>
              <w:rPr>
                <w:rFonts w:hint="eastAsia"/>
                <w:bCs/>
              </w:rPr>
              <w:t>，</w:t>
            </w:r>
            <w:r>
              <w:rPr>
                <w:bCs/>
              </w:rPr>
              <w:t>以及食堂油烟</w:t>
            </w:r>
            <w:r>
              <w:t>。</w:t>
            </w:r>
          </w:p>
          <w:p>
            <w:pPr>
              <w:widowControl w:val="0"/>
              <w:ind w:firstLine="480" w:firstLineChars="200"/>
            </w:pPr>
            <w:r>
              <w:rPr>
                <w:rFonts w:hint="eastAsia" w:ascii="宋体" w:hAnsi="宋体"/>
              </w:rPr>
              <w:t>①</w:t>
            </w:r>
            <w:r>
              <w:rPr>
                <w:rFonts w:hint="eastAsia"/>
              </w:rPr>
              <w:t>破碎筛分粉尘：通过</w:t>
            </w:r>
            <w:r>
              <w:t>在封闭厂房内</w:t>
            </w:r>
            <w:r>
              <w:rPr>
                <w:rFonts w:hint="eastAsia"/>
              </w:rPr>
              <w:t>对</w:t>
            </w:r>
            <w:r>
              <w:t>给料机</w:t>
            </w:r>
            <w:r>
              <w:rPr>
                <w:rFonts w:hint="eastAsia"/>
              </w:rPr>
              <w:t>、</w:t>
            </w:r>
            <w:r>
              <w:t>碎石机及滚筛区域</w:t>
            </w:r>
            <w:r>
              <w:rPr>
                <w:rFonts w:hint="eastAsia"/>
              </w:rPr>
              <w:t>进一步</w:t>
            </w:r>
            <w:r>
              <w:t>再</w:t>
            </w:r>
            <w:r>
              <w:rPr>
                <w:rFonts w:hint="eastAsia"/>
              </w:rPr>
              <w:t>设置全封闭</w:t>
            </w:r>
            <w:r>
              <w:t>围挡</w:t>
            </w:r>
            <w:r>
              <w:rPr>
                <w:rFonts w:hint="eastAsia"/>
              </w:rPr>
              <w:t>，整个区域相当于一个沉降室，对破碎筛分粉尘进行沉降；</w:t>
            </w:r>
            <w:r>
              <w:rPr>
                <w:rFonts w:hint="eastAsia" w:ascii="宋体" w:hAnsi="宋体"/>
              </w:rPr>
              <w:t>②</w:t>
            </w:r>
            <w:r>
              <w:rPr>
                <w:rFonts w:hint="eastAsia"/>
              </w:rPr>
              <w:t>制砂粉尘：采取加强车间密闭，分别在滚筛到下料斗的传送带上空、制砂机进出料口安装雾化喷头对</w:t>
            </w:r>
            <w:r>
              <w:t>粉尘进行</w:t>
            </w:r>
            <w:r>
              <w:rPr>
                <w:rFonts w:hint="eastAsia"/>
              </w:rPr>
              <w:t>喷雾</w:t>
            </w:r>
            <w:r>
              <w:t>洒水降尘</w:t>
            </w:r>
            <w:r>
              <w:rPr>
                <w:rFonts w:hint="eastAsia"/>
              </w:rPr>
              <w:t>；</w:t>
            </w:r>
            <w:r>
              <w:rPr>
                <w:rFonts w:hint="eastAsia" w:ascii="宋体" w:hAnsi="宋体"/>
              </w:rPr>
              <w:t>③</w:t>
            </w:r>
            <w:r>
              <w:rPr>
                <w:rFonts w:hint="eastAsia"/>
              </w:rPr>
              <w:t>产品区装卸粉尘：采取加强产品区密闭，厂房顶部安装雾化喷头对粉尘进行洒水降尘；</w:t>
            </w:r>
            <w:r>
              <w:rPr>
                <w:rFonts w:hint="eastAsia" w:ascii="宋体" w:hAnsi="宋体"/>
              </w:rPr>
              <w:t>④</w:t>
            </w:r>
            <w:r>
              <w:rPr>
                <w:rFonts w:hint="eastAsia"/>
              </w:rPr>
              <w:t>原料卸料粉尘：采取沾湿土工布遮盖，并在沿原料</w:t>
            </w:r>
            <w:r>
              <w:rPr>
                <w:rFonts w:hint="eastAsia"/>
                <w:bCs/>
                <w:color w:val="000000"/>
                <w:szCs w:val="22"/>
              </w:rPr>
              <w:t>原料堆场装卸区域及铲车运送通道上</w:t>
            </w:r>
            <w:r>
              <w:rPr>
                <w:rFonts w:hint="eastAsia"/>
              </w:rPr>
              <w:t>安装雾化喷头对卸料粉尘进行洒水降尘；</w:t>
            </w:r>
            <w:r>
              <w:rPr>
                <w:rFonts w:hint="eastAsia" w:ascii="宋体" w:hAnsi="宋体"/>
              </w:rPr>
              <w:t>⑤</w:t>
            </w:r>
            <w:r>
              <w:rPr>
                <w:rFonts w:hint="eastAsia"/>
              </w:rPr>
              <w:t>运输车辆扬尘：</w:t>
            </w:r>
            <w:r>
              <w:rPr>
                <w:rFonts w:hint="eastAsia"/>
                <w:bCs/>
              </w:rPr>
              <w:t>采取</w:t>
            </w:r>
            <w:r>
              <w:rPr>
                <w:rFonts w:hint="eastAsia" w:hAnsi="宋体" w:cs="宋体"/>
                <w:color w:val="000000"/>
                <w:kern w:val="0"/>
                <w:lang w:bidi="ar"/>
              </w:rPr>
              <w:t>对厂区进出道路硬化处理、沿路安装</w:t>
            </w:r>
            <w:r>
              <w:rPr>
                <w:rFonts w:hint="eastAsia"/>
              </w:rPr>
              <w:t>雾化喷头</w:t>
            </w:r>
            <w:r>
              <w:rPr>
                <w:rFonts w:hint="eastAsia" w:hAnsi="宋体" w:cs="宋体"/>
                <w:color w:val="000000"/>
                <w:kern w:val="0"/>
                <w:lang w:bidi="ar"/>
              </w:rPr>
              <w:t>，定期洒水，保持清洁，对进出车辆加强管理，车厢用篷布遮盖，车辆出厂前冲洗干净，限制车速，严禁运输遗撒。</w:t>
            </w:r>
            <w:r>
              <w:rPr>
                <w:rFonts w:hint="eastAsia" w:ascii="宋体" w:hAnsi="宋体" w:cs="宋体"/>
                <w:color w:val="000000"/>
                <w:kern w:val="0"/>
                <w:lang w:bidi="ar"/>
              </w:rPr>
              <w:t>采取以上所有措施后</w:t>
            </w:r>
            <w:r>
              <w:t>，粉尘排放量较小，</w:t>
            </w:r>
            <w:r>
              <w:rPr>
                <w:bCs/>
              </w:rPr>
              <w:t>对周围大气环境影响较小。</w:t>
            </w:r>
          </w:p>
          <w:p>
            <w:pPr>
              <w:widowControl w:val="0"/>
              <w:ind w:firstLine="480" w:firstLineChars="200"/>
            </w:pPr>
            <w:r>
              <w:t>（2）废水</w:t>
            </w:r>
          </w:p>
          <w:p>
            <w:pPr>
              <w:widowControl w:val="0"/>
              <w:ind w:firstLine="480" w:firstLineChars="200"/>
            </w:pPr>
            <w:r>
              <w:t>项目运营期废水主要为生活污水和生产废水。</w:t>
            </w:r>
          </w:p>
          <w:p>
            <w:pPr>
              <w:widowControl w:val="0"/>
              <w:ind w:firstLine="480" w:firstLineChars="200"/>
            </w:pPr>
            <w:r>
              <w:rPr>
                <w:rFonts w:hint="eastAsia"/>
              </w:rPr>
              <w:t>生活污水：本</w:t>
            </w:r>
            <w:r>
              <w:t>项目生活污水产生量为</w:t>
            </w:r>
            <w:r>
              <w:rPr>
                <w:rFonts w:hint="eastAsia"/>
              </w:rPr>
              <w:t>0.384</w:t>
            </w:r>
            <w:r>
              <w:t>m</w:t>
            </w:r>
            <w:r>
              <w:rPr>
                <w:vertAlign w:val="superscript"/>
              </w:rPr>
              <w:t>3</w:t>
            </w:r>
            <w:r>
              <w:t>/d</w:t>
            </w:r>
            <w:r>
              <w:rPr>
                <w:rFonts w:hint="eastAsia"/>
              </w:rPr>
              <w:t>、</w:t>
            </w:r>
            <w:r>
              <w:t>99.84m</w:t>
            </w:r>
            <w:r>
              <w:rPr>
                <w:vertAlign w:val="superscript"/>
              </w:rPr>
              <w:t>3</w:t>
            </w:r>
            <w:r>
              <w:t>/a，生活污水经厂区化粪池处理后作为农肥用于周边</w:t>
            </w:r>
            <w:r>
              <w:rPr>
                <w:rFonts w:hint="eastAsia"/>
              </w:rPr>
              <w:t>林地浇灌</w:t>
            </w:r>
            <w:r>
              <w:t>，不外排。</w:t>
            </w:r>
          </w:p>
          <w:p>
            <w:pPr>
              <w:widowControl w:val="0"/>
              <w:ind w:firstLine="480" w:firstLineChars="200"/>
            </w:pPr>
            <w:r>
              <w:t>生产废水</w:t>
            </w:r>
            <w:r>
              <w:rPr>
                <w:rFonts w:hint="eastAsia"/>
              </w:rPr>
              <w:t>：洗砂废水</w:t>
            </w:r>
            <w:r>
              <w:t>产生量为</w:t>
            </w:r>
            <w:r>
              <w:rPr>
                <w:rFonts w:hint="eastAsia"/>
              </w:rPr>
              <w:t>9.23</w:t>
            </w:r>
            <w:r>
              <w:t>m</w:t>
            </w:r>
            <w:r>
              <w:rPr>
                <w:vertAlign w:val="superscript"/>
              </w:rPr>
              <w:t>3</w:t>
            </w:r>
            <w:r>
              <w:t>/d</w:t>
            </w:r>
            <w:r>
              <w:rPr>
                <w:rFonts w:hint="eastAsia"/>
              </w:rPr>
              <w:t>、2400</w:t>
            </w:r>
            <w:r>
              <w:t>m</w:t>
            </w:r>
            <w:r>
              <w:rPr>
                <w:vertAlign w:val="superscript"/>
              </w:rPr>
              <w:t>3</w:t>
            </w:r>
            <w:r>
              <w:t>/a</w:t>
            </w:r>
            <w:r>
              <w:rPr>
                <w:rFonts w:hint="eastAsia"/>
              </w:rPr>
              <w:t>，运输</w:t>
            </w:r>
            <w:r>
              <w:t>车辆冲洗废水产生量为</w:t>
            </w:r>
            <w:r>
              <w:rPr>
                <w:rFonts w:hint="eastAsia"/>
              </w:rPr>
              <w:t>0.54</w:t>
            </w:r>
            <w:r>
              <w:t>m</w:t>
            </w:r>
            <w:r>
              <w:rPr>
                <w:vertAlign w:val="superscript"/>
              </w:rPr>
              <w:t>3</w:t>
            </w:r>
            <w:r>
              <w:t>/d</w:t>
            </w:r>
            <w:r>
              <w:rPr>
                <w:rFonts w:hint="eastAsia"/>
              </w:rPr>
              <w:t>、140.4</w:t>
            </w:r>
            <w:r>
              <w:t>m</w:t>
            </w:r>
            <w:r>
              <w:rPr>
                <w:vertAlign w:val="superscript"/>
              </w:rPr>
              <w:t>3</w:t>
            </w:r>
            <w:r>
              <w:t>/a</w:t>
            </w:r>
            <w:r>
              <w:rPr>
                <w:rFonts w:hint="eastAsia"/>
              </w:rPr>
              <w:t>，</w:t>
            </w:r>
            <w:r>
              <w:t>进入沉淀池，经沉淀处理后</w:t>
            </w:r>
            <w:r>
              <w:rPr>
                <w:rFonts w:hint="eastAsia"/>
              </w:rPr>
              <w:t>循环</w:t>
            </w:r>
            <w:r>
              <w:t>使用</w:t>
            </w:r>
            <w:r>
              <w:rPr>
                <w:rFonts w:hint="eastAsia"/>
              </w:rPr>
              <w:t>，</w:t>
            </w:r>
            <w:r>
              <w:t>不外排；喷雾废水部分进入产品</w:t>
            </w:r>
            <w:r>
              <w:rPr>
                <w:rFonts w:hint="eastAsia"/>
              </w:rPr>
              <w:t>，</w:t>
            </w:r>
            <w:r>
              <w:t>部分随粉尘沉降，不形成径流。</w:t>
            </w:r>
          </w:p>
          <w:p>
            <w:pPr>
              <w:widowControl w:val="0"/>
              <w:ind w:firstLine="480"/>
            </w:pPr>
            <w:r>
              <w:rPr>
                <w:rFonts w:hint="eastAsia"/>
              </w:rPr>
              <w:t>综上所述</w:t>
            </w:r>
            <w:r>
              <w:t>，本项目运营期生产废水对周边地表水环境影响不大。</w:t>
            </w:r>
          </w:p>
          <w:p>
            <w:pPr>
              <w:widowControl w:val="0"/>
              <w:tabs>
                <w:tab w:val="left" w:leader="middleDot" w:pos="8399"/>
              </w:tabs>
              <w:ind w:firstLine="480" w:firstLineChars="200"/>
            </w:pPr>
            <w:r>
              <w:t>（3）噪声</w:t>
            </w:r>
          </w:p>
          <w:p>
            <w:pPr>
              <w:widowControl w:val="0"/>
              <w:ind w:firstLine="480" w:firstLineChars="200"/>
            </w:pPr>
            <w:r>
              <w:t>运营期噪声主要为各机械设备运行产生的噪声，经采取基础减振、软连接</w:t>
            </w:r>
            <w:r>
              <w:rPr>
                <w:rFonts w:hint="eastAsia"/>
              </w:rPr>
              <w:t>、</w:t>
            </w:r>
            <w:r>
              <w:t>厂房隔声等降噪措施后，厂界噪声</w:t>
            </w:r>
            <w:r>
              <w:rPr>
                <w:rFonts w:hint="eastAsia"/>
              </w:rPr>
              <w:t>贡献值均</w:t>
            </w:r>
            <w:r>
              <w:t>可满足《工业企业厂界环境噪声排放标准》（GB12348-2008）2类标准限值要求，对周围</w:t>
            </w:r>
            <w:r>
              <w:rPr>
                <w:rFonts w:hint="eastAsia"/>
              </w:rPr>
              <w:t>声</w:t>
            </w:r>
            <w:r>
              <w:t>环境影响较小。</w:t>
            </w:r>
          </w:p>
          <w:p>
            <w:pPr>
              <w:widowControl w:val="0"/>
              <w:ind w:firstLine="480" w:firstLineChars="200"/>
            </w:pPr>
            <w:r>
              <w:t>对于运输车辆噪声，建设方应加强车辆管理，优化运输路线，要求车辆不可超载，在行驶过程中途径居民点时应减速慢行，禁止鸣笛，夜间进行运输作业时应规定行驶速度不超过40km/h，采取上述措施后预计对当地声环境影响较小。</w:t>
            </w:r>
          </w:p>
          <w:p>
            <w:pPr>
              <w:widowControl w:val="0"/>
              <w:ind w:firstLine="480" w:firstLineChars="200"/>
            </w:pPr>
            <w:r>
              <w:t>（4）固废</w:t>
            </w:r>
          </w:p>
          <w:p>
            <w:pPr>
              <w:widowControl w:val="0"/>
              <w:ind w:firstLine="480" w:firstLineChars="200"/>
            </w:pPr>
            <w:r>
              <w:t>本项目产生的固体废物主要包括：一般工业固废（沉淀池底</w:t>
            </w:r>
            <w:r>
              <w:rPr>
                <w:rFonts w:hint="eastAsia"/>
              </w:rPr>
              <w:t>渣</w:t>
            </w:r>
            <w:r>
              <w:t>）</w:t>
            </w:r>
            <w:r>
              <w:rPr>
                <w:rFonts w:hint="eastAsia"/>
              </w:rPr>
              <w:t>、</w:t>
            </w:r>
            <w:r>
              <w:t>危险废物（废机油及含油废弃物）</w:t>
            </w:r>
            <w:r>
              <w:rPr>
                <w:rFonts w:hint="eastAsia"/>
              </w:rPr>
              <w:t>和</w:t>
            </w:r>
            <w:r>
              <w:t>生活垃圾。</w:t>
            </w:r>
          </w:p>
          <w:p>
            <w:pPr>
              <w:widowControl w:val="0"/>
              <w:autoSpaceDE w:val="0"/>
              <w:autoSpaceDN w:val="0"/>
              <w:ind w:firstLine="480" w:firstLineChars="200"/>
            </w:pPr>
            <w:r>
              <w:rPr>
                <w:highlight w:val="green"/>
              </w:rPr>
              <w:t>沉淀池底渣经泥浆压滤一体机处理成泥饼</w:t>
            </w:r>
            <w:r>
              <w:rPr>
                <w:rFonts w:hint="eastAsia"/>
                <w:highlight w:val="green"/>
              </w:rPr>
              <w:t>，</w:t>
            </w:r>
            <w:r>
              <w:rPr>
                <w:highlight w:val="green"/>
              </w:rPr>
              <w:t>与其他不能加工利用的</w:t>
            </w:r>
            <w:r>
              <w:rPr>
                <w:rFonts w:hint="eastAsia"/>
                <w:highlight w:val="green"/>
              </w:rPr>
              <w:t>废弃</w:t>
            </w:r>
            <w:r>
              <w:rPr>
                <w:highlight w:val="green"/>
              </w:rPr>
              <w:t>洞渣一起</w:t>
            </w:r>
            <w:r>
              <w:rPr>
                <w:rFonts w:hint="eastAsia"/>
                <w:highlight w:val="green"/>
              </w:rPr>
              <w:t>堆放在</w:t>
            </w:r>
            <w:r>
              <w:rPr>
                <w:highlight w:val="green"/>
              </w:rPr>
              <w:t>弃渣场</w:t>
            </w:r>
            <w:r>
              <w:rPr>
                <w:rFonts w:hint="eastAsia"/>
                <w:highlight w:val="green"/>
              </w:rPr>
              <w:t>，采取</w:t>
            </w:r>
            <w:r>
              <w:rPr>
                <w:highlight w:val="green"/>
              </w:rPr>
              <w:t>碾平</w:t>
            </w:r>
            <w:r>
              <w:rPr>
                <w:rFonts w:hint="eastAsia"/>
                <w:highlight w:val="green"/>
              </w:rPr>
              <w:t>，</w:t>
            </w:r>
            <w:r>
              <w:rPr>
                <w:highlight w:val="green"/>
              </w:rPr>
              <w:t>硬化等措施妥善处置</w:t>
            </w:r>
            <w:r>
              <w:rPr>
                <w:rFonts w:hint="eastAsia"/>
                <w:highlight w:val="green"/>
              </w:rPr>
              <w:t>，滤液回用于生产。</w:t>
            </w:r>
            <w:r>
              <w:t>危险废物</w:t>
            </w:r>
            <w:r>
              <w:rPr>
                <w:rFonts w:hint="eastAsia"/>
              </w:rPr>
              <w:t>采用</w:t>
            </w:r>
            <w:r>
              <w:t>专用容器收集，危废暂存间暂存，</w:t>
            </w:r>
            <w:r>
              <w:rPr>
                <w:rFonts w:hint="eastAsia"/>
              </w:rPr>
              <w:t>定期</w:t>
            </w:r>
            <w:r>
              <w:t>交由有资质单位处理</w:t>
            </w:r>
            <w:r>
              <w:rPr>
                <w:rFonts w:hint="eastAsia"/>
              </w:rPr>
              <w:t>。</w:t>
            </w:r>
            <w:r>
              <w:t>生活垃圾垃圾桶收集，环卫部门</w:t>
            </w:r>
            <w:r>
              <w:rPr>
                <w:rFonts w:hint="eastAsia"/>
              </w:rPr>
              <w:t>统一</w:t>
            </w:r>
            <w:r>
              <w:t>清运处理，对周围环境的影响较小。</w:t>
            </w:r>
          </w:p>
          <w:p>
            <w:pPr>
              <w:widowControl w:val="0"/>
              <w:ind w:firstLine="480" w:firstLineChars="200"/>
              <w:rPr>
                <w:b/>
                <w:bCs/>
              </w:rPr>
            </w:pPr>
            <w:r>
              <w:rPr>
                <w:rFonts w:hint="eastAsia"/>
                <w:b/>
                <w:bCs/>
              </w:rPr>
              <w:t>7</w:t>
            </w:r>
            <w:r>
              <w:rPr>
                <w:b/>
                <w:bCs/>
              </w:rPr>
              <w:t>、</w:t>
            </w:r>
            <w:r>
              <w:rPr>
                <w:rFonts w:hint="eastAsia"/>
                <w:b/>
                <w:bCs/>
              </w:rPr>
              <w:t>总</w:t>
            </w:r>
            <w:r>
              <w:rPr>
                <w:b/>
                <w:bCs/>
              </w:rPr>
              <w:t>结论</w:t>
            </w:r>
          </w:p>
          <w:p>
            <w:pPr>
              <w:widowControl w:val="0"/>
              <w:ind w:firstLine="480" w:firstLineChars="200"/>
            </w:pPr>
            <w:r>
              <w:t>项目建设符合国家产业政策、相关规划及环境管理政策要求；在落实工程设计和本评价提出的各项污染防治措施后，能够实现各污染源的主要污染物稳定达标排放，对周围环境影响较小，可达到区域环境质量目标要求。因此，从满足环境功能区划及改善环境质量目标方面分析，该项目的建设是可行的。</w:t>
            </w:r>
          </w:p>
          <w:p>
            <w:pPr>
              <w:widowControl w:val="0"/>
              <w:adjustRightInd w:val="0"/>
              <w:snapToGrid w:val="0"/>
              <w:ind w:firstLine="480" w:firstLineChars="200"/>
              <w:rPr>
                <w:b/>
                <w:bCs/>
              </w:rPr>
            </w:pPr>
            <w:r>
              <w:rPr>
                <w:b/>
                <w:bCs/>
              </w:rPr>
              <w:t>二、要求与建议</w:t>
            </w:r>
          </w:p>
          <w:p>
            <w:pPr>
              <w:widowControl w:val="0"/>
              <w:adjustRightInd w:val="0"/>
              <w:snapToGrid w:val="0"/>
              <w:ind w:firstLine="480" w:firstLineChars="200"/>
              <w:rPr>
                <w:bCs/>
              </w:rPr>
            </w:pPr>
            <w:r>
              <w:rPr>
                <w:rFonts w:hint="eastAsia"/>
              </w:rPr>
              <w:t>1、</w:t>
            </w:r>
            <w:r>
              <w:rPr>
                <w:bCs/>
              </w:rPr>
              <w:t>必须在装卸处配备喷淋等防尘设施，并保持防尘设施的正常使用</w:t>
            </w:r>
            <w:r>
              <w:rPr>
                <w:rFonts w:hint="eastAsia"/>
                <w:bCs/>
              </w:rPr>
              <w:t>；</w:t>
            </w:r>
            <w:r>
              <w:rPr>
                <w:bCs/>
              </w:rPr>
              <w:t>原料堆场必须遮盖</w:t>
            </w:r>
            <w:r>
              <w:rPr>
                <w:rFonts w:hint="eastAsia"/>
                <w:bCs/>
              </w:rPr>
              <w:t>，</w:t>
            </w:r>
            <w:r>
              <w:rPr>
                <w:bCs/>
              </w:rPr>
              <w:t>严禁露天</w:t>
            </w:r>
            <w:r>
              <w:rPr>
                <w:rFonts w:hint="eastAsia"/>
                <w:bCs/>
              </w:rPr>
              <w:t>堆放；</w:t>
            </w:r>
          </w:p>
          <w:p>
            <w:pPr>
              <w:widowControl w:val="0"/>
              <w:adjustRightInd w:val="0"/>
              <w:snapToGrid w:val="0"/>
              <w:ind w:firstLine="480" w:firstLineChars="200"/>
            </w:pPr>
            <w:r>
              <w:rPr>
                <w:rFonts w:hint="eastAsia"/>
                <w:highlight w:val="green"/>
              </w:rPr>
              <w:t>2、沉淀池底渣必须按要求进行压滤干化处理，在渣场妥善处置，确保不造成二次污染；</w:t>
            </w:r>
          </w:p>
          <w:p>
            <w:pPr>
              <w:widowControl w:val="0"/>
              <w:adjustRightInd w:val="0"/>
              <w:snapToGrid w:val="0"/>
              <w:ind w:firstLine="480" w:firstLineChars="200"/>
            </w:pPr>
            <w:r>
              <w:rPr>
                <w:rFonts w:hint="eastAsia"/>
              </w:rPr>
              <w:t>3、</w:t>
            </w:r>
            <w:r>
              <w:rPr>
                <w:kern w:val="0"/>
              </w:rPr>
              <w:t>应设专门的环境管理人员，加强环保设施的维护与管理，确保其正常运行，三废达标排放</w:t>
            </w:r>
            <w:r>
              <w:t>；</w:t>
            </w:r>
          </w:p>
          <w:p>
            <w:pPr>
              <w:widowControl w:val="0"/>
              <w:adjustRightInd w:val="0"/>
              <w:snapToGrid w:val="0"/>
              <w:ind w:firstLine="480" w:firstLineChars="200"/>
            </w:pPr>
            <w:r>
              <w:t>4</w:t>
            </w:r>
            <w:r>
              <w:rPr>
                <w:rFonts w:hint="eastAsia"/>
              </w:rPr>
              <w:t>、</w:t>
            </w:r>
            <w:r>
              <w:t>定期维护检修环保设施，确保本项目环保设施的正常运行和正常的处理效率，杜绝项目事故发生</w:t>
            </w:r>
            <w:r>
              <w:rPr>
                <w:rFonts w:hint="eastAsia"/>
              </w:rPr>
              <w:t>；</w:t>
            </w:r>
          </w:p>
          <w:p>
            <w:pPr>
              <w:pStyle w:val="2"/>
              <w:widowControl w:val="0"/>
              <w:ind w:firstLine="480" w:firstLineChars="200"/>
              <w:outlineLvl w:val="1"/>
              <w:rPr>
                <w:rFonts w:ascii="Times New Roman" w:hAnsi="Times New Roman" w:eastAsiaTheme="minorEastAsia"/>
                <w:b w:val="0"/>
                <w:sz w:val="24"/>
              </w:rPr>
            </w:pPr>
            <w:r>
              <w:rPr>
                <w:rFonts w:ascii="Times New Roman" w:hAnsi="Times New Roman" w:eastAsiaTheme="minorEastAsia"/>
                <w:b w:val="0"/>
                <w:sz w:val="24"/>
              </w:rPr>
              <w:t>5</w:t>
            </w:r>
            <w:r>
              <w:rPr>
                <w:rFonts w:hint="eastAsia" w:ascii="Times New Roman" w:hAnsi="Times New Roman" w:eastAsiaTheme="minorEastAsia"/>
                <w:b w:val="0"/>
                <w:sz w:val="24"/>
              </w:rPr>
              <w:t>、</w:t>
            </w:r>
            <w:r>
              <w:rPr>
                <w:rFonts w:ascii="Times New Roman" w:hAnsi="Times New Roman" w:eastAsiaTheme="minorEastAsia"/>
                <w:b w:val="0"/>
                <w:sz w:val="24"/>
              </w:rPr>
              <w:t>项目应认真落实本报告提出的污染防治措施，积极配合当地环境保护管理部门的监督和管理</w:t>
            </w:r>
            <w:r>
              <w:rPr>
                <w:rFonts w:hint="eastAsia" w:ascii="Times New Roman" w:hAnsi="Times New Roman" w:eastAsiaTheme="minorEastAsia"/>
                <w:b w:val="0"/>
                <w:sz w:val="24"/>
              </w:rPr>
              <w:t>。</w:t>
            </w:r>
          </w:p>
          <w:p>
            <w:pPr>
              <w:widowControl w:val="0"/>
            </w:pPr>
          </w:p>
        </w:tc>
      </w:tr>
    </w:tbl>
    <w:p>
      <w:pPr>
        <w:pStyle w:val="2"/>
        <w:spacing w:line="20" w:lineRule="exact"/>
        <w:rPr>
          <w:rFonts w:ascii="Times New Roman" w:hAnsi="Times New Roman"/>
        </w:rPr>
      </w:pPr>
    </w:p>
    <w:sectPr>
      <w:pgSz w:w="11906" w:h="16838"/>
      <w:pgMar w:top="1440" w:right="1797" w:bottom="1440" w:left="1797" w:header="1191" w:footer="1191"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auto"/>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26"/>
      <w:jc w:val="center"/>
      <w:rPr>
        <w:b/>
      </w:rPr>
    </w:pPr>
    <w:r>
      <w:rPr>
        <w:b/>
      </w:rPr>
      <w:fldChar w:fldCharType="begin"/>
    </w:r>
    <w:r>
      <w:rPr>
        <w:b/>
      </w:rPr>
      <w:instrText xml:space="preserve">PAGE   \* MERGEFORMAT</w:instrText>
    </w:r>
    <w:r>
      <w:rPr>
        <w:b/>
      </w:rPr>
      <w:fldChar w:fldCharType="separate"/>
    </w:r>
    <w:r>
      <w:rPr>
        <w:b/>
        <w:lang w:val="zh-CN"/>
      </w:rPr>
      <w:t>1</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26"/>
      <w:jc w:val="center"/>
      <w:rPr>
        <w:b/>
      </w:rPr>
    </w:pPr>
    <w:r>
      <w:rPr>
        <w:b/>
      </w:rPr>
      <w:fldChar w:fldCharType="begin"/>
    </w:r>
    <w:r>
      <w:rPr>
        <w:b/>
      </w:rPr>
      <w:instrText xml:space="preserve">PAGE   \* MERGEFORMAT</w:instrText>
    </w:r>
    <w:r>
      <w:rPr>
        <w:b/>
      </w:rPr>
      <w:fldChar w:fldCharType="separate"/>
    </w:r>
    <w:r>
      <w:rPr>
        <w:b/>
        <w:lang w:val="zh-CN"/>
      </w:rPr>
      <w:t>53</w:t>
    </w:r>
    <w:r>
      <w:rPr>
        <w:b/>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6AB9"/>
    <w:multiLevelType w:val="multilevel"/>
    <w:tmpl w:val="0B4B6AB9"/>
    <w:lvl w:ilvl="0" w:tentative="0">
      <w:start w:val="1"/>
      <w:numFmt w:val="decimal"/>
      <w:lvlText w:val="表1-%1"/>
      <w:lvlJc w:val="left"/>
      <w:pPr>
        <w:ind w:left="4584" w:hanging="420"/>
      </w:pPr>
      <w:rPr>
        <w:rFonts w:hint="eastAsia"/>
        <w:b/>
        <w:sz w:val="21"/>
      </w:rPr>
    </w:lvl>
    <w:lvl w:ilvl="1" w:tentative="0">
      <w:start w:val="1"/>
      <w:numFmt w:val="lowerLetter"/>
      <w:lvlText w:val="%2)"/>
      <w:lvlJc w:val="left"/>
      <w:pPr>
        <w:ind w:left="5004" w:hanging="420"/>
      </w:pPr>
    </w:lvl>
    <w:lvl w:ilvl="2" w:tentative="0">
      <w:start w:val="1"/>
      <w:numFmt w:val="lowerRoman"/>
      <w:lvlText w:val="%3."/>
      <w:lvlJc w:val="right"/>
      <w:pPr>
        <w:ind w:left="5424" w:hanging="420"/>
      </w:pPr>
    </w:lvl>
    <w:lvl w:ilvl="3" w:tentative="0">
      <w:start w:val="1"/>
      <w:numFmt w:val="decimal"/>
      <w:lvlText w:val="%4."/>
      <w:lvlJc w:val="left"/>
      <w:pPr>
        <w:ind w:left="5844" w:hanging="420"/>
      </w:pPr>
    </w:lvl>
    <w:lvl w:ilvl="4" w:tentative="0">
      <w:start w:val="1"/>
      <w:numFmt w:val="lowerLetter"/>
      <w:lvlText w:val="%5)"/>
      <w:lvlJc w:val="left"/>
      <w:pPr>
        <w:ind w:left="6264" w:hanging="420"/>
      </w:pPr>
    </w:lvl>
    <w:lvl w:ilvl="5" w:tentative="0">
      <w:start w:val="1"/>
      <w:numFmt w:val="lowerRoman"/>
      <w:lvlText w:val="%6."/>
      <w:lvlJc w:val="right"/>
      <w:pPr>
        <w:ind w:left="6684" w:hanging="420"/>
      </w:pPr>
    </w:lvl>
    <w:lvl w:ilvl="6" w:tentative="0">
      <w:start w:val="1"/>
      <w:numFmt w:val="decimal"/>
      <w:lvlText w:val="%7."/>
      <w:lvlJc w:val="left"/>
      <w:pPr>
        <w:ind w:left="7104" w:hanging="420"/>
      </w:pPr>
    </w:lvl>
    <w:lvl w:ilvl="7" w:tentative="0">
      <w:start w:val="1"/>
      <w:numFmt w:val="lowerLetter"/>
      <w:lvlText w:val="%8)"/>
      <w:lvlJc w:val="left"/>
      <w:pPr>
        <w:ind w:left="7524" w:hanging="420"/>
      </w:pPr>
    </w:lvl>
    <w:lvl w:ilvl="8" w:tentative="0">
      <w:start w:val="1"/>
      <w:numFmt w:val="lowerRoman"/>
      <w:lvlText w:val="%9."/>
      <w:lvlJc w:val="right"/>
      <w:pPr>
        <w:ind w:left="7944" w:hanging="420"/>
      </w:pPr>
    </w:lvl>
  </w:abstractNum>
  <w:abstractNum w:abstractNumId="1">
    <w:nsid w:val="1C187345"/>
    <w:multiLevelType w:val="multilevel"/>
    <w:tmpl w:val="1C187345"/>
    <w:lvl w:ilvl="0" w:tentative="0">
      <w:start w:val="1"/>
      <w:numFmt w:val="decimal"/>
      <w:lvlText w:val="表4-%1"/>
      <w:lvlJc w:val="left"/>
      <w:pPr>
        <w:ind w:left="5098" w:hanging="420"/>
      </w:pPr>
      <w:rPr>
        <w:rFonts w:hint="eastAsia"/>
        <w:sz w:val="20"/>
      </w:rPr>
    </w:lvl>
    <w:lvl w:ilvl="1" w:tentative="0">
      <w:start w:val="1"/>
      <w:numFmt w:val="lowerLetter"/>
      <w:lvlText w:val="%2)"/>
      <w:lvlJc w:val="left"/>
      <w:pPr>
        <w:ind w:left="3535" w:hanging="420"/>
      </w:pPr>
    </w:lvl>
    <w:lvl w:ilvl="2" w:tentative="0">
      <w:start w:val="1"/>
      <w:numFmt w:val="lowerRoman"/>
      <w:lvlText w:val="%3."/>
      <w:lvlJc w:val="right"/>
      <w:pPr>
        <w:ind w:left="3955" w:hanging="420"/>
      </w:pPr>
    </w:lvl>
    <w:lvl w:ilvl="3" w:tentative="0">
      <w:start w:val="1"/>
      <w:numFmt w:val="decimal"/>
      <w:lvlText w:val="%4."/>
      <w:lvlJc w:val="left"/>
      <w:pPr>
        <w:ind w:left="4375" w:hanging="420"/>
      </w:pPr>
    </w:lvl>
    <w:lvl w:ilvl="4" w:tentative="0">
      <w:start w:val="1"/>
      <w:numFmt w:val="lowerLetter"/>
      <w:lvlText w:val="%5)"/>
      <w:lvlJc w:val="left"/>
      <w:pPr>
        <w:ind w:left="4795" w:hanging="420"/>
      </w:pPr>
    </w:lvl>
    <w:lvl w:ilvl="5" w:tentative="0">
      <w:start w:val="1"/>
      <w:numFmt w:val="lowerRoman"/>
      <w:lvlText w:val="%6."/>
      <w:lvlJc w:val="right"/>
      <w:pPr>
        <w:ind w:left="5215" w:hanging="420"/>
      </w:pPr>
    </w:lvl>
    <w:lvl w:ilvl="6" w:tentative="0">
      <w:start w:val="1"/>
      <w:numFmt w:val="decimal"/>
      <w:lvlText w:val="%7."/>
      <w:lvlJc w:val="left"/>
      <w:pPr>
        <w:ind w:left="5635" w:hanging="420"/>
      </w:pPr>
    </w:lvl>
    <w:lvl w:ilvl="7" w:tentative="0">
      <w:start w:val="1"/>
      <w:numFmt w:val="lowerLetter"/>
      <w:lvlText w:val="%8)"/>
      <w:lvlJc w:val="left"/>
      <w:pPr>
        <w:ind w:left="6055" w:hanging="420"/>
      </w:pPr>
    </w:lvl>
    <w:lvl w:ilvl="8" w:tentative="0">
      <w:start w:val="1"/>
      <w:numFmt w:val="lowerRoman"/>
      <w:lvlText w:val="%9."/>
      <w:lvlJc w:val="right"/>
      <w:pPr>
        <w:ind w:left="6475" w:hanging="420"/>
      </w:pPr>
    </w:lvl>
  </w:abstractNum>
  <w:abstractNum w:abstractNumId="2">
    <w:nsid w:val="1CC435A6"/>
    <w:multiLevelType w:val="multilevel"/>
    <w:tmpl w:val="1CC435A6"/>
    <w:lvl w:ilvl="0" w:tentative="0">
      <w:start w:val="1"/>
      <w:numFmt w:val="decimal"/>
      <w:suff w:val="nothing"/>
      <w:lvlText w:val="表5-%1"/>
      <w:lvlJc w:val="left"/>
      <w:pPr>
        <w:ind w:left="5098" w:hanging="420"/>
      </w:pPr>
      <w:rPr>
        <w:rFonts w:hint="default" w:ascii="Times New Roman" w:hAnsi="Times New Roman" w:eastAsia="宋体" w:cs="Times New Roman"/>
        <w:b/>
        <w:sz w:val="21"/>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9E95ECC"/>
    <w:multiLevelType w:val="singleLevel"/>
    <w:tmpl w:val="59E95ECC"/>
    <w:lvl w:ilvl="0" w:tentative="0">
      <w:start w:val="1"/>
      <w:numFmt w:val="upperLetter"/>
      <w:suff w:val="nothing"/>
      <w:lvlText w:val="%1、"/>
      <w:lvlJc w:val="left"/>
    </w:lvl>
  </w:abstractNum>
  <w:abstractNum w:abstractNumId="4">
    <w:nsid w:val="6863587A"/>
    <w:multiLevelType w:val="multilevel"/>
    <w:tmpl w:val="6863587A"/>
    <w:lvl w:ilvl="0" w:tentative="0">
      <w:start w:val="1"/>
      <w:numFmt w:val="decimal"/>
      <w:suff w:val="nothing"/>
      <w:lvlText w:val="表  3-%1 "/>
      <w:lvlJc w:val="center"/>
      <w:pPr>
        <w:ind w:left="2808" w:hanging="420"/>
      </w:pPr>
      <w:rPr>
        <w:rFonts w:hint="default" w:ascii="Times New Roman" w:hAnsi="Times New Roman" w:cs="Times New Roman"/>
        <w:sz w:val="21"/>
        <w:lang w:val="en-US"/>
      </w:rPr>
    </w:lvl>
    <w:lvl w:ilvl="1" w:tentative="0">
      <w:start w:val="1"/>
      <w:numFmt w:val="lowerLetter"/>
      <w:lvlText w:val="%2)"/>
      <w:lvlJc w:val="left"/>
      <w:pPr>
        <w:ind w:left="3228" w:hanging="420"/>
      </w:pPr>
    </w:lvl>
    <w:lvl w:ilvl="2" w:tentative="0">
      <w:start w:val="1"/>
      <w:numFmt w:val="lowerRoman"/>
      <w:lvlText w:val="%3."/>
      <w:lvlJc w:val="right"/>
      <w:pPr>
        <w:ind w:left="3648" w:hanging="420"/>
      </w:pPr>
    </w:lvl>
    <w:lvl w:ilvl="3" w:tentative="0">
      <w:start w:val="1"/>
      <w:numFmt w:val="decimal"/>
      <w:lvlText w:val="%4."/>
      <w:lvlJc w:val="left"/>
      <w:pPr>
        <w:ind w:left="4068" w:hanging="420"/>
      </w:pPr>
    </w:lvl>
    <w:lvl w:ilvl="4" w:tentative="0">
      <w:start w:val="1"/>
      <w:numFmt w:val="lowerLetter"/>
      <w:lvlText w:val="%5)"/>
      <w:lvlJc w:val="left"/>
      <w:pPr>
        <w:ind w:left="4488" w:hanging="420"/>
      </w:pPr>
    </w:lvl>
    <w:lvl w:ilvl="5" w:tentative="0">
      <w:start w:val="1"/>
      <w:numFmt w:val="lowerRoman"/>
      <w:lvlText w:val="%6."/>
      <w:lvlJc w:val="right"/>
      <w:pPr>
        <w:ind w:left="4908" w:hanging="420"/>
      </w:pPr>
    </w:lvl>
    <w:lvl w:ilvl="6" w:tentative="0">
      <w:start w:val="1"/>
      <w:numFmt w:val="decimal"/>
      <w:lvlText w:val="%7."/>
      <w:lvlJc w:val="left"/>
      <w:pPr>
        <w:ind w:left="5328" w:hanging="420"/>
      </w:pPr>
    </w:lvl>
    <w:lvl w:ilvl="7" w:tentative="0">
      <w:start w:val="1"/>
      <w:numFmt w:val="lowerLetter"/>
      <w:lvlText w:val="%8)"/>
      <w:lvlJc w:val="left"/>
      <w:pPr>
        <w:ind w:left="5748" w:hanging="420"/>
      </w:pPr>
    </w:lvl>
    <w:lvl w:ilvl="8" w:tentative="0">
      <w:start w:val="1"/>
      <w:numFmt w:val="lowerRoman"/>
      <w:lvlText w:val="%9."/>
      <w:lvlJc w:val="right"/>
      <w:pPr>
        <w:ind w:left="6168" w:hanging="420"/>
      </w:pPr>
    </w:lvl>
  </w:abstractNum>
  <w:abstractNum w:abstractNumId="5">
    <w:nsid w:val="6A255164"/>
    <w:multiLevelType w:val="multilevel"/>
    <w:tmpl w:val="6A255164"/>
    <w:lvl w:ilvl="0" w:tentative="0">
      <w:start w:val="1"/>
      <w:numFmt w:val="decimal"/>
      <w:lvlText w:val="表7-%1"/>
      <w:lvlJc w:val="left"/>
      <w:pPr>
        <w:ind w:left="3184" w:hanging="420"/>
      </w:pPr>
      <w:rPr>
        <w:rFonts w:hint="default" w:ascii="Times New Roman" w:hAnsi="Times New Roman" w:eastAsia="宋体" w:cs="Times New Roman"/>
        <w:b/>
        <w:sz w:val="21"/>
        <w:szCs w:val="21"/>
        <w:lang w:val="en-US"/>
      </w:rPr>
    </w:lvl>
    <w:lvl w:ilvl="1" w:tentative="0">
      <w:start w:val="1"/>
      <w:numFmt w:val="lowerLetter"/>
      <w:lvlText w:val="%2)"/>
      <w:lvlJc w:val="left"/>
      <w:pPr>
        <w:ind w:left="3604" w:hanging="420"/>
      </w:pPr>
    </w:lvl>
    <w:lvl w:ilvl="2" w:tentative="0">
      <w:start w:val="1"/>
      <w:numFmt w:val="lowerRoman"/>
      <w:lvlText w:val="%3."/>
      <w:lvlJc w:val="right"/>
      <w:pPr>
        <w:ind w:left="4024" w:hanging="420"/>
      </w:pPr>
    </w:lvl>
    <w:lvl w:ilvl="3" w:tentative="0">
      <w:start w:val="1"/>
      <w:numFmt w:val="decimal"/>
      <w:lvlText w:val="%4."/>
      <w:lvlJc w:val="left"/>
      <w:pPr>
        <w:ind w:left="4444" w:hanging="420"/>
      </w:pPr>
    </w:lvl>
    <w:lvl w:ilvl="4" w:tentative="0">
      <w:start w:val="1"/>
      <w:numFmt w:val="lowerLetter"/>
      <w:lvlText w:val="%5)"/>
      <w:lvlJc w:val="left"/>
      <w:pPr>
        <w:ind w:left="4864" w:hanging="420"/>
      </w:pPr>
    </w:lvl>
    <w:lvl w:ilvl="5" w:tentative="0">
      <w:start w:val="1"/>
      <w:numFmt w:val="lowerRoman"/>
      <w:lvlText w:val="%6."/>
      <w:lvlJc w:val="right"/>
      <w:pPr>
        <w:ind w:left="5284" w:hanging="420"/>
      </w:pPr>
    </w:lvl>
    <w:lvl w:ilvl="6" w:tentative="0">
      <w:start w:val="1"/>
      <w:numFmt w:val="decimal"/>
      <w:lvlText w:val="%7."/>
      <w:lvlJc w:val="left"/>
      <w:pPr>
        <w:ind w:left="5704" w:hanging="420"/>
      </w:pPr>
    </w:lvl>
    <w:lvl w:ilvl="7" w:tentative="0">
      <w:start w:val="1"/>
      <w:numFmt w:val="lowerLetter"/>
      <w:lvlText w:val="%8)"/>
      <w:lvlJc w:val="left"/>
      <w:pPr>
        <w:ind w:left="6124" w:hanging="420"/>
      </w:pPr>
    </w:lvl>
    <w:lvl w:ilvl="8" w:tentative="0">
      <w:start w:val="1"/>
      <w:numFmt w:val="lowerRoman"/>
      <w:lvlText w:val="%9."/>
      <w:lvlJc w:val="right"/>
      <w:pPr>
        <w:ind w:left="6544" w:hanging="420"/>
      </w:pPr>
    </w:lvl>
  </w:abstractNum>
  <w:abstractNum w:abstractNumId="6">
    <w:nsid w:val="6CEA2025"/>
    <w:multiLevelType w:val="multilevel"/>
    <w:tmpl w:val="6CEA2025"/>
    <w:lvl w:ilvl="0" w:tentative="0">
      <w:start w:val="1"/>
      <w:numFmt w:val="none"/>
      <w:pStyle w:val="72"/>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pStyle w:val="73"/>
      <w:suff w:val="nothing"/>
      <w:lvlText w:val="%1%2.%3　"/>
      <w:lvlJc w:val="left"/>
      <w:pPr>
        <w:ind w:left="0" w:firstLine="0"/>
      </w:pPr>
      <w:rPr>
        <w:rFonts w:hint="eastAsia" w:ascii="黑体" w:hAnsi="Times New Roman" w:eastAsia="黑体"/>
        <w:b w:val="0"/>
        <w:i w:val="0"/>
        <w:sz w:val="21"/>
      </w:rPr>
    </w:lvl>
    <w:lvl w:ilvl="3" w:tentative="0">
      <w:start w:val="1"/>
      <w:numFmt w:val="decimal"/>
      <w:pStyle w:val="74"/>
      <w:suff w:val="nothing"/>
      <w:lvlText w:val="%1%2.%3.%4　"/>
      <w:lvlJc w:val="left"/>
      <w:pPr>
        <w:ind w:left="0" w:firstLine="0"/>
      </w:pPr>
      <w:rPr>
        <w:rFonts w:hint="eastAsia" w:ascii="黑体" w:hAnsi="Times New Roman" w:eastAsia="黑体"/>
        <w:b w:val="0"/>
        <w:i w:val="0"/>
        <w:sz w:val="21"/>
      </w:rPr>
    </w:lvl>
    <w:lvl w:ilvl="4" w:tentative="0">
      <w:start w:val="1"/>
      <w:numFmt w:val="decimal"/>
      <w:pStyle w:val="75"/>
      <w:suff w:val="nothing"/>
      <w:lvlText w:val="%1%2.%3.%4.%5　"/>
      <w:lvlJc w:val="left"/>
      <w:pPr>
        <w:ind w:left="0" w:firstLine="0"/>
      </w:pPr>
      <w:rPr>
        <w:rFonts w:hint="eastAsia" w:ascii="黑体" w:hAnsi="Times New Roman" w:eastAsia="黑体"/>
        <w:b w:val="0"/>
        <w:i w:val="0"/>
        <w:sz w:val="21"/>
      </w:rPr>
    </w:lvl>
    <w:lvl w:ilvl="5" w:tentative="0">
      <w:start w:val="1"/>
      <w:numFmt w:val="decimal"/>
      <w:pStyle w:val="76"/>
      <w:suff w:val="nothing"/>
      <w:lvlText w:val="%1%2.%3.%4.%5.%6　"/>
      <w:lvlJc w:val="left"/>
      <w:pPr>
        <w:ind w:left="0" w:firstLine="0"/>
      </w:pPr>
      <w:rPr>
        <w:rFonts w:hint="eastAsia" w:ascii="黑体" w:hAnsi="Times New Roman" w:eastAsia="黑体"/>
        <w:b w:val="0"/>
        <w:i w:val="0"/>
        <w:sz w:val="21"/>
      </w:rPr>
    </w:lvl>
    <w:lvl w:ilvl="6" w:tentative="0">
      <w:start w:val="1"/>
      <w:numFmt w:val="decimal"/>
      <w:pStyle w:val="7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6D692611"/>
    <w:multiLevelType w:val="singleLevel"/>
    <w:tmpl w:val="6D692611"/>
    <w:lvl w:ilvl="0" w:tentative="0">
      <w:start w:val="2"/>
      <w:numFmt w:val="decimal"/>
      <w:suff w:val="nothing"/>
      <w:lvlText w:val="%1、"/>
      <w:lvlJc w:val="left"/>
    </w:lvl>
  </w:abstractNum>
  <w:num w:numId="1">
    <w:abstractNumId w:val="6"/>
  </w:num>
  <w:num w:numId="2">
    <w:abstractNumId w:val="0"/>
  </w:num>
  <w:num w:numId="3">
    <w:abstractNumId w:val="4"/>
  </w:num>
  <w:num w:numId="4">
    <w:abstractNumId w:val="7"/>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hideSpellingErrors/>
  <w:documentProtection w:enforcement="0"/>
  <w:defaultTabStop w:val="420"/>
  <w:drawingGridHorizontalSpacing w:val="120"/>
  <w:drawingGridVerticalSpacing w:val="1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45"/>
    <w:rsid w:val="00004931"/>
    <w:rsid w:val="00004B49"/>
    <w:rsid w:val="00007FA5"/>
    <w:rsid w:val="00010C5A"/>
    <w:rsid w:val="00014CE8"/>
    <w:rsid w:val="0002029D"/>
    <w:rsid w:val="00021A01"/>
    <w:rsid w:val="00030BBA"/>
    <w:rsid w:val="00036190"/>
    <w:rsid w:val="00036297"/>
    <w:rsid w:val="000372AE"/>
    <w:rsid w:val="00040363"/>
    <w:rsid w:val="000420DD"/>
    <w:rsid w:val="0004309F"/>
    <w:rsid w:val="000460FF"/>
    <w:rsid w:val="0004794D"/>
    <w:rsid w:val="00055CDC"/>
    <w:rsid w:val="000570A7"/>
    <w:rsid w:val="00061243"/>
    <w:rsid w:val="00066937"/>
    <w:rsid w:val="00067CD1"/>
    <w:rsid w:val="00071946"/>
    <w:rsid w:val="00077866"/>
    <w:rsid w:val="000845E5"/>
    <w:rsid w:val="000901B0"/>
    <w:rsid w:val="00093BEA"/>
    <w:rsid w:val="00095206"/>
    <w:rsid w:val="0009720D"/>
    <w:rsid w:val="000A248F"/>
    <w:rsid w:val="000A4571"/>
    <w:rsid w:val="000A5608"/>
    <w:rsid w:val="000A789B"/>
    <w:rsid w:val="000B179D"/>
    <w:rsid w:val="000C0514"/>
    <w:rsid w:val="000C3DAF"/>
    <w:rsid w:val="000D21A2"/>
    <w:rsid w:val="000D3236"/>
    <w:rsid w:val="000D59E9"/>
    <w:rsid w:val="000E135C"/>
    <w:rsid w:val="000E40AE"/>
    <w:rsid w:val="000E6560"/>
    <w:rsid w:val="000F0698"/>
    <w:rsid w:val="000F0E2E"/>
    <w:rsid w:val="000F135B"/>
    <w:rsid w:val="000F1870"/>
    <w:rsid w:val="000F20E7"/>
    <w:rsid w:val="000F5827"/>
    <w:rsid w:val="000F6135"/>
    <w:rsid w:val="000F6FCE"/>
    <w:rsid w:val="00100EEF"/>
    <w:rsid w:val="00100F3D"/>
    <w:rsid w:val="001020F7"/>
    <w:rsid w:val="00103400"/>
    <w:rsid w:val="00103906"/>
    <w:rsid w:val="001041BE"/>
    <w:rsid w:val="00105571"/>
    <w:rsid w:val="00107DD0"/>
    <w:rsid w:val="001101E5"/>
    <w:rsid w:val="0011079E"/>
    <w:rsid w:val="0011396E"/>
    <w:rsid w:val="00115878"/>
    <w:rsid w:val="0011786B"/>
    <w:rsid w:val="001217D3"/>
    <w:rsid w:val="00121E55"/>
    <w:rsid w:val="001222C9"/>
    <w:rsid w:val="00143EBC"/>
    <w:rsid w:val="0014599B"/>
    <w:rsid w:val="00145C91"/>
    <w:rsid w:val="00146617"/>
    <w:rsid w:val="001521C5"/>
    <w:rsid w:val="001549E4"/>
    <w:rsid w:val="001603D4"/>
    <w:rsid w:val="00161EF5"/>
    <w:rsid w:val="00161FFC"/>
    <w:rsid w:val="0016580A"/>
    <w:rsid w:val="00167E94"/>
    <w:rsid w:val="0017425D"/>
    <w:rsid w:val="00176025"/>
    <w:rsid w:val="0017758E"/>
    <w:rsid w:val="0017773B"/>
    <w:rsid w:val="001778FC"/>
    <w:rsid w:val="001848B6"/>
    <w:rsid w:val="001868A2"/>
    <w:rsid w:val="00190C00"/>
    <w:rsid w:val="001959EE"/>
    <w:rsid w:val="0019623C"/>
    <w:rsid w:val="001A0A4B"/>
    <w:rsid w:val="001A0FED"/>
    <w:rsid w:val="001A1687"/>
    <w:rsid w:val="001A7358"/>
    <w:rsid w:val="001B4C14"/>
    <w:rsid w:val="001B6EB5"/>
    <w:rsid w:val="001C01BE"/>
    <w:rsid w:val="001C1DA7"/>
    <w:rsid w:val="001C36DD"/>
    <w:rsid w:val="001C424C"/>
    <w:rsid w:val="001C4E6B"/>
    <w:rsid w:val="001D28BD"/>
    <w:rsid w:val="001D3FEE"/>
    <w:rsid w:val="001D4FC2"/>
    <w:rsid w:val="001D56CE"/>
    <w:rsid w:val="001E042B"/>
    <w:rsid w:val="001E08AC"/>
    <w:rsid w:val="001E5FC8"/>
    <w:rsid w:val="001F1105"/>
    <w:rsid w:val="001F3605"/>
    <w:rsid w:val="001F6B87"/>
    <w:rsid w:val="001F6EB2"/>
    <w:rsid w:val="00203193"/>
    <w:rsid w:val="002058E3"/>
    <w:rsid w:val="0021225B"/>
    <w:rsid w:val="002132FB"/>
    <w:rsid w:val="0021338A"/>
    <w:rsid w:val="002161AC"/>
    <w:rsid w:val="002172EA"/>
    <w:rsid w:val="00217C52"/>
    <w:rsid w:val="00217E73"/>
    <w:rsid w:val="00220516"/>
    <w:rsid w:val="00220B7C"/>
    <w:rsid w:val="00221050"/>
    <w:rsid w:val="002252E7"/>
    <w:rsid w:val="00231B59"/>
    <w:rsid w:val="002320C2"/>
    <w:rsid w:val="002359D1"/>
    <w:rsid w:val="00235C3C"/>
    <w:rsid w:val="0024022D"/>
    <w:rsid w:val="0024148E"/>
    <w:rsid w:val="00241F57"/>
    <w:rsid w:val="00242227"/>
    <w:rsid w:val="0024357A"/>
    <w:rsid w:val="00243963"/>
    <w:rsid w:val="00247807"/>
    <w:rsid w:val="00256D48"/>
    <w:rsid w:val="002605C9"/>
    <w:rsid w:val="00262D08"/>
    <w:rsid w:val="00262F18"/>
    <w:rsid w:val="002635E5"/>
    <w:rsid w:val="002650F2"/>
    <w:rsid w:val="0026704D"/>
    <w:rsid w:val="0026722B"/>
    <w:rsid w:val="00267621"/>
    <w:rsid w:val="00272F2D"/>
    <w:rsid w:val="00276DC0"/>
    <w:rsid w:val="00277A7A"/>
    <w:rsid w:val="00281B71"/>
    <w:rsid w:val="00284736"/>
    <w:rsid w:val="002847C1"/>
    <w:rsid w:val="00286663"/>
    <w:rsid w:val="00287B58"/>
    <w:rsid w:val="00290B59"/>
    <w:rsid w:val="00292905"/>
    <w:rsid w:val="00293A0E"/>
    <w:rsid w:val="002A0F26"/>
    <w:rsid w:val="002A1772"/>
    <w:rsid w:val="002A29EC"/>
    <w:rsid w:val="002B132D"/>
    <w:rsid w:val="002B1E6A"/>
    <w:rsid w:val="002B36E8"/>
    <w:rsid w:val="002B4652"/>
    <w:rsid w:val="002B6133"/>
    <w:rsid w:val="002C278C"/>
    <w:rsid w:val="002C2DDC"/>
    <w:rsid w:val="002C3560"/>
    <w:rsid w:val="002C3981"/>
    <w:rsid w:val="002C6448"/>
    <w:rsid w:val="002C64CE"/>
    <w:rsid w:val="002C6B13"/>
    <w:rsid w:val="002C6B25"/>
    <w:rsid w:val="002C78A8"/>
    <w:rsid w:val="002C7D12"/>
    <w:rsid w:val="002D2EF8"/>
    <w:rsid w:val="002D3360"/>
    <w:rsid w:val="002D6CAA"/>
    <w:rsid w:val="002E0457"/>
    <w:rsid w:val="002E0871"/>
    <w:rsid w:val="002E24B7"/>
    <w:rsid w:val="002E48BE"/>
    <w:rsid w:val="002E5571"/>
    <w:rsid w:val="002E7D1D"/>
    <w:rsid w:val="00303040"/>
    <w:rsid w:val="00304164"/>
    <w:rsid w:val="00311538"/>
    <w:rsid w:val="00311B9B"/>
    <w:rsid w:val="00312D10"/>
    <w:rsid w:val="00314A67"/>
    <w:rsid w:val="00314EB4"/>
    <w:rsid w:val="00316435"/>
    <w:rsid w:val="003168B5"/>
    <w:rsid w:val="00316E4F"/>
    <w:rsid w:val="00321E7D"/>
    <w:rsid w:val="00323C80"/>
    <w:rsid w:val="0032456C"/>
    <w:rsid w:val="00326A64"/>
    <w:rsid w:val="00326E78"/>
    <w:rsid w:val="00327775"/>
    <w:rsid w:val="00330F11"/>
    <w:rsid w:val="00333FB9"/>
    <w:rsid w:val="00335206"/>
    <w:rsid w:val="00335C9F"/>
    <w:rsid w:val="003369FF"/>
    <w:rsid w:val="0034109F"/>
    <w:rsid w:val="00343730"/>
    <w:rsid w:val="00345272"/>
    <w:rsid w:val="00346218"/>
    <w:rsid w:val="00353782"/>
    <w:rsid w:val="003543A2"/>
    <w:rsid w:val="00362DB8"/>
    <w:rsid w:val="0036338B"/>
    <w:rsid w:val="00364347"/>
    <w:rsid w:val="00366EB1"/>
    <w:rsid w:val="00370826"/>
    <w:rsid w:val="003726B8"/>
    <w:rsid w:val="00374176"/>
    <w:rsid w:val="003749F4"/>
    <w:rsid w:val="003768FA"/>
    <w:rsid w:val="00376BBF"/>
    <w:rsid w:val="00380B8A"/>
    <w:rsid w:val="00383671"/>
    <w:rsid w:val="00383B8A"/>
    <w:rsid w:val="0038424A"/>
    <w:rsid w:val="00385A48"/>
    <w:rsid w:val="003903C2"/>
    <w:rsid w:val="003A393A"/>
    <w:rsid w:val="003A58CE"/>
    <w:rsid w:val="003A6F3F"/>
    <w:rsid w:val="003A7B5B"/>
    <w:rsid w:val="003B51F8"/>
    <w:rsid w:val="003B6CDC"/>
    <w:rsid w:val="003B7888"/>
    <w:rsid w:val="003C3B4E"/>
    <w:rsid w:val="003C5B49"/>
    <w:rsid w:val="003C5FD4"/>
    <w:rsid w:val="003D7E72"/>
    <w:rsid w:val="003E0134"/>
    <w:rsid w:val="003E07F0"/>
    <w:rsid w:val="003E4B0D"/>
    <w:rsid w:val="003E5032"/>
    <w:rsid w:val="003E6FC8"/>
    <w:rsid w:val="003F088F"/>
    <w:rsid w:val="003F39AC"/>
    <w:rsid w:val="003F68A5"/>
    <w:rsid w:val="00402B57"/>
    <w:rsid w:val="0040373B"/>
    <w:rsid w:val="0040522F"/>
    <w:rsid w:val="00405C3E"/>
    <w:rsid w:val="004106E8"/>
    <w:rsid w:val="00414F2B"/>
    <w:rsid w:val="0042162B"/>
    <w:rsid w:val="00425789"/>
    <w:rsid w:val="0042634A"/>
    <w:rsid w:val="0043096B"/>
    <w:rsid w:val="00434449"/>
    <w:rsid w:val="004365D3"/>
    <w:rsid w:val="00437BA9"/>
    <w:rsid w:val="0044531C"/>
    <w:rsid w:val="00445E98"/>
    <w:rsid w:val="00446383"/>
    <w:rsid w:val="00446BFF"/>
    <w:rsid w:val="00447289"/>
    <w:rsid w:val="00450C76"/>
    <w:rsid w:val="00454A0F"/>
    <w:rsid w:val="0045539D"/>
    <w:rsid w:val="00456E53"/>
    <w:rsid w:val="0046532E"/>
    <w:rsid w:val="00474594"/>
    <w:rsid w:val="0047477D"/>
    <w:rsid w:val="00474B83"/>
    <w:rsid w:val="0047553B"/>
    <w:rsid w:val="004764D4"/>
    <w:rsid w:val="004815C1"/>
    <w:rsid w:val="0049000C"/>
    <w:rsid w:val="0049259D"/>
    <w:rsid w:val="00494C02"/>
    <w:rsid w:val="00495A98"/>
    <w:rsid w:val="00496BE1"/>
    <w:rsid w:val="004A1B00"/>
    <w:rsid w:val="004A3690"/>
    <w:rsid w:val="004B7A77"/>
    <w:rsid w:val="004C0D61"/>
    <w:rsid w:val="004C3425"/>
    <w:rsid w:val="004C5D2F"/>
    <w:rsid w:val="004C6227"/>
    <w:rsid w:val="004C6685"/>
    <w:rsid w:val="004D2D9F"/>
    <w:rsid w:val="004D6E62"/>
    <w:rsid w:val="004D6EA0"/>
    <w:rsid w:val="004D7AE1"/>
    <w:rsid w:val="004E1CB7"/>
    <w:rsid w:val="004E42A7"/>
    <w:rsid w:val="004E4C9C"/>
    <w:rsid w:val="004E7A91"/>
    <w:rsid w:val="004E7C0B"/>
    <w:rsid w:val="004F016F"/>
    <w:rsid w:val="004F0E83"/>
    <w:rsid w:val="004F1E4E"/>
    <w:rsid w:val="004F2210"/>
    <w:rsid w:val="004F5066"/>
    <w:rsid w:val="004F6171"/>
    <w:rsid w:val="004F6174"/>
    <w:rsid w:val="00501980"/>
    <w:rsid w:val="00501A0A"/>
    <w:rsid w:val="00502766"/>
    <w:rsid w:val="005138B2"/>
    <w:rsid w:val="00513C6F"/>
    <w:rsid w:val="00515ACE"/>
    <w:rsid w:val="00516FDF"/>
    <w:rsid w:val="00517245"/>
    <w:rsid w:val="005215C7"/>
    <w:rsid w:val="0052276F"/>
    <w:rsid w:val="00526DC4"/>
    <w:rsid w:val="00536358"/>
    <w:rsid w:val="0054346F"/>
    <w:rsid w:val="0054424F"/>
    <w:rsid w:val="00544ABE"/>
    <w:rsid w:val="00545FC7"/>
    <w:rsid w:val="00546CA1"/>
    <w:rsid w:val="00551830"/>
    <w:rsid w:val="005544B7"/>
    <w:rsid w:val="00554B81"/>
    <w:rsid w:val="00560F4F"/>
    <w:rsid w:val="00564096"/>
    <w:rsid w:val="00567BAF"/>
    <w:rsid w:val="00570BD6"/>
    <w:rsid w:val="005717A5"/>
    <w:rsid w:val="00571FEF"/>
    <w:rsid w:val="00572348"/>
    <w:rsid w:val="00576FDF"/>
    <w:rsid w:val="0058467C"/>
    <w:rsid w:val="005853EB"/>
    <w:rsid w:val="0058557C"/>
    <w:rsid w:val="005878AA"/>
    <w:rsid w:val="00587DF9"/>
    <w:rsid w:val="00591DCD"/>
    <w:rsid w:val="005923A9"/>
    <w:rsid w:val="005939F1"/>
    <w:rsid w:val="00596DAA"/>
    <w:rsid w:val="00596E5B"/>
    <w:rsid w:val="005A22B1"/>
    <w:rsid w:val="005A4679"/>
    <w:rsid w:val="005A5AD7"/>
    <w:rsid w:val="005B2B48"/>
    <w:rsid w:val="005B4126"/>
    <w:rsid w:val="005B6A0E"/>
    <w:rsid w:val="005C2D23"/>
    <w:rsid w:val="005C4F14"/>
    <w:rsid w:val="005D09BB"/>
    <w:rsid w:val="005D33E5"/>
    <w:rsid w:val="005D6CA4"/>
    <w:rsid w:val="005E0C21"/>
    <w:rsid w:val="005E3B7C"/>
    <w:rsid w:val="005E57DD"/>
    <w:rsid w:val="005E5DA6"/>
    <w:rsid w:val="005F3E24"/>
    <w:rsid w:val="005F4496"/>
    <w:rsid w:val="005F5488"/>
    <w:rsid w:val="00601B96"/>
    <w:rsid w:val="00605BC3"/>
    <w:rsid w:val="006061A5"/>
    <w:rsid w:val="00612E89"/>
    <w:rsid w:val="00617B30"/>
    <w:rsid w:val="006202A6"/>
    <w:rsid w:val="00623447"/>
    <w:rsid w:val="006245D3"/>
    <w:rsid w:val="00627538"/>
    <w:rsid w:val="0063299D"/>
    <w:rsid w:val="00633E54"/>
    <w:rsid w:val="006344FE"/>
    <w:rsid w:val="00635FEE"/>
    <w:rsid w:val="006401F7"/>
    <w:rsid w:val="00640AFA"/>
    <w:rsid w:val="0064452E"/>
    <w:rsid w:val="00644566"/>
    <w:rsid w:val="006467CD"/>
    <w:rsid w:val="00647289"/>
    <w:rsid w:val="006575D8"/>
    <w:rsid w:val="006608DF"/>
    <w:rsid w:val="00662AC9"/>
    <w:rsid w:val="00662CE2"/>
    <w:rsid w:val="0066323E"/>
    <w:rsid w:val="006647C2"/>
    <w:rsid w:val="00664B8D"/>
    <w:rsid w:val="00667E11"/>
    <w:rsid w:val="00670808"/>
    <w:rsid w:val="006710D8"/>
    <w:rsid w:val="00672F97"/>
    <w:rsid w:val="00680651"/>
    <w:rsid w:val="00681071"/>
    <w:rsid w:val="00682A24"/>
    <w:rsid w:val="00685101"/>
    <w:rsid w:val="006879E6"/>
    <w:rsid w:val="00690875"/>
    <w:rsid w:val="0069179B"/>
    <w:rsid w:val="0069538F"/>
    <w:rsid w:val="006A0E6E"/>
    <w:rsid w:val="006A235E"/>
    <w:rsid w:val="006A36C6"/>
    <w:rsid w:val="006A37CC"/>
    <w:rsid w:val="006A5E9E"/>
    <w:rsid w:val="006A7FAE"/>
    <w:rsid w:val="006B0DDA"/>
    <w:rsid w:val="006B2D8D"/>
    <w:rsid w:val="006B3E75"/>
    <w:rsid w:val="006B3F0F"/>
    <w:rsid w:val="006C0BBB"/>
    <w:rsid w:val="006C3376"/>
    <w:rsid w:val="006C63D3"/>
    <w:rsid w:val="006C747B"/>
    <w:rsid w:val="006D47E6"/>
    <w:rsid w:val="006D6C9E"/>
    <w:rsid w:val="006E02C1"/>
    <w:rsid w:val="006E762F"/>
    <w:rsid w:val="006F105C"/>
    <w:rsid w:val="006F3408"/>
    <w:rsid w:val="006F6388"/>
    <w:rsid w:val="006F693E"/>
    <w:rsid w:val="00700988"/>
    <w:rsid w:val="00703B3D"/>
    <w:rsid w:val="00705529"/>
    <w:rsid w:val="00706FFB"/>
    <w:rsid w:val="0071203E"/>
    <w:rsid w:val="00712ED7"/>
    <w:rsid w:val="007130FC"/>
    <w:rsid w:val="0071777F"/>
    <w:rsid w:val="007200D2"/>
    <w:rsid w:val="007232EA"/>
    <w:rsid w:val="0073053F"/>
    <w:rsid w:val="0073116F"/>
    <w:rsid w:val="0073267C"/>
    <w:rsid w:val="007338D2"/>
    <w:rsid w:val="00737BEC"/>
    <w:rsid w:val="0074004B"/>
    <w:rsid w:val="00742BFE"/>
    <w:rsid w:val="00744687"/>
    <w:rsid w:val="00744C11"/>
    <w:rsid w:val="0075021F"/>
    <w:rsid w:val="00752282"/>
    <w:rsid w:val="0075372B"/>
    <w:rsid w:val="00757BF7"/>
    <w:rsid w:val="00761437"/>
    <w:rsid w:val="007626B2"/>
    <w:rsid w:val="00762F46"/>
    <w:rsid w:val="00763EBE"/>
    <w:rsid w:val="0076796E"/>
    <w:rsid w:val="007720A5"/>
    <w:rsid w:val="00774137"/>
    <w:rsid w:val="00775480"/>
    <w:rsid w:val="00776B70"/>
    <w:rsid w:val="007774B5"/>
    <w:rsid w:val="00777E04"/>
    <w:rsid w:val="0078232B"/>
    <w:rsid w:val="00782C73"/>
    <w:rsid w:val="007833FE"/>
    <w:rsid w:val="0078664E"/>
    <w:rsid w:val="00790C26"/>
    <w:rsid w:val="00794A2C"/>
    <w:rsid w:val="007A1445"/>
    <w:rsid w:val="007A176D"/>
    <w:rsid w:val="007A1D9E"/>
    <w:rsid w:val="007A6BEB"/>
    <w:rsid w:val="007A6DDE"/>
    <w:rsid w:val="007B05DA"/>
    <w:rsid w:val="007B239A"/>
    <w:rsid w:val="007B3176"/>
    <w:rsid w:val="007B6023"/>
    <w:rsid w:val="007B760D"/>
    <w:rsid w:val="007C0BBA"/>
    <w:rsid w:val="007C5878"/>
    <w:rsid w:val="007C71B4"/>
    <w:rsid w:val="007D0A9A"/>
    <w:rsid w:val="007D1549"/>
    <w:rsid w:val="007D473C"/>
    <w:rsid w:val="007E0FDE"/>
    <w:rsid w:val="007F0DAF"/>
    <w:rsid w:val="007F336B"/>
    <w:rsid w:val="007F74CB"/>
    <w:rsid w:val="007F79F3"/>
    <w:rsid w:val="00801765"/>
    <w:rsid w:val="0080528F"/>
    <w:rsid w:val="00812897"/>
    <w:rsid w:val="0081331C"/>
    <w:rsid w:val="00814EE8"/>
    <w:rsid w:val="008157D1"/>
    <w:rsid w:val="008227BA"/>
    <w:rsid w:val="00823EF7"/>
    <w:rsid w:val="0082424A"/>
    <w:rsid w:val="00827E22"/>
    <w:rsid w:val="00834861"/>
    <w:rsid w:val="00834BAA"/>
    <w:rsid w:val="008354A7"/>
    <w:rsid w:val="00836FEA"/>
    <w:rsid w:val="00840264"/>
    <w:rsid w:val="0084413E"/>
    <w:rsid w:val="00844E4E"/>
    <w:rsid w:val="008505D0"/>
    <w:rsid w:val="00854DB6"/>
    <w:rsid w:val="00855FAA"/>
    <w:rsid w:val="00860BCD"/>
    <w:rsid w:val="00861D64"/>
    <w:rsid w:val="00865139"/>
    <w:rsid w:val="00865649"/>
    <w:rsid w:val="008679A6"/>
    <w:rsid w:val="00867C1B"/>
    <w:rsid w:val="0087230C"/>
    <w:rsid w:val="00875D26"/>
    <w:rsid w:val="0087622B"/>
    <w:rsid w:val="00890F45"/>
    <w:rsid w:val="008A0DD3"/>
    <w:rsid w:val="008A0F63"/>
    <w:rsid w:val="008A1C56"/>
    <w:rsid w:val="008A2E40"/>
    <w:rsid w:val="008A5015"/>
    <w:rsid w:val="008A723D"/>
    <w:rsid w:val="008A7A85"/>
    <w:rsid w:val="008B2767"/>
    <w:rsid w:val="008B2D26"/>
    <w:rsid w:val="008B3F73"/>
    <w:rsid w:val="008C2D6F"/>
    <w:rsid w:val="008C461F"/>
    <w:rsid w:val="008C5441"/>
    <w:rsid w:val="008D036B"/>
    <w:rsid w:val="008D0C54"/>
    <w:rsid w:val="008D3B79"/>
    <w:rsid w:val="008D6DAF"/>
    <w:rsid w:val="008D78F6"/>
    <w:rsid w:val="008E2E21"/>
    <w:rsid w:val="008E4344"/>
    <w:rsid w:val="008F11CF"/>
    <w:rsid w:val="008F4A84"/>
    <w:rsid w:val="008F71E9"/>
    <w:rsid w:val="00905EC2"/>
    <w:rsid w:val="009123CB"/>
    <w:rsid w:val="00920764"/>
    <w:rsid w:val="00923835"/>
    <w:rsid w:val="00923C39"/>
    <w:rsid w:val="0092653E"/>
    <w:rsid w:val="009322DF"/>
    <w:rsid w:val="00940312"/>
    <w:rsid w:val="0094071E"/>
    <w:rsid w:val="00940C9E"/>
    <w:rsid w:val="00940D08"/>
    <w:rsid w:val="00941A6B"/>
    <w:rsid w:val="00941B15"/>
    <w:rsid w:val="00941E38"/>
    <w:rsid w:val="0094351D"/>
    <w:rsid w:val="00944D71"/>
    <w:rsid w:val="009453C8"/>
    <w:rsid w:val="009457DF"/>
    <w:rsid w:val="00950074"/>
    <w:rsid w:val="00951A95"/>
    <w:rsid w:val="00952B5F"/>
    <w:rsid w:val="00953B3B"/>
    <w:rsid w:val="009568D3"/>
    <w:rsid w:val="00956AC2"/>
    <w:rsid w:val="00956FFB"/>
    <w:rsid w:val="009570AE"/>
    <w:rsid w:val="00964A59"/>
    <w:rsid w:val="009653F8"/>
    <w:rsid w:val="00973383"/>
    <w:rsid w:val="0097462E"/>
    <w:rsid w:val="00980584"/>
    <w:rsid w:val="00981C91"/>
    <w:rsid w:val="00992A48"/>
    <w:rsid w:val="00995AE1"/>
    <w:rsid w:val="00995E12"/>
    <w:rsid w:val="00995EB7"/>
    <w:rsid w:val="009A27B1"/>
    <w:rsid w:val="009A33C6"/>
    <w:rsid w:val="009A6363"/>
    <w:rsid w:val="009A71D6"/>
    <w:rsid w:val="009A726B"/>
    <w:rsid w:val="009B1310"/>
    <w:rsid w:val="009B2B8E"/>
    <w:rsid w:val="009B7116"/>
    <w:rsid w:val="009C6470"/>
    <w:rsid w:val="009C744C"/>
    <w:rsid w:val="009D0DA4"/>
    <w:rsid w:val="009D19E5"/>
    <w:rsid w:val="009D6275"/>
    <w:rsid w:val="009E088B"/>
    <w:rsid w:val="009E6CEA"/>
    <w:rsid w:val="009E7724"/>
    <w:rsid w:val="009F1CB3"/>
    <w:rsid w:val="009F4D27"/>
    <w:rsid w:val="009F5663"/>
    <w:rsid w:val="00A062EC"/>
    <w:rsid w:val="00A077CB"/>
    <w:rsid w:val="00A148CA"/>
    <w:rsid w:val="00A201F0"/>
    <w:rsid w:val="00A20D0D"/>
    <w:rsid w:val="00A24351"/>
    <w:rsid w:val="00A24CAB"/>
    <w:rsid w:val="00A24E5E"/>
    <w:rsid w:val="00A31452"/>
    <w:rsid w:val="00A31DB7"/>
    <w:rsid w:val="00A32097"/>
    <w:rsid w:val="00A32F0B"/>
    <w:rsid w:val="00A351C8"/>
    <w:rsid w:val="00A36E02"/>
    <w:rsid w:val="00A4026B"/>
    <w:rsid w:val="00A41C2F"/>
    <w:rsid w:val="00A43CE8"/>
    <w:rsid w:val="00A476F2"/>
    <w:rsid w:val="00A53548"/>
    <w:rsid w:val="00A65449"/>
    <w:rsid w:val="00A72007"/>
    <w:rsid w:val="00A72F3E"/>
    <w:rsid w:val="00A734AB"/>
    <w:rsid w:val="00A74A3B"/>
    <w:rsid w:val="00A74B60"/>
    <w:rsid w:val="00A753D4"/>
    <w:rsid w:val="00A776F4"/>
    <w:rsid w:val="00A82307"/>
    <w:rsid w:val="00A825A4"/>
    <w:rsid w:val="00A908C3"/>
    <w:rsid w:val="00A917CA"/>
    <w:rsid w:val="00A91B38"/>
    <w:rsid w:val="00A9339D"/>
    <w:rsid w:val="00A959F1"/>
    <w:rsid w:val="00AA2BEC"/>
    <w:rsid w:val="00AA5D90"/>
    <w:rsid w:val="00AA756C"/>
    <w:rsid w:val="00AB3FCE"/>
    <w:rsid w:val="00AC07B2"/>
    <w:rsid w:val="00AC63BF"/>
    <w:rsid w:val="00AC7089"/>
    <w:rsid w:val="00AC7171"/>
    <w:rsid w:val="00AD2FBD"/>
    <w:rsid w:val="00AD7039"/>
    <w:rsid w:val="00AE0482"/>
    <w:rsid w:val="00AE0B33"/>
    <w:rsid w:val="00AE1380"/>
    <w:rsid w:val="00AE235B"/>
    <w:rsid w:val="00AE2CCD"/>
    <w:rsid w:val="00AE5790"/>
    <w:rsid w:val="00AF1137"/>
    <w:rsid w:val="00AF4FF1"/>
    <w:rsid w:val="00AF57EA"/>
    <w:rsid w:val="00B026C1"/>
    <w:rsid w:val="00B10CFF"/>
    <w:rsid w:val="00B12B6A"/>
    <w:rsid w:val="00B1351C"/>
    <w:rsid w:val="00B13653"/>
    <w:rsid w:val="00B17948"/>
    <w:rsid w:val="00B20FD4"/>
    <w:rsid w:val="00B22837"/>
    <w:rsid w:val="00B22DB5"/>
    <w:rsid w:val="00B2315E"/>
    <w:rsid w:val="00B27378"/>
    <w:rsid w:val="00B33003"/>
    <w:rsid w:val="00B34880"/>
    <w:rsid w:val="00B350C4"/>
    <w:rsid w:val="00B35EBC"/>
    <w:rsid w:val="00B37637"/>
    <w:rsid w:val="00B37A07"/>
    <w:rsid w:val="00B40EB7"/>
    <w:rsid w:val="00B43D94"/>
    <w:rsid w:val="00B45F76"/>
    <w:rsid w:val="00B47AE3"/>
    <w:rsid w:val="00B57A26"/>
    <w:rsid w:val="00B603D1"/>
    <w:rsid w:val="00B63EB1"/>
    <w:rsid w:val="00B72F43"/>
    <w:rsid w:val="00B75035"/>
    <w:rsid w:val="00B76F10"/>
    <w:rsid w:val="00B77199"/>
    <w:rsid w:val="00B81EFB"/>
    <w:rsid w:val="00B83A09"/>
    <w:rsid w:val="00B87DBE"/>
    <w:rsid w:val="00B93EB9"/>
    <w:rsid w:val="00B94D91"/>
    <w:rsid w:val="00B966F6"/>
    <w:rsid w:val="00B971E8"/>
    <w:rsid w:val="00B973E3"/>
    <w:rsid w:val="00BA0254"/>
    <w:rsid w:val="00BA0328"/>
    <w:rsid w:val="00BA13B7"/>
    <w:rsid w:val="00BA1CD4"/>
    <w:rsid w:val="00BA2024"/>
    <w:rsid w:val="00BA230B"/>
    <w:rsid w:val="00BA630D"/>
    <w:rsid w:val="00BB140D"/>
    <w:rsid w:val="00BB3826"/>
    <w:rsid w:val="00BB45FD"/>
    <w:rsid w:val="00BB4B9F"/>
    <w:rsid w:val="00BC28C8"/>
    <w:rsid w:val="00BC60C9"/>
    <w:rsid w:val="00BC62EB"/>
    <w:rsid w:val="00BC7730"/>
    <w:rsid w:val="00BC7D78"/>
    <w:rsid w:val="00BD21E9"/>
    <w:rsid w:val="00BD3245"/>
    <w:rsid w:val="00BD373A"/>
    <w:rsid w:val="00BD4ECF"/>
    <w:rsid w:val="00BD69C1"/>
    <w:rsid w:val="00BD7C07"/>
    <w:rsid w:val="00BE058A"/>
    <w:rsid w:val="00BE312A"/>
    <w:rsid w:val="00BE33E1"/>
    <w:rsid w:val="00BE4076"/>
    <w:rsid w:val="00BE5BAA"/>
    <w:rsid w:val="00BE6A0C"/>
    <w:rsid w:val="00BF2126"/>
    <w:rsid w:val="00BF5829"/>
    <w:rsid w:val="00BF5F52"/>
    <w:rsid w:val="00BF6AAE"/>
    <w:rsid w:val="00BF77DC"/>
    <w:rsid w:val="00C00F9E"/>
    <w:rsid w:val="00C06C56"/>
    <w:rsid w:val="00C10A88"/>
    <w:rsid w:val="00C1310C"/>
    <w:rsid w:val="00C17829"/>
    <w:rsid w:val="00C202ED"/>
    <w:rsid w:val="00C202F4"/>
    <w:rsid w:val="00C2243D"/>
    <w:rsid w:val="00C2618E"/>
    <w:rsid w:val="00C3317A"/>
    <w:rsid w:val="00C34717"/>
    <w:rsid w:val="00C34C1B"/>
    <w:rsid w:val="00C37BD8"/>
    <w:rsid w:val="00C471CC"/>
    <w:rsid w:val="00C47C1D"/>
    <w:rsid w:val="00C51C41"/>
    <w:rsid w:val="00C52B20"/>
    <w:rsid w:val="00C52D50"/>
    <w:rsid w:val="00C55493"/>
    <w:rsid w:val="00C55A61"/>
    <w:rsid w:val="00C57C08"/>
    <w:rsid w:val="00C60A5E"/>
    <w:rsid w:val="00C62311"/>
    <w:rsid w:val="00C63DC4"/>
    <w:rsid w:val="00C6443A"/>
    <w:rsid w:val="00C6456F"/>
    <w:rsid w:val="00C649F4"/>
    <w:rsid w:val="00C70933"/>
    <w:rsid w:val="00C715EC"/>
    <w:rsid w:val="00C73F4A"/>
    <w:rsid w:val="00C81788"/>
    <w:rsid w:val="00C83AA7"/>
    <w:rsid w:val="00C85551"/>
    <w:rsid w:val="00C86D39"/>
    <w:rsid w:val="00C905AC"/>
    <w:rsid w:val="00C90717"/>
    <w:rsid w:val="00C91C58"/>
    <w:rsid w:val="00C9284C"/>
    <w:rsid w:val="00C94B99"/>
    <w:rsid w:val="00CA2FDA"/>
    <w:rsid w:val="00CA5320"/>
    <w:rsid w:val="00CB0FD3"/>
    <w:rsid w:val="00CB1CA0"/>
    <w:rsid w:val="00CB1E65"/>
    <w:rsid w:val="00CB2242"/>
    <w:rsid w:val="00CB252C"/>
    <w:rsid w:val="00CB364C"/>
    <w:rsid w:val="00CB5B3B"/>
    <w:rsid w:val="00CB7900"/>
    <w:rsid w:val="00CC37C1"/>
    <w:rsid w:val="00CC6DEC"/>
    <w:rsid w:val="00CC7462"/>
    <w:rsid w:val="00CD057F"/>
    <w:rsid w:val="00CD1239"/>
    <w:rsid w:val="00CD2FEA"/>
    <w:rsid w:val="00CD4420"/>
    <w:rsid w:val="00CE22B9"/>
    <w:rsid w:val="00CE37E4"/>
    <w:rsid w:val="00CE5AFB"/>
    <w:rsid w:val="00CE6966"/>
    <w:rsid w:val="00CE7B69"/>
    <w:rsid w:val="00CF08C8"/>
    <w:rsid w:val="00CF77B5"/>
    <w:rsid w:val="00D0129F"/>
    <w:rsid w:val="00D044EB"/>
    <w:rsid w:val="00D054F5"/>
    <w:rsid w:val="00D10C59"/>
    <w:rsid w:val="00D146F3"/>
    <w:rsid w:val="00D1566C"/>
    <w:rsid w:val="00D22E9B"/>
    <w:rsid w:val="00D352CD"/>
    <w:rsid w:val="00D367B2"/>
    <w:rsid w:val="00D37389"/>
    <w:rsid w:val="00D37D3E"/>
    <w:rsid w:val="00D40E0B"/>
    <w:rsid w:val="00D40F29"/>
    <w:rsid w:val="00D40FDF"/>
    <w:rsid w:val="00D41C60"/>
    <w:rsid w:val="00D420DF"/>
    <w:rsid w:val="00D46968"/>
    <w:rsid w:val="00D532AA"/>
    <w:rsid w:val="00D5411E"/>
    <w:rsid w:val="00D54F45"/>
    <w:rsid w:val="00D55C0F"/>
    <w:rsid w:val="00D60353"/>
    <w:rsid w:val="00D61AB9"/>
    <w:rsid w:val="00D62C69"/>
    <w:rsid w:val="00D64300"/>
    <w:rsid w:val="00D656F2"/>
    <w:rsid w:val="00D66A43"/>
    <w:rsid w:val="00D7178B"/>
    <w:rsid w:val="00D73157"/>
    <w:rsid w:val="00D7355C"/>
    <w:rsid w:val="00D73D76"/>
    <w:rsid w:val="00D803B1"/>
    <w:rsid w:val="00D83AB7"/>
    <w:rsid w:val="00D8658F"/>
    <w:rsid w:val="00D9136A"/>
    <w:rsid w:val="00D92FC1"/>
    <w:rsid w:val="00D93BF4"/>
    <w:rsid w:val="00D93E19"/>
    <w:rsid w:val="00D93FA6"/>
    <w:rsid w:val="00DA12A7"/>
    <w:rsid w:val="00DA2C7F"/>
    <w:rsid w:val="00DA3254"/>
    <w:rsid w:val="00DA5789"/>
    <w:rsid w:val="00DA661C"/>
    <w:rsid w:val="00DB59F9"/>
    <w:rsid w:val="00DC0C37"/>
    <w:rsid w:val="00DC518C"/>
    <w:rsid w:val="00DC5A1B"/>
    <w:rsid w:val="00DC60C2"/>
    <w:rsid w:val="00DC7050"/>
    <w:rsid w:val="00DD0A77"/>
    <w:rsid w:val="00DD2441"/>
    <w:rsid w:val="00DD5C8B"/>
    <w:rsid w:val="00DD7686"/>
    <w:rsid w:val="00DE00B7"/>
    <w:rsid w:val="00DE09E6"/>
    <w:rsid w:val="00DE61EF"/>
    <w:rsid w:val="00DF2EBE"/>
    <w:rsid w:val="00DF3D48"/>
    <w:rsid w:val="00DF5FEE"/>
    <w:rsid w:val="00E0211F"/>
    <w:rsid w:val="00E023B7"/>
    <w:rsid w:val="00E03AD8"/>
    <w:rsid w:val="00E05DE7"/>
    <w:rsid w:val="00E100A2"/>
    <w:rsid w:val="00E158C7"/>
    <w:rsid w:val="00E1741E"/>
    <w:rsid w:val="00E253F0"/>
    <w:rsid w:val="00E2575C"/>
    <w:rsid w:val="00E2610B"/>
    <w:rsid w:val="00E2776C"/>
    <w:rsid w:val="00E31B41"/>
    <w:rsid w:val="00E321E1"/>
    <w:rsid w:val="00E35516"/>
    <w:rsid w:val="00E36F5A"/>
    <w:rsid w:val="00E36F8F"/>
    <w:rsid w:val="00E43EC8"/>
    <w:rsid w:val="00E44DAD"/>
    <w:rsid w:val="00E51FE0"/>
    <w:rsid w:val="00E52B10"/>
    <w:rsid w:val="00E55144"/>
    <w:rsid w:val="00E574E0"/>
    <w:rsid w:val="00E57891"/>
    <w:rsid w:val="00E6274C"/>
    <w:rsid w:val="00E63216"/>
    <w:rsid w:val="00E7136A"/>
    <w:rsid w:val="00E71EFF"/>
    <w:rsid w:val="00E74DE2"/>
    <w:rsid w:val="00E74F01"/>
    <w:rsid w:val="00E76F91"/>
    <w:rsid w:val="00E77A1C"/>
    <w:rsid w:val="00E77CEC"/>
    <w:rsid w:val="00E82342"/>
    <w:rsid w:val="00E8278B"/>
    <w:rsid w:val="00E82B79"/>
    <w:rsid w:val="00E85DAF"/>
    <w:rsid w:val="00E943E2"/>
    <w:rsid w:val="00EA10C3"/>
    <w:rsid w:val="00EA2224"/>
    <w:rsid w:val="00EA296E"/>
    <w:rsid w:val="00EB0BB2"/>
    <w:rsid w:val="00EC1882"/>
    <w:rsid w:val="00EC5375"/>
    <w:rsid w:val="00EC5B4C"/>
    <w:rsid w:val="00ED3544"/>
    <w:rsid w:val="00ED4705"/>
    <w:rsid w:val="00ED6A12"/>
    <w:rsid w:val="00EE5BE0"/>
    <w:rsid w:val="00EE7DD1"/>
    <w:rsid w:val="00EF0C42"/>
    <w:rsid w:val="00EF423A"/>
    <w:rsid w:val="00EF60DA"/>
    <w:rsid w:val="00F009CD"/>
    <w:rsid w:val="00F01051"/>
    <w:rsid w:val="00F016CB"/>
    <w:rsid w:val="00F04CC8"/>
    <w:rsid w:val="00F05E0F"/>
    <w:rsid w:val="00F06734"/>
    <w:rsid w:val="00F11C5C"/>
    <w:rsid w:val="00F13DCA"/>
    <w:rsid w:val="00F22F9F"/>
    <w:rsid w:val="00F25CF0"/>
    <w:rsid w:val="00F3533C"/>
    <w:rsid w:val="00F43838"/>
    <w:rsid w:val="00F4734F"/>
    <w:rsid w:val="00F51F17"/>
    <w:rsid w:val="00F53491"/>
    <w:rsid w:val="00F53CE1"/>
    <w:rsid w:val="00F71FB2"/>
    <w:rsid w:val="00F74830"/>
    <w:rsid w:val="00F76C2B"/>
    <w:rsid w:val="00F77326"/>
    <w:rsid w:val="00F777D1"/>
    <w:rsid w:val="00F821AC"/>
    <w:rsid w:val="00F84E97"/>
    <w:rsid w:val="00F9416A"/>
    <w:rsid w:val="00F94C04"/>
    <w:rsid w:val="00F94F8E"/>
    <w:rsid w:val="00F96372"/>
    <w:rsid w:val="00F969F5"/>
    <w:rsid w:val="00FA198D"/>
    <w:rsid w:val="00FB32E0"/>
    <w:rsid w:val="00FB3B62"/>
    <w:rsid w:val="00FB4B68"/>
    <w:rsid w:val="00FB5AAA"/>
    <w:rsid w:val="00FD4B21"/>
    <w:rsid w:val="00FD5E94"/>
    <w:rsid w:val="00FD70EB"/>
    <w:rsid w:val="00FE1A9A"/>
    <w:rsid w:val="00FE632F"/>
    <w:rsid w:val="00FF10C2"/>
    <w:rsid w:val="00FF1D4A"/>
    <w:rsid w:val="00FF3FF8"/>
    <w:rsid w:val="00FF505A"/>
    <w:rsid w:val="00FF563B"/>
    <w:rsid w:val="00FF663E"/>
    <w:rsid w:val="010356C7"/>
    <w:rsid w:val="01112402"/>
    <w:rsid w:val="012C12D6"/>
    <w:rsid w:val="01397E3A"/>
    <w:rsid w:val="01494434"/>
    <w:rsid w:val="01AA66ED"/>
    <w:rsid w:val="01AF186C"/>
    <w:rsid w:val="02311DA8"/>
    <w:rsid w:val="029B1D5C"/>
    <w:rsid w:val="02CA6A97"/>
    <w:rsid w:val="02D321B8"/>
    <w:rsid w:val="03062481"/>
    <w:rsid w:val="031A02C7"/>
    <w:rsid w:val="033F44B5"/>
    <w:rsid w:val="036B21D5"/>
    <w:rsid w:val="03866B19"/>
    <w:rsid w:val="038E7471"/>
    <w:rsid w:val="03A77A65"/>
    <w:rsid w:val="03BC3C60"/>
    <w:rsid w:val="03C76C08"/>
    <w:rsid w:val="03D60C3D"/>
    <w:rsid w:val="03D81760"/>
    <w:rsid w:val="03EB5489"/>
    <w:rsid w:val="041073A6"/>
    <w:rsid w:val="04410046"/>
    <w:rsid w:val="04C256BA"/>
    <w:rsid w:val="052B3FB8"/>
    <w:rsid w:val="054B562E"/>
    <w:rsid w:val="055A5893"/>
    <w:rsid w:val="05880A6B"/>
    <w:rsid w:val="059B3338"/>
    <w:rsid w:val="05A04AA4"/>
    <w:rsid w:val="05C60EE1"/>
    <w:rsid w:val="05C745B8"/>
    <w:rsid w:val="05D21D37"/>
    <w:rsid w:val="05EA7B6D"/>
    <w:rsid w:val="05F84082"/>
    <w:rsid w:val="05FA7D6E"/>
    <w:rsid w:val="06550C43"/>
    <w:rsid w:val="068B36CC"/>
    <w:rsid w:val="068D1803"/>
    <w:rsid w:val="06B13CF4"/>
    <w:rsid w:val="06C72F75"/>
    <w:rsid w:val="07A86521"/>
    <w:rsid w:val="07B91F5B"/>
    <w:rsid w:val="07CA52A2"/>
    <w:rsid w:val="07CB1A58"/>
    <w:rsid w:val="07D20797"/>
    <w:rsid w:val="07D92CC4"/>
    <w:rsid w:val="08384982"/>
    <w:rsid w:val="086C103D"/>
    <w:rsid w:val="08785D64"/>
    <w:rsid w:val="08B77E71"/>
    <w:rsid w:val="08C47634"/>
    <w:rsid w:val="08EB1405"/>
    <w:rsid w:val="08F55377"/>
    <w:rsid w:val="090A5A0D"/>
    <w:rsid w:val="09147899"/>
    <w:rsid w:val="097C1AC2"/>
    <w:rsid w:val="0A897D3C"/>
    <w:rsid w:val="0A8F40FF"/>
    <w:rsid w:val="0AAC3242"/>
    <w:rsid w:val="0ACA2A08"/>
    <w:rsid w:val="0ADE10C2"/>
    <w:rsid w:val="0AEC366B"/>
    <w:rsid w:val="0AF8627A"/>
    <w:rsid w:val="0B0A5AB7"/>
    <w:rsid w:val="0B451441"/>
    <w:rsid w:val="0B4A3029"/>
    <w:rsid w:val="0B5D141A"/>
    <w:rsid w:val="0B7E4936"/>
    <w:rsid w:val="0B8C2110"/>
    <w:rsid w:val="0BE94F4F"/>
    <w:rsid w:val="0BE95297"/>
    <w:rsid w:val="0C2A50B3"/>
    <w:rsid w:val="0C96131B"/>
    <w:rsid w:val="0C9F2E58"/>
    <w:rsid w:val="0CA110C5"/>
    <w:rsid w:val="0CD738CD"/>
    <w:rsid w:val="0D5C138B"/>
    <w:rsid w:val="0D6E25E0"/>
    <w:rsid w:val="0D846002"/>
    <w:rsid w:val="0D9A77CF"/>
    <w:rsid w:val="0DB5603B"/>
    <w:rsid w:val="0E235E1D"/>
    <w:rsid w:val="0E4B4E6F"/>
    <w:rsid w:val="0E4C4734"/>
    <w:rsid w:val="0E5360DA"/>
    <w:rsid w:val="0E8A5825"/>
    <w:rsid w:val="0EB513B8"/>
    <w:rsid w:val="0EB51F90"/>
    <w:rsid w:val="0EE27D3F"/>
    <w:rsid w:val="0F69035A"/>
    <w:rsid w:val="0FA16AEC"/>
    <w:rsid w:val="10322838"/>
    <w:rsid w:val="10467081"/>
    <w:rsid w:val="10640F2B"/>
    <w:rsid w:val="107D7E63"/>
    <w:rsid w:val="108C65E8"/>
    <w:rsid w:val="10B54548"/>
    <w:rsid w:val="10BD7973"/>
    <w:rsid w:val="10C6276C"/>
    <w:rsid w:val="111862E8"/>
    <w:rsid w:val="114473D8"/>
    <w:rsid w:val="11DF6AF7"/>
    <w:rsid w:val="11F2647D"/>
    <w:rsid w:val="11F43974"/>
    <w:rsid w:val="120E2A53"/>
    <w:rsid w:val="1235520E"/>
    <w:rsid w:val="125615A4"/>
    <w:rsid w:val="126D40C3"/>
    <w:rsid w:val="126D5A5B"/>
    <w:rsid w:val="12E14290"/>
    <w:rsid w:val="12E629E8"/>
    <w:rsid w:val="12F8197F"/>
    <w:rsid w:val="13253D8F"/>
    <w:rsid w:val="134E0A13"/>
    <w:rsid w:val="13A539CC"/>
    <w:rsid w:val="13A54DAB"/>
    <w:rsid w:val="13C7439C"/>
    <w:rsid w:val="13C86A1E"/>
    <w:rsid w:val="13D83659"/>
    <w:rsid w:val="14066D08"/>
    <w:rsid w:val="1406700E"/>
    <w:rsid w:val="143E44B2"/>
    <w:rsid w:val="14933283"/>
    <w:rsid w:val="149769F5"/>
    <w:rsid w:val="14AC5B05"/>
    <w:rsid w:val="14AD52D2"/>
    <w:rsid w:val="14BD0A2B"/>
    <w:rsid w:val="14C56976"/>
    <w:rsid w:val="15013A46"/>
    <w:rsid w:val="15031E89"/>
    <w:rsid w:val="15056377"/>
    <w:rsid w:val="150B7EB1"/>
    <w:rsid w:val="150E311E"/>
    <w:rsid w:val="1523001C"/>
    <w:rsid w:val="153550B1"/>
    <w:rsid w:val="154420F6"/>
    <w:rsid w:val="1549032C"/>
    <w:rsid w:val="155160A3"/>
    <w:rsid w:val="155726EB"/>
    <w:rsid w:val="156F1A97"/>
    <w:rsid w:val="158E6348"/>
    <w:rsid w:val="15A16A0E"/>
    <w:rsid w:val="15AA0EFD"/>
    <w:rsid w:val="163140A3"/>
    <w:rsid w:val="165332B0"/>
    <w:rsid w:val="168C02BE"/>
    <w:rsid w:val="16A27147"/>
    <w:rsid w:val="16AE3DC3"/>
    <w:rsid w:val="17025CC1"/>
    <w:rsid w:val="17F12353"/>
    <w:rsid w:val="17F35F97"/>
    <w:rsid w:val="18066DCF"/>
    <w:rsid w:val="1881683C"/>
    <w:rsid w:val="18D63108"/>
    <w:rsid w:val="18D67553"/>
    <w:rsid w:val="18EC0C77"/>
    <w:rsid w:val="18F872ED"/>
    <w:rsid w:val="192C16DF"/>
    <w:rsid w:val="192C1FDA"/>
    <w:rsid w:val="192F7AF5"/>
    <w:rsid w:val="194E507B"/>
    <w:rsid w:val="1967584B"/>
    <w:rsid w:val="197031C4"/>
    <w:rsid w:val="19735495"/>
    <w:rsid w:val="19832F5B"/>
    <w:rsid w:val="19A95F67"/>
    <w:rsid w:val="1A4D4ED7"/>
    <w:rsid w:val="1A5D5C11"/>
    <w:rsid w:val="1A765C30"/>
    <w:rsid w:val="1AA9339D"/>
    <w:rsid w:val="1ADF399C"/>
    <w:rsid w:val="1AE61CFB"/>
    <w:rsid w:val="1B411BAC"/>
    <w:rsid w:val="1B4513F4"/>
    <w:rsid w:val="1B4B09EC"/>
    <w:rsid w:val="1B7B6D61"/>
    <w:rsid w:val="1BC0036F"/>
    <w:rsid w:val="1BDA2941"/>
    <w:rsid w:val="1C0B21D4"/>
    <w:rsid w:val="1C140638"/>
    <w:rsid w:val="1C503AD5"/>
    <w:rsid w:val="1C8513AC"/>
    <w:rsid w:val="1C87231C"/>
    <w:rsid w:val="1C8A6B52"/>
    <w:rsid w:val="1C901618"/>
    <w:rsid w:val="1CBE1541"/>
    <w:rsid w:val="1CDD236C"/>
    <w:rsid w:val="1D0C7350"/>
    <w:rsid w:val="1D383CD2"/>
    <w:rsid w:val="1D84119A"/>
    <w:rsid w:val="1DA35CA8"/>
    <w:rsid w:val="1DCF44C9"/>
    <w:rsid w:val="1DE056E3"/>
    <w:rsid w:val="1DFB723F"/>
    <w:rsid w:val="1E3A2C26"/>
    <w:rsid w:val="1E891CFF"/>
    <w:rsid w:val="1E8E1B05"/>
    <w:rsid w:val="1E90475D"/>
    <w:rsid w:val="1EBA63AA"/>
    <w:rsid w:val="1EF1739B"/>
    <w:rsid w:val="1F950B0E"/>
    <w:rsid w:val="1FC31D1B"/>
    <w:rsid w:val="1FC66764"/>
    <w:rsid w:val="1FD73D7C"/>
    <w:rsid w:val="1FF30BF4"/>
    <w:rsid w:val="1FF64ED6"/>
    <w:rsid w:val="2010675E"/>
    <w:rsid w:val="20AC4F95"/>
    <w:rsid w:val="20C13257"/>
    <w:rsid w:val="20CC446F"/>
    <w:rsid w:val="20F060D9"/>
    <w:rsid w:val="20F45241"/>
    <w:rsid w:val="210A436B"/>
    <w:rsid w:val="216D4D7B"/>
    <w:rsid w:val="21833080"/>
    <w:rsid w:val="21F31693"/>
    <w:rsid w:val="21F910D7"/>
    <w:rsid w:val="22104D9D"/>
    <w:rsid w:val="22913664"/>
    <w:rsid w:val="22934136"/>
    <w:rsid w:val="2358281C"/>
    <w:rsid w:val="2369012E"/>
    <w:rsid w:val="237F6ECA"/>
    <w:rsid w:val="240D25B2"/>
    <w:rsid w:val="24237AD5"/>
    <w:rsid w:val="24446D41"/>
    <w:rsid w:val="24ED3012"/>
    <w:rsid w:val="25745E0A"/>
    <w:rsid w:val="259278C6"/>
    <w:rsid w:val="25BA65F3"/>
    <w:rsid w:val="25C802DE"/>
    <w:rsid w:val="25CE1E5B"/>
    <w:rsid w:val="25ED0A91"/>
    <w:rsid w:val="260316AC"/>
    <w:rsid w:val="26195316"/>
    <w:rsid w:val="26597B76"/>
    <w:rsid w:val="265A5430"/>
    <w:rsid w:val="267553E0"/>
    <w:rsid w:val="268221A7"/>
    <w:rsid w:val="26F6767F"/>
    <w:rsid w:val="27017691"/>
    <w:rsid w:val="271634B9"/>
    <w:rsid w:val="27267291"/>
    <w:rsid w:val="272E0285"/>
    <w:rsid w:val="272F61C6"/>
    <w:rsid w:val="27530A17"/>
    <w:rsid w:val="27914F31"/>
    <w:rsid w:val="27CF4FCC"/>
    <w:rsid w:val="27D76067"/>
    <w:rsid w:val="27F8541D"/>
    <w:rsid w:val="280C71E1"/>
    <w:rsid w:val="28B628F9"/>
    <w:rsid w:val="28CC3AAA"/>
    <w:rsid w:val="29413E7F"/>
    <w:rsid w:val="29690EE9"/>
    <w:rsid w:val="297A6095"/>
    <w:rsid w:val="299B3CD4"/>
    <w:rsid w:val="29BA2285"/>
    <w:rsid w:val="29CB7CE9"/>
    <w:rsid w:val="29D305D0"/>
    <w:rsid w:val="29E474E4"/>
    <w:rsid w:val="2A4F70B8"/>
    <w:rsid w:val="2A995328"/>
    <w:rsid w:val="2AFF52D4"/>
    <w:rsid w:val="2B0C66C4"/>
    <w:rsid w:val="2B6F4592"/>
    <w:rsid w:val="2C140DC1"/>
    <w:rsid w:val="2C1E2814"/>
    <w:rsid w:val="2C2F6029"/>
    <w:rsid w:val="2C9A0D59"/>
    <w:rsid w:val="2CAE68B8"/>
    <w:rsid w:val="2CC06972"/>
    <w:rsid w:val="2D1E3503"/>
    <w:rsid w:val="2D9C7A06"/>
    <w:rsid w:val="2E06082A"/>
    <w:rsid w:val="2E337A33"/>
    <w:rsid w:val="2E394092"/>
    <w:rsid w:val="2EB6416B"/>
    <w:rsid w:val="2ECF14A2"/>
    <w:rsid w:val="2EDE06F8"/>
    <w:rsid w:val="2EE1077C"/>
    <w:rsid w:val="2EE318DA"/>
    <w:rsid w:val="2EF007F1"/>
    <w:rsid w:val="2EF71751"/>
    <w:rsid w:val="2F3E10F2"/>
    <w:rsid w:val="2F781D9F"/>
    <w:rsid w:val="2F7E1908"/>
    <w:rsid w:val="2F9670A3"/>
    <w:rsid w:val="2F9E5982"/>
    <w:rsid w:val="2FB520F5"/>
    <w:rsid w:val="2FCC353F"/>
    <w:rsid w:val="302C79D7"/>
    <w:rsid w:val="302D657C"/>
    <w:rsid w:val="3040072D"/>
    <w:rsid w:val="30731F21"/>
    <w:rsid w:val="30AD64AB"/>
    <w:rsid w:val="30BF6371"/>
    <w:rsid w:val="30EF6076"/>
    <w:rsid w:val="31337462"/>
    <w:rsid w:val="31571D3B"/>
    <w:rsid w:val="31887D1E"/>
    <w:rsid w:val="31C61865"/>
    <w:rsid w:val="3208332C"/>
    <w:rsid w:val="327409F2"/>
    <w:rsid w:val="32846234"/>
    <w:rsid w:val="32D66A4E"/>
    <w:rsid w:val="32DB5519"/>
    <w:rsid w:val="330355E4"/>
    <w:rsid w:val="332D10ED"/>
    <w:rsid w:val="335E0D20"/>
    <w:rsid w:val="33774F77"/>
    <w:rsid w:val="338B1B34"/>
    <w:rsid w:val="34541FEF"/>
    <w:rsid w:val="348318B6"/>
    <w:rsid w:val="349103AB"/>
    <w:rsid w:val="352B7999"/>
    <w:rsid w:val="352E16E3"/>
    <w:rsid w:val="358C7364"/>
    <w:rsid w:val="35C07345"/>
    <w:rsid w:val="35C20782"/>
    <w:rsid w:val="35EA20C3"/>
    <w:rsid w:val="35F17C6A"/>
    <w:rsid w:val="36271E23"/>
    <w:rsid w:val="364A5A43"/>
    <w:rsid w:val="3663060B"/>
    <w:rsid w:val="367253C2"/>
    <w:rsid w:val="36A851C4"/>
    <w:rsid w:val="36C01A73"/>
    <w:rsid w:val="36D11D4D"/>
    <w:rsid w:val="37391CF5"/>
    <w:rsid w:val="378B013B"/>
    <w:rsid w:val="378F122A"/>
    <w:rsid w:val="37B251BF"/>
    <w:rsid w:val="37C03A73"/>
    <w:rsid w:val="37C7758B"/>
    <w:rsid w:val="37E7260F"/>
    <w:rsid w:val="381309BD"/>
    <w:rsid w:val="381672BE"/>
    <w:rsid w:val="38196BDD"/>
    <w:rsid w:val="38280E94"/>
    <w:rsid w:val="3832548A"/>
    <w:rsid w:val="38367B65"/>
    <w:rsid w:val="383778FA"/>
    <w:rsid w:val="38A36176"/>
    <w:rsid w:val="38B77D39"/>
    <w:rsid w:val="39077CDA"/>
    <w:rsid w:val="39473E90"/>
    <w:rsid w:val="394C363A"/>
    <w:rsid w:val="395F005F"/>
    <w:rsid w:val="398E32AD"/>
    <w:rsid w:val="39C73CB0"/>
    <w:rsid w:val="3A044D2B"/>
    <w:rsid w:val="3A0F2813"/>
    <w:rsid w:val="3A3E65B1"/>
    <w:rsid w:val="3A477D05"/>
    <w:rsid w:val="3A561210"/>
    <w:rsid w:val="3A627A92"/>
    <w:rsid w:val="3A7C077E"/>
    <w:rsid w:val="3AE35320"/>
    <w:rsid w:val="3BB92BB4"/>
    <w:rsid w:val="3BEE5BFD"/>
    <w:rsid w:val="3BFB0DC3"/>
    <w:rsid w:val="3C465BB8"/>
    <w:rsid w:val="3C57157E"/>
    <w:rsid w:val="3C7E4D14"/>
    <w:rsid w:val="3C811C34"/>
    <w:rsid w:val="3C8E6654"/>
    <w:rsid w:val="3C9073A4"/>
    <w:rsid w:val="3D070E30"/>
    <w:rsid w:val="3D1C1534"/>
    <w:rsid w:val="3D1D1975"/>
    <w:rsid w:val="3D1F26C0"/>
    <w:rsid w:val="3D25335F"/>
    <w:rsid w:val="3D6118C8"/>
    <w:rsid w:val="3DB37811"/>
    <w:rsid w:val="3DD35F12"/>
    <w:rsid w:val="3DE92523"/>
    <w:rsid w:val="3DEE0BF9"/>
    <w:rsid w:val="3E596A82"/>
    <w:rsid w:val="3E777A24"/>
    <w:rsid w:val="3EC64198"/>
    <w:rsid w:val="3EE216CE"/>
    <w:rsid w:val="3F543F8E"/>
    <w:rsid w:val="3F5A6DD8"/>
    <w:rsid w:val="3F783D05"/>
    <w:rsid w:val="3FD37D64"/>
    <w:rsid w:val="3FEA7254"/>
    <w:rsid w:val="401F2A6D"/>
    <w:rsid w:val="40285F8F"/>
    <w:rsid w:val="40415E7C"/>
    <w:rsid w:val="40430681"/>
    <w:rsid w:val="404B547B"/>
    <w:rsid w:val="407A00AC"/>
    <w:rsid w:val="40C83334"/>
    <w:rsid w:val="40E35CD6"/>
    <w:rsid w:val="40F97A5B"/>
    <w:rsid w:val="41182D1A"/>
    <w:rsid w:val="413D3373"/>
    <w:rsid w:val="413D71FA"/>
    <w:rsid w:val="41612F4A"/>
    <w:rsid w:val="41A96D56"/>
    <w:rsid w:val="41B019D0"/>
    <w:rsid w:val="41DE0B99"/>
    <w:rsid w:val="41F336DE"/>
    <w:rsid w:val="42604CB7"/>
    <w:rsid w:val="42A34F10"/>
    <w:rsid w:val="436F72EB"/>
    <w:rsid w:val="43BA0CAA"/>
    <w:rsid w:val="43C81202"/>
    <w:rsid w:val="440D1279"/>
    <w:rsid w:val="441F4606"/>
    <w:rsid w:val="442F18BF"/>
    <w:rsid w:val="44653289"/>
    <w:rsid w:val="449E7D63"/>
    <w:rsid w:val="44AB0687"/>
    <w:rsid w:val="450D4E9C"/>
    <w:rsid w:val="45C30027"/>
    <w:rsid w:val="45DE42C7"/>
    <w:rsid w:val="460B16E6"/>
    <w:rsid w:val="46156449"/>
    <w:rsid w:val="465456FF"/>
    <w:rsid w:val="46837BC3"/>
    <w:rsid w:val="46E21770"/>
    <w:rsid w:val="47450A7E"/>
    <w:rsid w:val="474A2178"/>
    <w:rsid w:val="47632A44"/>
    <w:rsid w:val="47964FFF"/>
    <w:rsid w:val="47D23608"/>
    <w:rsid w:val="47D34E69"/>
    <w:rsid w:val="481B5B7A"/>
    <w:rsid w:val="481C5E26"/>
    <w:rsid w:val="48222017"/>
    <w:rsid w:val="484A6EE0"/>
    <w:rsid w:val="48685363"/>
    <w:rsid w:val="48961C98"/>
    <w:rsid w:val="48B325F6"/>
    <w:rsid w:val="48B76F01"/>
    <w:rsid w:val="48EB2D4A"/>
    <w:rsid w:val="48FB1825"/>
    <w:rsid w:val="495C55ED"/>
    <w:rsid w:val="495E64E9"/>
    <w:rsid w:val="496D1F4B"/>
    <w:rsid w:val="49A64A9E"/>
    <w:rsid w:val="49E7744F"/>
    <w:rsid w:val="4A1C1D44"/>
    <w:rsid w:val="4A215323"/>
    <w:rsid w:val="4A7F0F16"/>
    <w:rsid w:val="4AFD27C9"/>
    <w:rsid w:val="4AFE0D2B"/>
    <w:rsid w:val="4B245094"/>
    <w:rsid w:val="4B2F1B79"/>
    <w:rsid w:val="4B3D2140"/>
    <w:rsid w:val="4B426386"/>
    <w:rsid w:val="4B817D40"/>
    <w:rsid w:val="4BA1361C"/>
    <w:rsid w:val="4C15623A"/>
    <w:rsid w:val="4C1901D1"/>
    <w:rsid w:val="4C305703"/>
    <w:rsid w:val="4C424E61"/>
    <w:rsid w:val="4C4261BA"/>
    <w:rsid w:val="4CA262CC"/>
    <w:rsid w:val="4CA8298C"/>
    <w:rsid w:val="4CBD1754"/>
    <w:rsid w:val="4D3C6B55"/>
    <w:rsid w:val="4D663138"/>
    <w:rsid w:val="4D754D66"/>
    <w:rsid w:val="4D9E2448"/>
    <w:rsid w:val="4DBC2C9B"/>
    <w:rsid w:val="4DC356C6"/>
    <w:rsid w:val="4DC67D79"/>
    <w:rsid w:val="4DFF2BB2"/>
    <w:rsid w:val="4E014B3A"/>
    <w:rsid w:val="4E2222A6"/>
    <w:rsid w:val="4E872514"/>
    <w:rsid w:val="4EB426BF"/>
    <w:rsid w:val="4EB646B5"/>
    <w:rsid w:val="4EE629C2"/>
    <w:rsid w:val="4F085F00"/>
    <w:rsid w:val="4F2D314A"/>
    <w:rsid w:val="4F7067D9"/>
    <w:rsid w:val="4F8A6A4C"/>
    <w:rsid w:val="4FCD3F0F"/>
    <w:rsid w:val="4FD67273"/>
    <w:rsid w:val="4FE55E1A"/>
    <w:rsid w:val="50070E97"/>
    <w:rsid w:val="50663F80"/>
    <w:rsid w:val="5084333D"/>
    <w:rsid w:val="50927DB1"/>
    <w:rsid w:val="50BC7EBD"/>
    <w:rsid w:val="50D961B4"/>
    <w:rsid w:val="51880633"/>
    <w:rsid w:val="51B35D98"/>
    <w:rsid w:val="51ED42CD"/>
    <w:rsid w:val="51FC58E9"/>
    <w:rsid w:val="52125906"/>
    <w:rsid w:val="522F0F0B"/>
    <w:rsid w:val="527E6A76"/>
    <w:rsid w:val="5296385A"/>
    <w:rsid w:val="52D80D7F"/>
    <w:rsid w:val="5316205C"/>
    <w:rsid w:val="53186165"/>
    <w:rsid w:val="531E74F0"/>
    <w:rsid w:val="532007D0"/>
    <w:rsid w:val="53290091"/>
    <w:rsid w:val="5369309B"/>
    <w:rsid w:val="537C75FD"/>
    <w:rsid w:val="53DF5FC3"/>
    <w:rsid w:val="54011296"/>
    <w:rsid w:val="541A2615"/>
    <w:rsid w:val="54CA1471"/>
    <w:rsid w:val="54D9176C"/>
    <w:rsid w:val="54E04C7F"/>
    <w:rsid w:val="550724D3"/>
    <w:rsid w:val="554D6697"/>
    <w:rsid w:val="556556C6"/>
    <w:rsid w:val="55960D6F"/>
    <w:rsid w:val="55DA6447"/>
    <w:rsid w:val="55EA3D6E"/>
    <w:rsid w:val="55EC0B8D"/>
    <w:rsid w:val="560C78A7"/>
    <w:rsid w:val="56125C0F"/>
    <w:rsid w:val="56205D75"/>
    <w:rsid w:val="563046A1"/>
    <w:rsid w:val="56336B16"/>
    <w:rsid w:val="567C770E"/>
    <w:rsid w:val="5683169B"/>
    <w:rsid w:val="568D2D76"/>
    <w:rsid w:val="56C3540D"/>
    <w:rsid w:val="56EC3438"/>
    <w:rsid w:val="57B9483E"/>
    <w:rsid w:val="57EE657B"/>
    <w:rsid w:val="5862486A"/>
    <w:rsid w:val="58A05179"/>
    <w:rsid w:val="58B32AE3"/>
    <w:rsid w:val="58CA421F"/>
    <w:rsid w:val="590A76FB"/>
    <w:rsid w:val="593A072E"/>
    <w:rsid w:val="596241AA"/>
    <w:rsid w:val="59762EAA"/>
    <w:rsid w:val="597A23BF"/>
    <w:rsid w:val="599B5224"/>
    <w:rsid w:val="59A10ACA"/>
    <w:rsid w:val="59CA38E7"/>
    <w:rsid w:val="59E922D1"/>
    <w:rsid w:val="5A307AA0"/>
    <w:rsid w:val="5A541A82"/>
    <w:rsid w:val="5A564A8F"/>
    <w:rsid w:val="5A6A3216"/>
    <w:rsid w:val="5A7B167E"/>
    <w:rsid w:val="5AA06A5A"/>
    <w:rsid w:val="5AA45209"/>
    <w:rsid w:val="5AAB6336"/>
    <w:rsid w:val="5AB454CE"/>
    <w:rsid w:val="5B1F1711"/>
    <w:rsid w:val="5B3F35D4"/>
    <w:rsid w:val="5B430704"/>
    <w:rsid w:val="5B4F63E8"/>
    <w:rsid w:val="5BB97DC4"/>
    <w:rsid w:val="5BC10146"/>
    <w:rsid w:val="5BC844BF"/>
    <w:rsid w:val="5C141B0C"/>
    <w:rsid w:val="5C357FCB"/>
    <w:rsid w:val="5C77789F"/>
    <w:rsid w:val="5CAC21F8"/>
    <w:rsid w:val="5CC321B8"/>
    <w:rsid w:val="5CC52E27"/>
    <w:rsid w:val="5CC86280"/>
    <w:rsid w:val="5CD67255"/>
    <w:rsid w:val="5CDE578A"/>
    <w:rsid w:val="5CE97E2A"/>
    <w:rsid w:val="5D147A39"/>
    <w:rsid w:val="5D3310F6"/>
    <w:rsid w:val="5DAD2441"/>
    <w:rsid w:val="5DAD66F6"/>
    <w:rsid w:val="5DC60C17"/>
    <w:rsid w:val="5DD90D2B"/>
    <w:rsid w:val="5DEA198B"/>
    <w:rsid w:val="5E1E2692"/>
    <w:rsid w:val="5E32458D"/>
    <w:rsid w:val="5E44672C"/>
    <w:rsid w:val="5E5019D5"/>
    <w:rsid w:val="5E55473E"/>
    <w:rsid w:val="5E7C1BF0"/>
    <w:rsid w:val="5E8E1CF1"/>
    <w:rsid w:val="5F1201D7"/>
    <w:rsid w:val="5F6C5384"/>
    <w:rsid w:val="5F773D39"/>
    <w:rsid w:val="5F794959"/>
    <w:rsid w:val="5F8B438F"/>
    <w:rsid w:val="5FA076D2"/>
    <w:rsid w:val="5FBF739E"/>
    <w:rsid w:val="5FE06DB9"/>
    <w:rsid w:val="600B76FB"/>
    <w:rsid w:val="602D40DB"/>
    <w:rsid w:val="6050785D"/>
    <w:rsid w:val="60885401"/>
    <w:rsid w:val="60A269C8"/>
    <w:rsid w:val="60A5357D"/>
    <w:rsid w:val="60C67BFB"/>
    <w:rsid w:val="60C776BF"/>
    <w:rsid w:val="60EB2B98"/>
    <w:rsid w:val="60EF055C"/>
    <w:rsid w:val="60F1368F"/>
    <w:rsid w:val="60F47BAF"/>
    <w:rsid w:val="60FB119D"/>
    <w:rsid w:val="610E6E0D"/>
    <w:rsid w:val="611C7711"/>
    <w:rsid w:val="6146045B"/>
    <w:rsid w:val="614E73A1"/>
    <w:rsid w:val="616B2C8B"/>
    <w:rsid w:val="616C03FA"/>
    <w:rsid w:val="61965B40"/>
    <w:rsid w:val="619D7D92"/>
    <w:rsid w:val="61C05A90"/>
    <w:rsid w:val="61D24779"/>
    <w:rsid w:val="621F0205"/>
    <w:rsid w:val="622C3513"/>
    <w:rsid w:val="622D0F28"/>
    <w:rsid w:val="6247142D"/>
    <w:rsid w:val="62A312AB"/>
    <w:rsid w:val="62BE35A0"/>
    <w:rsid w:val="62C67A49"/>
    <w:rsid w:val="62FE4025"/>
    <w:rsid w:val="634C0A51"/>
    <w:rsid w:val="639465E0"/>
    <w:rsid w:val="63A60476"/>
    <w:rsid w:val="63AF673A"/>
    <w:rsid w:val="63B81724"/>
    <w:rsid w:val="63E46E82"/>
    <w:rsid w:val="64064D7B"/>
    <w:rsid w:val="640937CD"/>
    <w:rsid w:val="6425087A"/>
    <w:rsid w:val="643C1947"/>
    <w:rsid w:val="644A1515"/>
    <w:rsid w:val="646D7D61"/>
    <w:rsid w:val="64754CCF"/>
    <w:rsid w:val="6478794F"/>
    <w:rsid w:val="64AC77D6"/>
    <w:rsid w:val="64C05949"/>
    <w:rsid w:val="64E5311E"/>
    <w:rsid w:val="65002224"/>
    <w:rsid w:val="650E6B36"/>
    <w:rsid w:val="653B1EE7"/>
    <w:rsid w:val="65720627"/>
    <w:rsid w:val="6583561A"/>
    <w:rsid w:val="65CF4DE8"/>
    <w:rsid w:val="65EA7DEF"/>
    <w:rsid w:val="660E270E"/>
    <w:rsid w:val="66246E1E"/>
    <w:rsid w:val="66650FB5"/>
    <w:rsid w:val="66B86FF5"/>
    <w:rsid w:val="66B927C4"/>
    <w:rsid w:val="66C10912"/>
    <w:rsid w:val="672C44DE"/>
    <w:rsid w:val="67653782"/>
    <w:rsid w:val="676B1665"/>
    <w:rsid w:val="6777396D"/>
    <w:rsid w:val="678B61E2"/>
    <w:rsid w:val="67AA4ADA"/>
    <w:rsid w:val="67AF35F8"/>
    <w:rsid w:val="680F11E2"/>
    <w:rsid w:val="681D70D5"/>
    <w:rsid w:val="6837031E"/>
    <w:rsid w:val="68597F68"/>
    <w:rsid w:val="686A6D7D"/>
    <w:rsid w:val="688079E8"/>
    <w:rsid w:val="6882313F"/>
    <w:rsid w:val="68834E4A"/>
    <w:rsid w:val="688942B5"/>
    <w:rsid w:val="68E86849"/>
    <w:rsid w:val="69316FDD"/>
    <w:rsid w:val="694171D9"/>
    <w:rsid w:val="698D1CFB"/>
    <w:rsid w:val="69936047"/>
    <w:rsid w:val="69945D8F"/>
    <w:rsid w:val="69E03A7E"/>
    <w:rsid w:val="6A0E4BAD"/>
    <w:rsid w:val="6A216484"/>
    <w:rsid w:val="6A233628"/>
    <w:rsid w:val="6A451EAB"/>
    <w:rsid w:val="6A54364C"/>
    <w:rsid w:val="6A6A40B3"/>
    <w:rsid w:val="6AA74553"/>
    <w:rsid w:val="6ACC76E2"/>
    <w:rsid w:val="6ACD59A4"/>
    <w:rsid w:val="6ADC20D7"/>
    <w:rsid w:val="6AEC0CFA"/>
    <w:rsid w:val="6B4A5796"/>
    <w:rsid w:val="6B807DEE"/>
    <w:rsid w:val="6B8B6287"/>
    <w:rsid w:val="6BB662FD"/>
    <w:rsid w:val="6C0724D3"/>
    <w:rsid w:val="6C0F015C"/>
    <w:rsid w:val="6C40355F"/>
    <w:rsid w:val="6C4800AA"/>
    <w:rsid w:val="6C4B5F04"/>
    <w:rsid w:val="6C5E285F"/>
    <w:rsid w:val="6C7E030D"/>
    <w:rsid w:val="6CAC0691"/>
    <w:rsid w:val="6CEE029D"/>
    <w:rsid w:val="6CFA71F3"/>
    <w:rsid w:val="6CFF3500"/>
    <w:rsid w:val="6D12577D"/>
    <w:rsid w:val="6D3206D8"/>
    <w:rsid w:val="6D3310ED"/>
    <w:rsid w:val="6D4465A3"/>
    <w:rsid w:val="6D680332"/>
    <w:rsid w:val="6D6A229D"/>
    <w:rsid w:val="6E38621C"/>
    <w:rsid w:val="6E461725"/>
    <w:rsid w:val="6E6A4E02"/>
    <w:rsid w:val="6E7676F0"/>
    <w:rsid w:val="6E926FE6"/>
    <w:rsid w:val="6E937FE3"/>
    <w:rsid w:val="6E9A3CA2"/>
    <w:rsid w:val="6EA67CF7"/>
    <w:rsid w:val="6EAB614F"/>
    <w:rsid w:val="6EB804C3"/>
    <w:rsid w:val="6EE3031A"/>
    <w:rsid w:val="6EE75162"/>
    <w:rsid w:val="6EFB12D8"/>
    <w:rsid w:val="6F066E7D"/>
    <w:rsid w:val="6F4E5461"/>
    <w:rsid w:val="6F974F94"/>
    <w:rsid w:val="6FB323ED"/>
    <w:rsid w:val="6FE746D7"/>
    <w:rsid w:val="705A3A49"/>
    <w:rsid w:val="712C39DE"/>
    <w:rsid w:val="712C4058"/>
    <w:rsid w:val="71C044AA"/>
    <w:rsid w:val="71CC6FAA"/>
    <w:rsid w:val="71E03A43"/>
    <w:rsid w:val="725C7BBD"/>
    <w:rsid w:val="72617EC0"/>
    <w:rsid w:val="72882D73"/>
    <w:rsid w:val="729C375E"/>
    <w:rsid w:val="72B51F8D"/>
    <w:rsid w:val="72D00CE4"/>
    <w:rsid w:val="72EA72A8"/>
    <w:rsid w:val="73006583"/>
    <w:rsid w:val="73111968"/>
    <w:rsid w:val="732C3769"/>
    <w:rsid w:val="732E62EC"/>
    <w:rsid w:val="736254B0"/>
    <w:rsid w:val="73D853A2"/>
    <w:rsid w:val="73DC6354"/>
    <w:rsid w:val="73DE47B5"/>
    <w:rsid w:val="73DF76E6"/>
    <w:rsid w:val="7424729D"/>
    <w:rsid w:val="744D2B48"/>
    <w:rsid w:val="744F1DE7"/>
    <w:rsid w:val="745F299D"/>
    <w:rsid w:val="746722E9"/>
    <w:rsid w:val="7477780A"/>
    <w:rsid w:val="748C3E89"/>
    <w:rsid w:val="74C11ADA"/>
    <w:rsid w:val="74C17DED"/>
    <w:rsid w:val="754E0F18"/>
    <w:rsid w:val="756A0578"/>
    <w:rsid w:val="75AB4F94"/>
    <w:rsid w:val="75B356DA"/>
    <w:rsid w:val="75CE6E74"/>
    <w:rsid w:val="75DA2346"/>
    <w:rsid w:val="75FB2D3C"/>
    <w:rsid w:val="760D1572"/>
    <w:rsid w:val="769975AF"/>
    <w:rsid w:val="76AD2F9F"/>
    <w:rsid w:val="76B34426"/>
    <w:rsid w:val="773E4404"/>
    <w:rsid w:val="77857724"/>
    <w:rsid w:val="779E7BF9"/>
    <w:rsid w:val="77A36036"/>
    <w:rsid w:val="77EA3FDB"/>
    <w:rsid w:val="785844AC"/>
    <w:rsid w:val="786E1F6C"/>
    <w:rsid w:val="78902283"/>
    <w:rsid w:val="789C6911"/>
    <w:rsid w:val="78D1131A"/>
    <w:rsid w:val="78E15CCE"/>
    <w:rsid w:val="794347AC"/>
    <w:rsid w:val="79CB29D0"/>
    <w:rsid w:val="79CF5D6F"/>
    <w:rsid w:val="79DE14C7"/>
    <w:rsid w:val="79DF54D8"/>
    <w:rsid w:val="79FB0C86"/>
    <w:rsid w:val="7A014CDA"/>
    <w:rsid w:val="7A09058F"/>
    <w:rsid w:val="7A265256"/>
    <w:rsid w:val="7A565747"/>
    <w:rsid w:val="7A5C5181"/>
    <w:rsid w:val="7A870B32"/>
    <w:rsid w:val="7A9A3883"/>
    <w:rsid w:val="7AA84FC1"/>
    <w:rsid w:val="7AAD571C"/>
    <w:rsid w:val="7AB60CB5"/>
    <w:rsid w:val="7AD838BC"/>
    <w:rsid w:val="7B8928AC"/>
    <w:rsid w:val="7BA30489"/>
    <w:rsid w:val="7C960261"/>
    <w:rsid w:val="7CC159E0"/>
    <w:rsid w:val="7CCA22BA"/>
    <w:rsid w:val="7CDD4195"/>
    <w:rsid w:val="7D05224E"/>
    <w:rsid w:val="7D207AF7"/>
    <w:rsid w:val="7D2A1695"/>
    <w:rsid w:val="7D895C35"/>
    <w:rsid w:val="7DAD4BF6"/>
    <w:rsid w:val="7DF01A15"/>
    <w:rsid w:val="7DF252DD"/>
    <w:rsid w:val="7E1F62F1"/>
    <w:rsid w:val="7E26353A"/>
    <w:rsid w:val="7E547235"/>
    <w:rsid w:val="7E5D4DC8"/>
    <w:rsid w:val="7E826D46"/>
    <w:rsid w:val="7E91607F"/>
    <w:rsid w:val="7EAC1882"/>
    <w:rsid w:val="7ED64DC2"/>
    <w:rsid w:val="7F1F61E0"/>
    <w:rsid w:val="7F292BD8"/>
    <w:rsid w:val="7F2D71A2"/>
    <w:rsid w:val="7F2E4677"/>
    <w:rsid w:val="7F484333"/>
    <w:rsid w:val="7F5F6C46"/>
    <w:rsid w:val="7F6207A5"/>
    <w:rsid w:val="7F646967"/>
    <w:rsid w:val="7F956DAD"/>
    <w:rsid w:val="7FA3313A"/>
    <w:rsid w:val="7FB67B3F"/>
    <w:rsid w:val="7FC7233C"/>
    <w:rsid w:val="7FF45C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60"/>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outlineLvl w:val="1"/>
    </w:pPr>
    <w:rPr>
      <w:rFonts w:ascii="Arial" w:hAnsi="Arial" w:eastAsia="楷体_GB2312"/>
      <w:b/>
      <w:sz w:val="28"/>
    </w:rPr>
  </w:style>
  <w:style w:type="paragraph" w:styleId="4">
    <w:name w:val="heading 3"/>
    <w:basedOn w:val="1"/>
    <w:next w:val="5"/>
    <w:qFormat/>
    <w:uiPriority w:val="0"/>
    <w:pPr>
      <w:keepNext/>
      <w:keepLines/>
      <w:spacing w:after="50" w:afterLines="50"/>
      <w:outlineLvl w:val="2"/>
    </w:pPr>
    <w:rPr>
      <w:bCs/>
      <w:szCs w:val="32"/>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5">
    <w:name w:val="Normal Indent"/>
    <w:basedOn w:val="1"/>
    <w:link w:val="69"/>
    <w:qFormat/>
    <w:uiPriority w:val="0"/>
    <w:pPr>
      <w:ind w:firstLine="420" w:firstLineChars="200"/>
    </w:pPr>
  </w:style>
  <w:style w:type="paragraph" w:styleId="6">
    <w:name w:val="caption"/>
    <w:basedOn w:val="1"/>
    <w:next w:val="1"/>
    <w:unhideWhenUsed/>
    <w:qFormat/>
    <w:uiPriority w:val="0"/>
    <w:pPr>
      <w:keepNext/>
      <w:spacing w:line="240" w:lineRule="auto"/>
      <w:jc w:val="center"/>
    </w:pPr>
    <w:rPr>
      <w:rFonts w:ascii="Arial" w:hAnsi="Arial" w:eastAsia="Times New Roman" w:cs="Arial"/>
      <w:sz w:val="21"/>
      <w:szCs w:val="20"/>
    </w:rPr>
  </w:style>
  <w:style w:type="paragraph" w:styleId="7">
    <w:name w:val="Document Map"/>
    <w:basedOn w:val="1"/>
    <w:link w:val="38"/>
    <w:qFormat/>
    <w:uiPriority w:val="0"/>
    <w:rPr>
      <w:rFonts w:ascii="宋体"/>
      <w:sz w:val="18"/>
      <w:szCs w:val="18"/>
    </w:rPr>
  </w:style>
  <w:style w:type="paragraph" w:styleId="8">
    <w:name w:val="annotation text"/>
    <w:basedOn w:val="1"/>
    <w:link w:val="40"/>
    <w:qFormat/>
    <w:uiPriority w:val="99"/>
  </w:style>
  <w:style w:type="paragraph" w:styleId="9">
    <w:name w:val="Body Text"/>
    <w:basedOn w:val="1"/>
    <w:link w:val="59"/>
    <w:uiPriority w:val="0"/>
    <w:pPr>
      <w:adjustRightInd w:val="0"/>
      <w:spacing w:after="120" w:line="360" w:lineRule="atLeast"/>
      <w:textAlignment w:val="baseline"/>
    </w:pPr>
    <w:rPr>
      <w:rFonts w:eastAsia="Times New Roman"/>
      <w:sz w:val="21"/>
    </w:rPr>
  </w:style>
  <w:style w:type="paragraph" w:styleId="10">
    <w:name w:val="Body Text Indent"/>
    <w:basedOn w:val="1"/>
    <w:link w:val="82"/>
    <w:qFormat/>
    <w:uiPriority w:val="0"/>
    <w:pPr>
      <w:ind w:firstLine="675" w:firstLineChars="225"/>
    </w:pPr>
    <w:rPr>
      <w:sz w:val="30"/>
    </w:rPr>
  </w:style>
  <w:style w:type="paragraph" w:styleId="11">
    <w:name w:val="Body Text Indent 2"/>
    <w:basedOn w:val="1"/>
    <w:qFormat/>
    <w:uiPriority w:val="0"/>
    <w:pPr>
      <w:ind w:firstLine="600" w:firstLineChars="200"/>
    </w:pPr>
    <w:rPr>
      <w:sz w:val="30"/>
    </w:rPr>
  </w:style>
  <w:style w:type="paragraph" w:styleId="12">
    <w:name w:val="Balloon Text"/>
    <w:basedOn w:val="1"/>
    <w:link w:val="39"/>
    <w:qFormat/>
    <w:uiPriority w:val="0"/>
    <w:pPr>
      <w:spacing w:line="240" w:lineRule="auto"/>
    </w:pPr>
    <w:rPr>
      <w:sz w:val="18"/>
      <w:szCs w:val="18"/>
    </w:rPr>
  </w:style>
  <w:style w:type="paragraph" w:styleId="13">
    <w:name w:val="footer"/>
    <w:basedOn w:val="1"/>
    <w:link w:val="43"/>
    <w:qFormat/>
    <w:uiPriority w:val="99"/>
    <w:pPr>
      <w:tabs>
        <w:tab w:val="center" w:pos="4153"/>
        <w:tab w:val="right" w:pos="8306"/>
      </w:tabs>
      <w:snapToGrid w:val="0"/>
      <w:spacing w:line="240" w:lineRule="auto"/>
    </w:pPr>
    <w:rPr>
      <w:sz w:val="18"/>
      <w:szCs w:val="18"/>
    </w:rPr>
  </w:style>
  <w:style w:type="paragraph" w:styleId="14">
    <w:name w:val="header"/>
    <w:basedOn w:val="1"/>
    <w:link w:val="80"/>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5">
    <w:name w:val="toc 1"/>
    <w:basedOn w:val="1"/>
    <w:next w:val="1"/>
    <w:qFormat/>
    <w:uiPriority w:val="0"/>
    <w:pPr>
      <w:spacing w:line="240" w:lineRule="auto"/>
    </w:pPr>
    <w:rPr>
      <w:sz w:val="28"/>
    </w:rPr>
  </w:style>
  <w:style w:type="paragraph" w:styleId="16">
    <w:name w:val="Subtitle"/>
    <w:basedOn w:val="1"/>
    <w:next w:val="1"/>
    <w:qFormat/>
    <w:uiPriority w:val="11"/>
    <w:pPr>
      <w:jc w:val="center"/>
    </w:pPr>
    <w:rPr>
      <w:bCs/>
      <w:kern w:val="28"/>
      <w:szCs w:val="32"/>
    </w:rPr>
  </w:style>
  <w:style w:type="paragraph" w:styleId="17">
    <w:name w:val="List"/>
    <w:basedOn w:val="1"/>
    <w:qFormat/>
    <w:uiPriority w:val="0"/>
    <w:pPr>
      <w:ind w:left="200" w:hanging="200" w:hangingChars="200"/>
    </w:pPr>
  </w:style>
  <w:style w:type="paragraph" w:styleId="18">
    <w:name w:val="toc 6"/>
    <w:basedOn w:val="1"/>
    <w:next w:val="1"/>
    <w:semiHidden/>
    <w:unhideWhenUsed/>
    <w:uiPriority w:val="0"/>
    <w:pPr>
      <w:ind w:left="2100" w:leftChars="1000"/>
    </w:pPr>
  </w:style>
  <w:style w:type="paragraph" w:styleId="19">
    <w:name w:val="Body Text Indent 3"/>
    <w:basedOn w:val="1"/>
    <w:link w:val="68"/>
    <w:qFormat/>
    <w:uiPriority w:val="0"/>
    <w:pPr>
      <w:ind w:right="338" w:rightChars="161" w:firstLine="735" w:firstLineChars="245"/>
    </w:pPr>
    <w:rPr>
      <w:sz w:val="30"/>
    </w:rPr>
  </w:style>
  <w:style w:type="paragraph" w:styleId="20">
    <w:name w:val="Normal (Web)"/>
    <w:basedOn w:val="1"/>
    <w:qFormat/>
    <w:uiPriority w:val="0"/>
    <w:pPr>
      <w:spacing w:before="100" w:beforeAutospacing="1" w:after="100" w:afterAutospacing="1" w:line="240" w:lineRule="auto"/>
    </w:pPr>
    <w:rPr>
      <w:rFonts w:ascii="宋体" w:hAnsi="宋体" w:cs="宋体"/>
      <w:kern w:val="0"/>
    </w:rPr>
  </w:style>
  <w:style w:type="paragraph" w:styleId="21">
    <w:name w:val="annotation subject"/>
    <w:basedOn w:val="8"/>
    <w:next w:val="8"/>
    <w:link w:val="41"/>
    <w:qFormat/>
    <w:uiPriority w:val="0"/>
    <w:rPr>
      <w:b/>
      <w:bCs/>
    </w:rPr>
  </w:style>
  <w:style w:type="paragraph" w:styleId="22">
    <w:name w:val="Body Text First Indent"/>
    <w:basedOn w:val="9"/>
    <w:link w:val="84"/>
    <w:uiPriority w:val="0"/>
    <w:pPr>
      <w:adjustRightInd/>
      <w:spacing w:line="360" w:lineRule="auto"/>
      <w:ind w:firstLine="420" w:firstLineChars="100"/>
      <w:textAlignment w:val="auto"/>
    </w:pPr>
    <w:rPr>
      <w:rFonts w:eastAsia="宋体"/>
      <w:sz w:val="24"/>
    </w:rPr>
  </w:style>
  <w:style w:type="paragraph" w:styleId="23">
    <w:name w:val="Body Text First Indent 2"/>
    <w:basedOn w:val="10"/>
    <w:next w:val="22"/>
    <w:link w:val="81"/>
    <w:unhideWhenUsed/>
    <w:uiPriority w:val="99"/>
    <w:pPr>
      <w:widowControl w:val="0"/>
      <w:spacing w:after="120" w:line="240" w:lineRule="auto"/>
      <w:ind w:left="420" w:leftChars="200" w:firstLine="420" w:firstLineChars="200"/>
    </w:pPr>
    <w:rPr>
      <w:rFonts w:ascii="Calibri" w:hAnsi="Calibri"/>
      <w:sz w:val="21"/>
      <w:szCs w:val="20"/>
    </w:rPr>
  </w:style>
  <w:style w:type="table" w:styleId="25">
    <w:name w:val="Table Grid"/>
    <w:basedOn w:val="24"/>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page number"/>
    <w:basedOn w:val="26"/>
    <w:qFormat/>
    <w:uiPriority w:val="0"/>
  </w:style>
  <w:style w:type="character" w:styleId="28">
    <w:name w:val="Hyperlink"/>
    <w:basedOn w:val="26"/>
    <w:qFormat/>
    <w:uiPriority w:val="0"/>
    <w:rPr>
      <w:color w:val="0000FF"/>
      <w:u w:val="single"/>
    </w:rPr>
  </w:style>
  <w:style w:type="character" w:styleId="29">
    <w:name w:val="annotation reference"/>
    <w:basedOn w:val="26"/>
    <w:qFormat/>
    <w:uiPriority w:val="99"/>
    <w:rPr>
      <w:sz w:val="21"/>
      <w:szCs w:val="21"/>
    </w:rPr>
  </w:style>
  <w:style w:type="character" w:customStyle="1" w:styleId="30">
    <w:name w:val="样式 宋体"/>
    <w:basedOn w:val="26"/>
    <w:qFormat/>
    <w:uiPriority w:val="0"/>
    <w:rPr>
      <w:rFonts w:ascii="Times New Roman" w:hAnsi="Times New Roman" w:eastAsia="宋体"/>
      <w:sz w:val="24"/>
      <w:vertAlign w:val="baseline"/>
    </w:rPr>
  </w:style>
  <w:style w:type="paragraph" w:customStyle="1" w:styleId="31">
    <w:name w:val="样式 题注 + (中文) 宋体"/>
    <w:basedOn w:val="6"/>
    <w:qFormat/>
    <w:uiPriority w:val="0"/>
    <w:pPr>
      <w:snapToGrid w:val="0"/>
    </w:pPr>
    <w:rPr>
      <w:rFonts w:ascii="Times New Roman" w:hAnsi="Times New Roman" w:eastAsia="宋体" w:cs="Times New Roman"/>
      <w:b/>
    </w:rPr>
  </w:style>
  <w:style w:type="paragraph" w:customStyle="1" w:styleId="32">
    <w:name w:val="列出段落1"/>
    <w:basedOn w:val="1"/>
    <w:qFormat/>
    <w:uiPriority w:val="34"/>
    <w:pPr>
      <w:ind w:firstLine="420" w:firstLineChars="200"/>
    </w:pPr>
  </w:style>
  <w:style w:type="table" w:customStyle="1" w:styleId="33">
    <w:name w:val="网格型c1"/>
    <w:basedOn w:val="24"/>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4">
    <w:name w:val="font_2"/>
    <w:qFormat/>
    <w:uiPriority w:val="0"/>
  </w:style>
  <w:style w:type="paragraph" w:customStyle="1" w:styleId="35">
    <w:name w:val="样式2"/>
    <w:basedOn w:val="1"/>
    <w:qFormat/>
    <w:uiPriority w:val="0"/>
    <w:pPr>
      <w:adjustRightInd w:val="0"/>
      <w:ind w:left="170"/>
      <w:textAlignment w:val="baseline"/>
    </w:pPr>
    <w:rPr>
      <w:b/>
      <w:kern w:val="0"/>
      <w:szCs w:val="20"/>
    </w:rPr>
  </w:style>
  <w:style w:type="paragraph" w:customStyle="1" w:styleId="36">
    <w:name w:val="报告表正文"/>
    <w:basedOn w:val="1"/>
    <w:qFormat/>
    <w:uiPriority w:val="0"/>
    <w:pPr>
      <w:adjustRightInd w:val="0"/>
      <w:spacing w:line="312" w:lineRule="auto"/>
      <w:ind w:left="113" w:right="113" w:firstLine="482"/>
      <w:textAlignment w:val="baseline"/>
    </w:pPr>
    <w:rPr>
      <w:kern w:val="0"/>
      <w:szCs w:val="20"/>
    </w:rPr>
  </w:style>
  <w:style w:type="paragraph" w:customStyle="1" w:styleId="37">
    <w:name w:val="钢--正文"/>
    <w:basedOn w:val="1"/>
    <w:qFormat/>
    <w:uiPriority w:val="0"/>
    <w:pPr>
      <w:spacing w:line="520" w:lineRule="exact"/>
      <w:ind w:firstLine="480" w:firstLineChars="200"/>
    </w:pPr>
    <w:rPr>
      <w:rFonts w:hint="eastAsia" w:ascii="宋体" w:hAnsi="宋体"/>
      <w:kern w:val="0"/>
      <w:sz w:val="20"/>
      <w:szCs w:val="20"/>
    </w:rPr>
  </w:style>
  <w:style w:type="character" w:customStyle="1" w:styleId="38">
    <w:name w:val="文档结构图 Char"/>
    <w:basedOn w:val="26"/>
    <w:link w:val="7"/>
    <w:qFormat/>
    <w:uiPriority w:val="0"/>
    <w:rPr>
      <w:rFonts w:ascii="宋体"/>
      <w:kern w:val="2"/>
      <w:sz w:val="18"/>
      <w:szCs w:val="18"/>
    </w:rPr>
  </w:style>
  <w:style w:type="character" w:customStyle="1" w:styleId="39">
    <w:name w:val="批注框文本 Char"/>
    <w:basedOn w:val="26"/>
    <w:link w:val="12"/>
    <w:qFormat/>
    <w:uiPriority w:val="0"/>
    <w:rPr>
      <w:kern w:val="2"/>
      <w:sz w:val="18"/>
      <w:szCs w:val="18"/>
    </w:rPr>
  </w:style>
  <w:style w:type="character" w:customStyle="1" w:styleId="40">
    <w:name w:val="批注文字 Char"/>
    <w:basedOn w:val="26"/>
    <w:link w:val="8"/>
    <w:qFormat/>
    <w:uiPriority w:val="99"/>
    <w:rPr>
      <w:kern w:val="2"/>
      <w:sz w:val="24"/>
      <w:szCs w:val="24"/>
    </w:rPr>
  </w:style>
  <w:style w:type="character" w:customStyle="1" w:styleId="41">
    <w:name w:val="批注主题 Char"/>
    <w:basedOn w:val="40"/>
    <w:link w:val="21"/>
    <w:qFormat/>
    <w:uiPriority w:val="0"/>
    <w:rPr>
      <w:b/>
      <w:bCs/>
      <w:kern w:val="2"/>
      <w:sz w:val="24"/>
      <w:szCs w:val="24"/>
    </w:rPr>
  </w:style>
  <w:style w:type="paragraph" w:customStyle="1" w:styleId="42">
    <w:name w:val="p0"/>
    <w:basedOn w:val="1"/>
    <w:qFormat/>
    <w:uiPriority w:val="0"/>
    <w:rPr>
      <w:kern w:val="0"/>
      <w:szCs w:val="21"/>
    </w:rPr>
  </w:style>
  <w:style w:type="character" w:customStyle="1" w:styleId="43">
    <w:name w:val="页脚 Char"/>
    <w:basedOn w:val="26"/>
    <w:link w:val="13"/>
    <w:qFormat/>
    <w:uiPriority w:val="99"/>
    <w:rPr>
      <w:kern w:val="2"/>
      <w:sz w:val="18"/>
      <w:szCs w:val="18"/>
    </w:rPr>
  </w:style>
  <w:style w:type="paragraph" w:styleId="44">
    <w:name w:val="List Paragraph"/>
    <w:basedOn w:val="1"/>
    <w:unhideWhenUsed/>
    <w:qFormat/>
    <w:uiPriority w:val="99"/>
    <w:pPr>
      <w:ind w:firstLine="420" w:firstLineChars="200"/>
    </w:pPr>
  </w:style>
  <w:style w:type="paragraph" w:customStyle="1" w:styleId="45">
    <w:name w:val="Default1"/>
    <w:qFormat/>
    <w:uiPriority w:val="0"/>
    <w:pPr>
      <w:widowControl w:val="0"/>
      <w:autoSpaceDE w:val="0"/>
      <w:autoSpaceDN w:val="0"/>
      <w:adjustRightInd w:val="0"/>
      <w:spacing w:line="360" w:lineRule="auto"/>
      <w:jc w:val="both"/>
    </w:pPr>
    <w:rPr>
      <w:rFonts w:ascii="宋体" w:hAnsi="Calibri" w:eastAsia="宋体" w:cs="宋体"/>
      <w:color w:val="000000"/>
      <w:sz w:val="24"/>
      <w:szCs w:val="24"/>
      <w:lang w:val="en-US" w:eastAsia="zh-CN" w:bidi="ar-SA"/>
    </w:rPr>
  </w:style>
  <w:style w:type="paragraph" w:customStyle="1" w:styleId="46">
    <w:name w:val="报告表格"/>
    <w:basedOn w:val="1"/>
    <w:next w:val="1"/>
    <w:qFormat/>
    <w:uiPriority w:val="0"/>
    <w:pPr>
      <w:autoSpaceDE w:val="0"/>
      <w:autoSpaceDN w:val="0"/>
      <w:adjustRightInd w:val="0"/>
      <w:spacing w:line="318" w:lineRule="atLeast"/>
      <w:jc w:val="center"/>
      <w:textAlignment w:val="bottom"/>
    </w:pPr>
    <w:rPr>
      <w:kern w:val="0"/>
    </w:rPr>
  </w:style>
  <w:style w:type="character" w:customStyle="1" w:styleId="47">
    <w:name w:val="font41"/>
    <w:qFormat/>
    <w:uiPriority w:val="0"/>
    <w:rPr>
      <w:rFonts w:hint="default" w:ascii="Times New Roman" w:hAnsi="Times New Roman" w:cs="Times New Roman"/>
      <w:color w:val="000000"/>
      <w:sz w:val="21"/>
      <w:szCs w:val="21"/>
      <w:u w:val="none"/>
      <w:vertAlign w:val="subscript"/>
    </w:rPr>
  </w:style>
  <w:style w:type="paragraph" w:customStyle="1" w:styleId="48">
    <w:name w:val="表1"/>
    <w:next w:val="1"/>
    <w:qFormat/>
    <w:uiPriority w:val="0"/>
    <w:pPr>
      <w:adjustRightInd w:val="0"/>
      <w:snapToGrid w:val="0"/>
      <w:spacing w:line="360" w:lineRule="auto"/>
      <w:jc w:val="center"/>
    </w:pPr>
    <w:rPr>
      <w:rFonts w:ascii="Times New Roman" w:hAnsi="Times New Roman" w:eastAsia="宋体" w:cs="Times New Roman"/>
      <w:sz w:val="21"/>
      <w:lang w:val="en-US" w:eastAsia="zh-CN" w:bidi="ar-SA"/>
    </w:rPr>
  </w:style>
  <w:style w:type="paragraph" w:customStyle="1" w:styleId="49">
    <w:name w:val="正文01"/>
    <w:basedOn w:val="1"/>
    <w:qFormat/>
    <w:uiPriority w:val="0"/>
    <w:pPr>
      <w:spacing w:before="60" w:line="460" w:lineRule="exact"/>
      <w:ind w:firstLine="200" w:firstLineChars="200"/>
    </w:pPr>
  </w:style>
  <w:style w:type="paragraph" w:customStyle="1" w:styleId="50">
    <w:name w:val="段落1"/>
    <w:basedOn w:val="1"/>
    <w:qFormat/>
    <w:uiPriority w:val="0"/>
    <w:pPr>
      <w:spacing w:line="276" w:lineRule="auto"/>
      <w:contextualSpacing/>
      <w:textAlignment w:val="baseline"/>
    </w:pPr>
    <w:rPr>
      <w:sz w:val="21"/>
      <w:szCs w:val="21"/>
    </w:rPr>
  </w:style>
  <w:style w:type="paragraph" w:customStyle="1" w:styleId="51">
    <w:name w:val="Table Paragraph"/>
    <w:basedOn w:val="1"/>
    <w:qFormat/>
    <w:uiPriority w:val="0"/>
    <w:rPr>
      <w:rFonts w:ascii="Calibri" w:hAnsi="Calibri"/>
      <w:kern w:val="0"/>
      <w:sz w:val="22"/>
      <w:szCs w:val="22"/>
      <w:lang w:eastAsia="en-US"/>
    </w:rPr>
  </w:style>
  <w:style w:type="paragraph" w:customStyle="1" w:styleId="52">
    <w:name w:val="管线正文"/>
    <w:basedOn w:val="1"/>
    <w:link w:val="53"/>
    <w:qFormat/>
    <w:uiPriority w:val="0"/>
    <w:pPr>
      <w:adjustRightInd w:val="0"/>
      <w:snapToGrid w:val="0"/>
      <w:ind w:firstLine="482"/>
      <w:textAlignment w:val="baseline"/>
    </w:pPr>
    <w:rPr>
      <w:kern w:val="0"/>
    </w:rPr>
  </w:style>
  <w:style w:type="character" w:customStyle="1" w:styleId="53">
    <w:name w:val="管线正文 Char"/>
    <w:basedOn w:val="26"/>
    <w:link w:val="52"/>
    <w:qFormat/>
    <w:uiPriority w:val="0"/>
    <w:rPr>
      <w:rFonts w:ascii="Times New Roman" w:hAnsi="Times New Roman"/>
      <w:sz w:val="24"/>
      <w:szCs w:val="24"/>
    </w:rPr>
  </w:style>
  <w:style w:type="paragraph" w:customStyle="1" w:styleId="54">
    <w:name w:val="管线标题2"/>
    <w:basedOn w:val="1"/>
    <w:link w:val="55"/>
    <w:qFormat/>
    <w:uiPriority w:val="0"/>
    <w:pPr>
      <w:adjustRightInd w:val="0"/>
      <w:snapToGrid w:val="0"/>
      <w:spacing w:beforeLines="50"/>
      <w:ind w:firstLine="472" w:firstLineChars="196"/>
    </w:pPr>
    <w:rPr>
      <w:b/>
      <w:kern w:val="0"/>
    </w:rPr>
  </w:style>
  <w:style w:type="character" w:customStyle="1" w:styleId="55">
    <w:name w:val="管线标题2 Char"/>
    <w:basedOn w:val="26"/>
    <w:link w:val="54"/>
    <w:qFormat/>
    <w:uiPriority w:val="0"/>
    <w:rPr>
      <w:rFonts w:ascii="Times New Roman" w:hAnsi="Times New Roman"/>
      <w:b/>
      <w:sz w:val="24"/>
      <w:szCs w:val="24"/>
    </w:rPr>
  </w:style>
  <w:style w:type="paragraph" w:customStyle="1" w:styleId="56">
    <w:name w:val="管线标题1"/>
    <w:basedOn w:val="1"/>
    <w:link w:val="57"/>
    <w:qFormat/>
    <w:uiPriority w:val="0"/>
    <w:pPr>
      <w:adjustRightInd w:val="0"/>
      <w:snapToGrid w:val="0"/>
      <w:spacing w:beforeLines="50"/>
    </w:pPr>
    <w:rPr>
      <w:b/>
      <w:bCs/>
      <w:kern w:val="0"/>
    </w:rPr>
  </w:style>
  <w:style w:type="character" w:customStyle="1" w:styleId="57">
    <w:name w:val="管线标题1 Char"/>
    <w:basedOn w:val="26"/>
    <w:link w:val="56"/>
    <w:qFormat/>
    <w:uiPriority w:val="0"/>
    <w:rPr>
      <w:rFonts w:ascii="Times New Roman" w:hAnsi="Times New Roman"/>
      <w:b/>
      <w:bCs/>
      <w:sz w:val="24"/>
      <w:szCs w:val="24"/>
    </w:rPr>
  </w:style>
  <w:style w:type="paragraph" w:customStyle="1" w:styleId="58">
    <w:name w:val="Default"/>
    <w:qFormat/>
    <w:uiPriority w:val="0"/>
    <w:pPr>
      <w:widowControl w:val="0"/>
      <w:autoSpaceDE w:val="0"/>
      <w:autoSpaceDN w:val="0"/>
      <w:adjustRightInd w:val="0"/>
      <w:spacing w:line="360" w:lineRule="atLeast"/>
      <w:jc w:val="both"/>
      <w:textAlignment w:val="baseline"/>
    </w:pPr>
    <w:rPr>
      <w:rFonts w:ascii="宋体" w:hAnsi="宋体" w:eastAsia="Times New Roman" w:cs="宋体"/>
      <w:color w:val="000000"/>
      <w:sz w:val="24"/>
      <w:szCs w:val="24"/>
      <w:lang w:val="en-US" w:eastAsia="zh-CN" w:bidi="ar-SA"/>
    </w:rPr>
  </w:style>
  <w:style w:type="character" w:customStyle="1" w:styleId="59">
    <w:name w:val="正文文本 Char"/>
    <w:basedOn w:val="26"/>
    <w:link w:val="9"/>
    <w:uiPriority w:val="0"/>
    <w:rPr>
      <w:rFonts w:ascii="Times New Roman" w:hAnsi="Times New Roman" w:eastAsia="Times New Roman"/>
      <w:kern w:val="2"/>
      <w:sz w:val="21"/>
      <w:szCs w:val="24"/>
    </w:rPr>
  </w:style>
  <w:style w:type="character" w:customStyle="1" w:styleId="60">
    <w:name w:val="标题 1 Char"/>
    <w:basedOn w:val="26"/>
    <w:link w:val="3"/>
    <w:uiPriority w:val="0"/>
    <w:rPr>
      <w:rFonts w:ascii="Times New Roman" w:hAnsi="Times New Roman"/>
      <w:b/>
      <w:bCs/>
      <w:kern w:val="44"/>
      <w:sz w:val="44"/>
      <w:szCs w:val="44"/>
    </w:rPr>
  </w:style>
  <w:style w:type="paragraph" w:customStyle="1" w:styleId="61">
    <w:name w:val="表格内容"/>
    <w:basedOn w:val="1"/>
    <w:link w:val="64"/>
    <w:qFormat/>
    <w:uiPriority w:val="0"/>
    <w:pPr>
      <w:widowControl w:val="0"/>
      <w:spacing w:line="240" w:lineRule="auto"/>
      <w:jc w:val="center"/>
    </w:pPr>
    <w:rPr>
      <w:kern w:val="0"/>
      <w:sz w:val="21"/>
      <w:lang w:eastAsia="en-US"/>
    </w:rPr>
  </w:style>
  <w:style w:type="paragraph" w:customStyle="1" w:styleId="62">
    <w:name w:val="英文模板"/>
    <w:basedOn w:val="1"/>
    <w:qFormat/>
    <w:uiPriority w:val="0"/>
    <w:pPr>
      <w:ind w:firstLine="200" w:firstLineChars="200"/>
    </w:pPr>
    <w:rPr>
      <w:rFonts w:eastAsia="Times New Roman" w:cs="宋体"/>
      <w:kern w:val="0"/>
    </w:rPr>
  </w:style>
  <w:style w:type="paragraph" w:customStyle="1" w:styleId="63">
    <w:name w:val="中文"/>
    <w:basedOn w:val="1"/>
    <w:qFormat/>
    <w:uiPriority w:val="0"/>
    <w:pPr>
      <w:ind w:firstLine="200" w:firstLineChars="200"/>
    </w:pPr>
    <w:rPr>
      <w:rFonts w:cs="宋体"/>
      <w:kern w:val="0"/>
      <w:szCs w:val="20"/>
      <w:lang w:eastAsia="en-US"/>
    </w:rPr>
  </w:style>
  <w:style w:type="character" w:customStyle="1" w:styleId="64">
    <w:name w:val="表格内容 Char Char"/>
    <w:link w:val="61"/>
    <w:qFormat/>
    <w:uiPriority w:val="0"/>
    <w:rPr>
      <w:rFonts w:ascii="Times New Roman" w:hAnsi="Times New Roman"/>
      <w:sz w:val="21"/>
      <w:szCs w:val="24"/>
      <w:lang w:eastAsia="en-US"/>
    </w:rPr>
  </w:style>
  <w:style w:type="paragraph" w:customStyle="1" w:styleId="65">
    <w:name w:val="管线表头"/>
    <w:basedOn w:val="1"/>
    <w:link w:val="66"/>
    <w:qFormat/>
    <w:uiPriority w:val="0"/>
    <w:pPr>
      <w:widowControl w:val="0"/>
      <w:adjustRightInd w:val="0"/>
      <w:snapToGrid w:val="0"/>
      <w:spacing w:line="240" w:lineRule="auto"/>
      <w:jc w:val="center"/>
    </w:pPr>
    <w:rPr>
      <w:b/>
      <w:sz w:val="21"/>
      <w:szCs w:val="21"/>
      <w:lang w:val="zh-CN"/>
    </w:rPr>
  </w:style>
  <w:style w:type="character" w:customStyle="1" w:styleId="66">
    <w:name w:val="管线表头 Char"/>
    <w:basedOn w:val="26"/>
    <w:link w:val="65"/>
    <w:qFormat/>
    <w:uiPriority w:val="0"/>
    <w:rPr>
      <w:rFonts w:ascii="Times New Roman" w:hAnsi="Times New Roman"/>
      <w:b/>
      <w:kern w:val="2"/>
      <w:sz w:val="21"/>
      <w:szCs w:val="21"/>
      <w:lang w:val="zh-CN"/>
    </w:rPr>
  </w:style>
  <w:style w:type="paragraph" w:customStyle="1" w:styleId="67">
    <w:name w:val="C2"/>
    <w:basedOn w:val="1"/>
    <w:qFormat/>
    <w:uiPriority w:val="0"/>
    <w:pPr>
      <w:widowControl w:val="0"/>
      <w:spacing w:line="240" w:lineRule="auto"/>
    </w:pPr>
    <w:rPr>
      <w:kern w:val="0"/>
      <w:sz w:val="28"/>
      <w:szCs w:val="20"/>
    </w:rPr>
  </w:style>
  <w:style w:type="character" w:customStyle="1" w:styleId="68">
    <w:name w:val="正文文本缩进 3 Char"/>
    <w:basedOn w:val="26"/>
    <w:link w:val="19"/>
    <w:uiPriority w:val="0"/>
    <w:rPr>
      <w:rFonts w:ascii="Times New Roman" w:hAnsi="Times New Roman"/>
      <w:kern w:val="2"/>
      <w:sz w:val="30"/>
      <w:szCs w:val="24"/>
    </w:rPr>
  </w:style>
  <w:style w:type="character" w:customStyle="1" w:styleId="69">
    <w:name w:val="正文缩进 Char"/>
    <w:link w:val="5"/>
    <w:qFormat/>
    <w:uiPriority w:val="0"/>
    <w:rPr>
      <w:rFonts w:ascii="Times New Roman" w:hAnsi="Times New Roman"/>
      <w:kern w:val="2"/>
      <w:sz w:val="24"/>
      <w:szCs w:val="24"/>
    </w:rPr>
  </w:style>
  <w:style w:type="paragraph" w:customStyle="1" w:styleId="70">
    <w:name w:val="4正文"/>
    <w:basedOn w:val="1"/>
    <w:link w:val="71"/>
    <w:qFormat/>
    <w:uiPriority w:val="0"/>
    <w:pPr>
      <w:widowControl w:val="0"/>
      <w:spacing w:line="240" w:lineRule="auto"/>
      <w:ind w:firstLine="480"/>
    </w:pPr>
    <w:rPr>
      <w:rFonts w:cs="宋体"/>
      <w:sz w:val="21"/>
      <w:szCs w:val="20"/>
    </w:rPr>
  </w:style>
  <w:style w:type="character" w:customStyle="1" w:styleId="71">
    <w:name w:val="4正文 Char Char"/>
    <w:link w:val="70"/>
    <w:qFormat/>
    <w:uiPriority w:val="0"/>
    <w:rPr>
      <w:rFonts w:ascii="Times New Roman" w:hAnsi="Times New Roman" w:cs="宋体"/>
      <w:kern w:val="2"/>
      <w:sz w:val="21"/>
    </w:rPr>
  </w:style>
  <w:style w:type="paragraph" w:customStyle="1" w:styleId="72">
    <w:name w:val="IDC A-Head (2nd Line)"/>
    <w:basedOn w:val="1"/>
    <w:next w:val="1"/>
    <w:uiPriority w:val="0"/>
    <w:pPr>
      <w:numPr>
        <w:ilvl w:val="0"/>
        <w:numId w:val="1"/>
      </w:numPr>
      <w:spacing w:line="240" w:lineRule="auto"/>
      <w:jc w:val="center"/>
    </w:pPr>
    <w:rPr>
      <w:caps/>
      <w:kern w:val="0"/>
      <w:szCs w:val="20"/>
    </w:rPr>
  </w:style>
  <w:style w:type="paragraph" w:customStyle="1" w:styleId="73">
    <w:name w:val="章标题"/>
    <w:next w:val="1"/>
    <w:uiPriority w:val="0"/>
    <w:pPr>
      <w:numPr>
        <w:ilvl w:val="2"/>
        <w:numId w:val="1"/>
      </w:numPr>
      <w:tabs>
        <w:tab w:val="left" w:pos="903"/>
      </w:tabs>
      <w:spacing w:before="50" w:after="50" w:line="240" w:lineRule="auto"/>
      <w:ind w:left="903" w:hanging="315"/>
      <w:jc w:val="both"/>
      <w:outlineLvl w:val="1"/>
    </w:pPr>
    <w:rPr>
      <w:rFonts w:ascii="黑体" w:hAnsi="Times New Roman" w:eastAsia="黑体" w:cs="Times New Roman"/>
      <w:sz w:val="21"/>
      <w:lang w:val="en-US" w:eastAsia="zh-CN" w:bidi="ar-SA"/>
    </w:rPr>
  </w:style>
  <w:style w:type="paragraph" w:customStyle="1" w:styleId="74">
    <w:name w:val="前言、引言标题"/>
    <w:next w:val="1"/>
    <w:uiPriority w:val="0"/>
    <w:pPr>
      <w:numPr>
        <w:ilvl w:val="3"/>
        <w:numId w:val="1"/>
      </w:numPr>
      <w:shd w:val="clear" w:color="FFFFFF" w:fill="FFFFFF"/>
      <w:tabs>
        <w:tab w:val="left" w:pos="903"/>
      </w:tabs>
      <w:spacing w:before="640" w:after="560" w:line="240" w:lineRule="auto"/>
      <w:ind w:left="903" w:hanging="315"/>
      <w:jc w:val="center"/>
      <w:outlineLvl w:val="0"/>
    </w:pPr>
    <w:rPr>
      <w:rFonts w:ascii="黑体" w:hAnsi="Times New Roman" w:eastAsia="黑体" w:cs="Times New Roman"/>
      <w:sz w:val="32"/>
      <w:lang w:val="en-US" w:eastAsia="zh-CN" w:bidi="ar-SA"/>
    </w:rPr>
  </w:style>
  <w:style w:type="paragraph" w:customStyle="1" w:styleId="75">
    <w:name w:val="一级条标题"/>
    <w:basedOn w:val="73"/>
    <w:next w:val="1"/>
    <w:uiPriority w:val="0"/>
    <w:pPr>
      <w:numPr>
        <w:ilvl w:val="4"/>
      </w:numPr>
      <w:tabs>
        <w:tab w:val="left" w:pos="360"/>
      </w:tabs>
      <w:spacing w:before="0" w:after="0"/>
      <w:outlineLvl w:val="2"/>
    </w:pPr>
  </w:style>
  <w:style w:type="paragraph" w:customStyle="1" w:styleId="76">
    <w:name w:val="二级条标题"/>
    <w:basedOn w:val="75"/>
    <w:next w:val="1"/>
    <w:uiPriority w:val="0"/>
    <w:pPr>
      <w:numPr>
        <w:ilvl w:val="5"/>
      </w:numPr>
      <w:outlineLvl w:val="3"/>
    </w:pPr>
  </w:style>
  <w:style w:type="paragraph" w:customStyle="1" w:styleId="77">
    <w:name w:val="三级条标题"/>
    <w:basedOn w:val="76"/>
    <w:next w:val="1"/>
    <w:uiPriority w:val="0"/>
    <w:pPr>
      <w:numPr>
        <w:ilvl w:val="6"/>
      </w:numPr>
      <w:outlineLvl w:val="4"/>
    </w:pPr>
  </w:style>
  <w:style w:type="character" w:customStyle="1" w:styleId="78">
    <w:name w:val="表格 Char"/>
    <w:link w:val="79"/>
    <w:uiPriority w:val="0"/>
    <w:rPr>
      <w:rFonts w:ascii="宋体" w:hAnsi="宋体"/>
      <w:snapToGrid w:val="0"/>
    </w:rPr>
  </w:style>
  <w:style w:type="paragraph" w:customStyle="1" w:styleId="79">
    <w:name w:val="表格"/>
    <w:link w:val="78"/>
    <w:qFormat/>
    <w:uiPriority w:val="0"/>
    <w:pPr>
      <w:spacing w:line="380" w:lineRule="exact"/>
      <w:jc w:val="center"/>
    </w:pPr>
    <w:rPr>
      <w:rFonts w:ascii="宋体" w:hAnsi="宋体" w:eastAsia="宋体" w:cs="Times New Roman"/>
      <w:snapToGrid w:val="0"/>
      <w:lang w:val="en-US" w:eastAsia="zh-CN" w:bidi="ar-SA"/>
    </w:rPr>
  </w:style>
  <w:style w:type="character" w:customStyle="1" w:styleId="80">
    <w:name w:val="页眉 Char"/>
    <w:link w:val="14"/>
    <w:uiPriority w:val="99"/>
    <w:rPr>
      <w:rFonts w:ascii="Times New Roman" w:hAnsi="Times New Roman"/>
      <w:kern w:val="2"/>
      <w:sz w:val="18"/>
      <w:szCs w:val="18"/>
    </w:rPr>
  </w:style>
  <w:style w:type="character" w:customStyle="1" w:styleId="81">
    <w:name w:val="正文首行缩进 2 Char"/>
    <w:link w:val="23"/>
    <w:uiPriority w:val="99"/>
    <w:rPr>
      <w:kern w:val="2"/>
      <w:sz w:val="21"/>
    </w:rPr>
  </w:style>
  <w:style w:type="character" w:customStyle="1" w:styleId="82">
    <w:name w:val="正文文本缩进 Char"/>
    <w:basedOn w:val="26"/>
    <w:link w:val="10"/>
    <w:uiPriority w:val="0"/>
    <w:rPr>
      <w:rFonts w:ascii="Times New Roman" w:hAnsi="Times New Roman"/>
      <w:kern w:val="2"/>
      <w:sz w:val="30"/>
      <w:szCs w:val="24"/>
    </w:rPr>
  </w:style>
  <w:style w:type="character" w:customStyle="1" w:styleId="83">
    <w:name w:val="正文首行缩进 2 Char1"/>
    <w:basedOn w:val="82"/>
    <w:semiHidden/>
    <w:uiPriority w:val="0"/>
    <w:rPr>
      <w:rFonts w:ascii="Times New Roman" w:hAnsi="Times New Roman"/>
      <w:kern w:val="2"/>
      <w:sz w:val="24"/>
      <w:szCs w:val="24"/>
    </w:rPr>
  </w:style>
  <w:style w:type="character" w:customStyle="1" w:styleId="84">
    <w:name w:val="正文首行缩进 Char"/>
    <w:basedOn w:val="59"/>
    <w:link w:val="22"/>
    <w:uiPriority w:val="0"/>
    <w:rPr>
      <w:rFonts w:ascii="Times New Roman" w:hAnsi="Times New Roman" w:eastAsia="Times New Roman"/>
      <w:kern w:val="2"/>
      <w:sz w:val="24"/>
      <w:szCs w:val="24"/>
    </w:rPr>
  </w:style>
  <w:style w:type="character" w:customStyle="1" w:styleId="85">
    <w:name w:val="正文1 Char"/>
    <w:link w:val="86"/>
    <w:uiPriority w:val="0"/>
    <w:rPr>
      <w:rFonts w:ascii="Times New Roman" w:hAnsi="Times New Roman"/>
      <w:sz w:val="24"/>
    </w:rPr>
  </w:style>
  <w:style w:type="paragraph" w:customStyle="1" w:styleId="86">
    <w:name w:val="正文1"/>
    <w:basedOn w:val="1"/>
    <w:link w:val="85"/>
    <w:uiPriority w:val="0"/>
    <w:pPr>
      <w:widowControl w:val="0"/>
      <w:ind w:firstLine="723" w:firstLineChars="200"/>
    </w:pPr>
    <w:rPr>
      <w:kern w:val="0"/>
      <w:szCs w:val="20"/>
    </w:rPr>
  </w:style>
  <w:style w:type="character" w:customStyle="1" w:styleId="87">
    <w:name w:val="unnamed11"/>
    <w:uiPriority w:val="99"/>
    <w:rPr>
      <w:rFonts w:cs="Times New Roman"/>
      <w:sz w:val="21"/>
    </w:rPr>
  </w:style>
  <w:style w:type="character" w:customStyle="1" w:styleId="88">
    <w:name w:val="disabled"/>
    <w:uiPriority w:val="0"/>
    <w:rPr>
      <w:color w:val="777777"/>
    </w:rPr>
  </w:style>
  <w:style w:type="paragraph" w:customStyle="1" w:styleId="89">
    <w:name w:val="正文-ls"/>
    <w:basedOn w:val="1"/>
    <w:qFormat/>
    <w:uiPriority w:val="0"/>
    <w:pPr>
      <w:widowControl w:val="0"/>
      <w:ind w:firstLine="200" w:firstLineChars="200"/>
    </w:pPr>
    <w:rPr>
      <w:rFonts w:hAnsi="宋体"/>
      <w:kern w:val="0"/>
      <w:szCs w:val="20"/>
    </w:rPr>
  </w:style>
  <w:style w:type="paragraph" w:customStyle="1" w:styleId="90">
    <w:name w:val="表格文字"/>
    <w:basedOn w:val="1"/>
    <w:uiPriority w:val="0"/>
    <w:pPr>
      <w:widowControl w:val="0"/>
      <w:adjustRightInd w:val="0"/>
      <w:snapToGrid w:val="0"/>
      <w:spacing w:line="440" w:lineRule="exact"/>
      <w:ind w:firstLine="480" w:firstLineChars="200"/>
    </w:pPr>
    <w:rPr>
      <w:rFonts w:ascii="宋体" w:hAnsi="宋体"/>
      <w:spacing w:val="8"/>
      <w:sz w:val="21"/>
      <w:szCs w:val="22"/>
    </w:rPr>
  </w:style>
  <w:style w:type="paragraph" w:customStyle="1" w:styleId="91">
    <w:name w:val="表格字体"/>
    <w:basedOn w:val="1"/>
    <w:next w:val="1"/>
    <w:qFormat/>
    <w:uiPriority w:val="0"/>
    <w:pPr>
      <w:widowControl w:val="0"/>
      <w:adjustRightInd w:val="0"/>
      <w:spacing w:beforeLines="20" w:afterLines="20" w:line="240" w:lineRule="auto"/>
      <w:jc w:val="center"/>
    </w:pPr>
    <w:rPr>
      <w:sz w:val="21"/>
      <w:szCs w:val="20"/>
    </w:rPr>
  </w:style>
  <w:style w:type="paragraph" w:customStyle="1" w:styleId="92">
    <w:name w:val="我的正文"/>
    <w:basedOn w:val="1"/>
    <w:qFormat/>
    <w:uiPriority w:val="0"/>
    <w:pPr>
      <w:widowControl w:val="0"/>
      <w:spacing w:line="240" w:lineRule="auto"/>
      <w:ind w:firstLine="560" w:firstLineChars="200"/>
    </w:pPr>
    <w:rPr>
      <w:sz w:val="28"/>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8.wmf"/><Relationship Id="rId21" Type="http://schemas.openxmlformats.org/officeDocument/2006/relationships/oleObject" Target="embeddings/oleObject7.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6.wmf"/><Relationship Id="rId17" Type="http://schemas.openxmlformats.org/officeDocument/2006/relationships/oleObject" Target="embeddings/oleObject5.bin"/><Relationship Id="rId16" Type="http://schemas.openxmlformats.org/officeDocument/2006/relationships/image" Target="media/image5.jpeg"/><Relationship Id="rId15" Type="http://schemas.openxmlformats.org/officeDocument/2006/relationships/image" Target="media/image4.wmf"/><Relationship Id="rId14" Type="http://schemas.openxmlformats.org/officeDocument/2006/relationships/oleObject" Target="embeddings/oleObject4.bin"/><Relationship Id="rId13" Type="http://schemas.openxmlformats.org/officeDocument/2006/relationships/image" Target="media/image3.emf"/><Relationship Id="rId12" Type="http://schemas.openxmlformats.org/officeDocument/2006/relationships/oleObject" Target="embeddings/oleObject3.bin"/><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7A3FF7-FB33-4C6C-971C-8B6C53C44D0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6010</Words>
  <Characters>34257</Characters>
  <Lines>285</Lines>
  <Paragraphs>80</Paragraphs>
  <TotalTime>7065</TotalTime>
  <ScaleCrop>false</ScaleCrop>
  <LinksUpToDate>false</LinksUpToDate>
  <CharactersWithSpaces>40187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2019-12-30T03:18:00Z</dcterms:created>
  <dc:creator>weiliang</dc:creator>
  <cp:lastModifiedBy>小瓶子</cp:lastModifiedBy>
  <dcterms:modified xsi:type="dcterms:W3CDTF">2020-10-20T01:11:18Z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