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outlineLvl w:val="9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县级行政规范性文件制定主体清单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县政府办公室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县发展和改革局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县教育体育和科技局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县经贸局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县公安局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县民政局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县司法局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县审计局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县财政局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县人力资源和社会保障局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</w:rPr>
        <w:t>县自然资源局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</w:rPr>
        <w:t>市生态环境局镇坪分局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</w:rPr>
        <w:t>县住房和城乡建设局（城市执法局）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</w:rPr>
        <w:t>县交通运输局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</w:rPr>
        <w:t>县农业农村和水利局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sz w:val="32"/>
          <w:szCs w:val="32"/>
        </w:rPr>
        <w:t>县林业局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sz w:val="32"/>
          <w:szCs w:val="32"/>
        </w:rPr>
        <w:t>县扶贫开发局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sz w:val="32"/>
          <w:szCs w:val="32"/>
        </w:rPr>
        <w:t>县文化和旅游广电局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sz w:val="32"/>
          <w:szCs w:val="32"/>
        </w:rPr>
        <w:t>县卫生健康局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sz w:val="32"/>
          <w:szCs w:val="32"/>
        </w:rPr>
        <w:t>县市场监督管理局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县统计局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县信访局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县退役军人事务局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县应急管理局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县医疗保障局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县行政审批服务局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县招商服务中心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县档案史志馆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县公务员局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县政府台湾工作办公室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县民族宗教事务局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县政府侨务办公室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县国家保密局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县国家密码管理局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CA85D9"/>
    <w:multiLevelType w:val="singleLevel"/>
    <w:tmpl w:val="94CA85D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C6162"/>
    <w:rsid w:val="58FC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2020-11-16T02:07:00Z</dcterms:created>
  <dc:creator>admin</dc:creator>
  <cp:lastModifiedBy>admin</cp:lastModifiedBy>
  <dcterms:modified xsi:type="dcterms:W3CDTF">2020-11-16T02:09:57Z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