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黑体" w:hAnsi="黑体" w:eastAsia="黑体" w:cs="黑体"/>
          <w:b w:val="0"/>
          <w:bCs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道路旅客运输站经营许可事项告知承诺书</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证件号码：</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联系方式：0915－8826958</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名称：道路旅客运输站经营许可</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w:t>
      </w:r>
      <w:r>
        <w:rPr>
          <w:rFonts w:hint="eastAsia" w:ascii="微软雅黑" w:hAnsi="微软雅黑" w:eastAsia="微软雅黑" w:cs="微软雅黑"/>
          <w:b w:val="0"/>
          <w:bCs w:val="0"/>
          <w:i w:val="0"/>
          <w:caps w:val="0"/>
          <w:color w:val="0000FF"/>
          <w:spacing w:val="0"/>
          <w:sz w:val="21"/>
          <w:szCs w:val="21"/>
          <w:shd w:val="clear" w:color="FFFFFF" w:fill="D9D9D9"/>
          <w:lang w:val="en-US" w:eastAsia="zh-CN"/>
        </w:rPr>
        <w:t xml:space="preserve"> </w:t>
      </w:r>
      <w:r>
        <w:rPr>
          <w:rFonts w:hint="eastAsia" w:ascii="仿宋_GB2312" w:hAnsi="仿宋_GB2312" w:eastAsia="仿宋_GB2312" w:cs="仿宋_GB2312"/>
          <w:sz w:val="32"/>
          <w:szCs w:val="32"/>
          <w:lang w:val="en-US" w:eastAsia="zh-CN"/>
        </w:rPr>
        <w:t>11610927MB2964786H400011801900001</w:t>
      </w:r>
    </w:p>
    <w:p>
      <w:pPr>
        <w:keepNext w:val="0"/>
        <w:keepLines w:val="0"/>
        <w:pageBreakBefore w:val="0"/>
        <w:widowControl w:val="0"/>
        <w:numPr>
          <w:ilvl w:val="0"/>
          <w:numId w:val="3"/>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中华人民共和国道路运输条例》第三十九条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本行政审批事项获得批准应当具备下列条件、标准和技术要求：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1.客运站经验收合格；</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2.有与业务量相适应的专业人员和管理人员；</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3.有相应的设备、设施；</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1.《道路旅客运输站经营申请表》；</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2.企业法定代表人或者个体经营者身份证件，经办人的身份证件和委托书。</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（五）承诺方式。</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319" w:leftChars="152" w:firstLine="320"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申请对象可通过线上、线下办理实行告知承诺的许可事项。通过线下办理的，应当向行政许可实施机关提交书面的告知承诺书（一式两份）和相关材料。通过网上办理的，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申请对象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存在未履行承诺或经查实为虚假承诺的，行政机关将按照有关规定，依法终止办理、责令限期整改、撤销行政决定或者予以行政处罚，并将有关失信行为信息记入申请对象信用档案；涉嫌犯罪的，依法移送司法机关。申请对象承担相应的行政、民事、刑事责任。</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对象的承诺内容是否属实进行检查。发现申请对象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县交通运输局开展“双随机、一公开”监管，发现违法违规行为要依法查处并公开结果。加强信用监管。畅通投诉举报渠道，依法及时处理投诉举报。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（九）信息公开。</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申请对象承诺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仿宋_GB2312" w:hAnsi="仿宋_GB2312" w:eastAsia="仿宋_GB2312" w:cs="仿宋_GB2312"/>
          <w:sz w:val="32"/>
          <w:szCs w:val="32"/>
          <w:lang w:val="en-US" w:eastAsia="zh-CN"/>
        </w:rPr>
        <w:t>申请对象</w:t>
      </w:r>
      <w:r>
        <w:rPr>
          <w:rFonts w:hint="eastAsia" w:ascii="楷体" w:hAnsi="楷体" w:eastAsia="楷体" w:cs="楷体"/>
          <w:color w:val="auto"/>
          <w:sz w:val="32"/>
          <w:szCs w:val="32"/>
          <w:lang w:val="en-US" w:eastAsia="zh-CN"/>
        </w:rPr>
        <w:t>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w:t>
      </w:r>
      <w:bookmarkEnd w:id="0"/>
      <w:r>
        <w:rPr>
          <w:rFonts w:hint="eastAsia" w:ascii="仿宋_GB2312" w:hAnsi="仿宋_GB2312" w:eastAsia="仿宋_GB2312" w:cs="仿宋_GB2312"/>
          <w:sz w:val="32"/>
          <w:szCs w:val="32"/>
          <w:lang w:val="en-US" w:eastAsia="zh-CN"/>
        </w:rPr>
        <w:t>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CD9"/>
    <w:rsid w:val="0F316C3D"/>
    <w:rsid w:val="11AE0865"/>
    <w:rsid w:val="1BDA2AB8"/>
    <w:rsid w:val="1CE25AD9"/>
    <w:rsid w:val="27BF1340"/>
    <w:rsid w:val="291171D0"/>
    <w:rsid w:val="2A77346A"/>
    <w:rsid w:val="334715D3"/>
    <w:rsid w:val="35145054"/>
    <w:rsid w:val="35D9148C"/>
    <w:rsid w:val="42BE2043"/>
    <w:rsid w:val="45BA0962"/>
    <w:rsid w:val="47990E43"/>
    <w:rsid w:val="48031E39"/>
    <w:rsid w:val="51AA5398"/>
    <w:rsid w:val="54E95A82"/>
    <w:rsid w:val="5AAB0BA6"/>
    <w:rsid w:val="69D77FA0"/>
    <w:rsid w:val="6B6A295B"/>
    <w:rsid w:val="6D7601D7"/>
    <w:rsid w:val="71B379BA"/>
    <w:rsid w:val="784A4DFE"/>
    <w:rsid w:val="79E02865"/>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2022-01-05T08:13:01Z</cp:lastPrinted>
  <dcterms:modified xsi:type="dcterms:W3CDTF">2022-01-05T08:13:50Z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