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公共场所卫生许可事项告知承诺书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符合条件的公共场所可自主选择是否采用告知承诺制方式办理，企业不愿承诺或者无法承诺的，按照一般程序办理。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证件编号：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名称：镇坪县行政审批服务局    联系方式：0915－8820189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名称：公共场所卫生许可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编码：11610927MB2964786H400012302000001</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spacing w:line="530" w:lineRule="exact"/>
        <w:ind w:firstLine="600" w:firstLineChars="200"/>
        <w:rPr>
          <w:rFonts w:hint="eastAsia" w:ascii="仿宋_GB2312" w:eastAsia="仿宋_GB2312"/>
          <w:sz w:val="30"/>
          <w:szCs w:val="30"/>
        </w:rPr>
      </w:pPr>
      <w:r>
        <w:rPr>
          <w:rFonts w:hint="eastAsia" w:ascii="仿宋_GB2312" w:eastAsia="仿宋_GB2312"/>
          <w:sz w:val="30"/>
          <w:szCs w:val="30"/>
        </w:rPr>
        <w:t>1.《公共场所卫生管理条例》第四条：国家对公共场所以及新建、改建、扩建的公共场所的选址和设计实行“卫生许可证”制度。第八条：除公园、体育场（馆）、公共交通工具外的公共场所，经营单位应当及时向卫生行政部门申请办理“卫生许可证”。</w:t>
      </w:r>
    </w:p>
    <w:p>
      <w:pPr>
        <w:spacing w:line="530" w:lineRule="exact"/>
        <w:ind w:firstLine="600" w:firstLineChars="200"/>
        <w:rPr>
          <w:rFonts w:hint="eastAsia" w:ascii="仿宋_GB2312" w:eastAsia="仿宋_GB2312"/>
          <w:sz w:val="30"/>
          <w:szCs w:val="30"/>
        </w:rPr>
      </w:pPr>
      <w:r>
        <w:rPr>
          <w:rFonts w:hint="eastAsia" w:ascii="仿宋_GB2312" w:eastAsia="仿宋_GB2312"/>
          <w:sz w:val="30"/>
          <w:szCs w:val="30"/>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准予许可条件、标准和技术要求。</w:t>
      </w:r>
    </w:p>
    <w:p>
      <w:pPr>
        <w:spacing w:line="530" w:lineRule="exact"/>
        <w:ind w:firstLine="600" w:firstLineChars="200"/>
        <w:rPr>
          <w:rFonts w:hint="eastAsia" w:ascii="仿宋_GB2312" w:eastAsia="仿宋_GB2312"/>
          <w:sz w:val="30"/>
          <w:szCs w:val="30"/>
        </w:rPr>
      </w:pPr>
      <w:r>
        <w:rPr>
          <w:rFonts w:hint="eastAsia" w:ascii="仿宋_GB2312" w:eastAsia="仿宋_GB2312"/>
          <w:sz w:val="30"/>
          <w:szCs w:val="30"/>
        </w:rPr>
        <w:t>本行政审批事项获得批准应当具备下列条件、标准和技术要求：</w:t>
      </w:r>
    </w:p>
    <w:p>
      <w:pPr>
        <w:spacing w:line="53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1.</w:t>
      </w:r>
      <w:r>
        <w:rPr>
          <w:rFonts w:hint="eastAsia" w:ascii="仿宋_GB2312" w:eastAsia="仿宋_GB2312"/>
          <w:sz w:val="30"/>
          <w:szCs w:val="30"/>
        </w:rPr>
        <w:t>经营场所选址、内部布局及卫生设施的设置应符合上述法律、法规、规章、标准及规范性文件的规定</w:t>
      </w:r>
      <w:r>
        <w:rPr>
          <w:rFonts w:hint="eastAsia" w:ascii="仿宋_GB2312" w:eastAsia="仿宋_GB2312"/>
          <w:sz w:val="30"/>
          <w:szCs w:val="30"/>
          <w:lang w:val="en-US" w:eastAsia="zh-CN"/>
        </w:rPr>
        <w:t>；</w:t>
      </w:r>
    </w:p>
    <w:p>
      <w:pPr>
        <w:spacing w:line="53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2.</w:t>
      </w:r>
      <w:r>
        <w:rPr>
          <w:rFonts w:hint="eastAsia" w:ascii="仿宋_GB2312" w:eastAsia="仿宋_GB2312"/>
          <w:sz w:val="30"/>
          <w:szCs w:val="30"/>
        </w:rPr>
        <w:t>公共场所经营者应当按照卫生标准、规范的要求对公共场所的空气、微小气候、水质、采光、照明、噪音、顾客用具等进行卫生检测，检测结果应符合相应的国家卫生标准，规范的要求</w:t>
      </w:r>
      <w:r>
        <w:rPr>
          <w:rFonts w:hint="eastAsia" w:ascii="仿宋_GB2312" w:eastAsia="仿宋_GB2312"/>
          <w:sz w:val="30"/>
          <w:szCs w:val="30"/>
          <w:lang w:eastAsia="zh-CN"/>
        </w:rPr>
        <w:t>；</w:t>
      </w:r>
    </w:p>
    <w:p>
      <w:pPr>
        <w:spacing w:line="53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val="en-US" w:eastAsia="zh-CN"/>
        </w:rPr>
        <w:t>3.</w:t>
      </w:r>
      <w:r>
        <w:rPr>
          <w:rFonts w:hint="eastAsia" w:ascii="仿宋_GB2312" w:eastAsia="仿宋_GB2312"/>
          <w:sz w:val="30"/>
          <w:szCs w:val="30"/>
        </w:rPr>
        <w:t>公共场所经营者应当设立卫生管理部门或者配备专（兼）职卫生管理人员，具体负责本公共场所的卫生工作，建立健全卫生管理制度和卫生管理档案</w:t>
      </w:r>
      <w:r>
        <w:rPr>
          <w:rFonts w:hint="eastAsia" w:ascii="仿宋_GB2312" w:eastAsia="仿宋_GB2312"/>
          <w:sz w:val="30"/>
          <w:szCs w:val="30"/>
          <w:lang w:eastAsia="zh-CN"/>
        </w:rPr>
        <w:t>；</w:t>
      </w:r>
    </w:p>
    <w:p>
      <w:pPr>
        <w:spacing w:line="530" w:lineRule="exact"/>
        <w:ind w:firstLine="600" w:firstLineChars="200"/>
        <w:rPr>
          <w:rFonts w:hint="eastAsia"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公共场所从业人员应当在取得有效健康合格证明后方可上岗。</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根据审批依据和法定条件，本行政审批事项获得批准，申请人应当提交下列材料：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1.《公共场所卫生许可证申请表》；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2.法定代表人或负责人身份证明；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3.公共场所地址方位示意图，平面图和卫生设施平面布局图；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4.公共场所卫生检测或评价报告；使用集中空调通系统的，还应当提供集中空调通风系统卫生检测或评价报告；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5.公共场所卫生管理制度；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6.企业法人工商营业执照复印件。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企业可通过线上、线下办理实行告知承诺的涉企经营许可事项。通过线下办理的，应当向行政许可实施机关提交书面的加盖本企业印章的告知承诺书（一式两份）和相关材料。通过网上办理的，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企业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存在未履行承诺或经查实为虚假承诺的，行政机关将按照有关规定，依法终止办理、责令限期整改、撤销行政决定或者予以行政处罚，并将有关失信行为信息记入企业信用档案；涉嫌犯罪的，依法移送司法机关。企业承担相应的行政、民事、刑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行政审批服务局将在作出准予行政审批决定后2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县卫健局开展“双随机、一公开”监管，发现违法违规行为要依法查处并公开结果。加强信用监管向社会公布卫生状况存在严重问题的公共场所信息。畅通投诉举报渠道，依法及时处理投诉举报。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企业现作出如下承诺：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（本文书一式两份，行政许可实施机关与企业各执一份。）</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54E0E3AC"/>
    <w:multiLevelType w:val="singleLevel"/>
    <w:tmpl w:val="54E0E3AC"/>
    <w:lvl w:ilvl="0" w:tentative="0">
      <w:start w:val="1"/>
      <w:numFmt w:val="chineseCounting"/>
      <w:suff w:val="nothing"/>
      <w:lvlText w:val="（%1）"/>
      <w:lvlJc w:val="left"/>
      <w:rPr>
        <w:rFonts w:hint="eastAsia"/>
      </w:rPr>
    </w:lvl>
  </w:abstractNum>
  <w:abstractNum w:abstractNumId="3">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7CD9"/>
    <w:rsid w:val="0F316C3D"/>
    <w:rsid w:val="11AE0865"/>
    <w:rsid w:val="16FF0DDF"/>
    <w:rsid w:val="1BDA2AB8"/>
    <w:rsid w:val="1CE25AD9"/>
    <w:rsid w:val="291171D0"/>
    <w:rsid w:val="2A77346A"/>
    <w:rsid w:val="334715D3"/>
    <w:rsid w:val="35145054"/>
    <w:rsid w:val="35D9148C"/>
    <w:rsid w:val="42BE2043"/>
    <w:rsid w:val="45BA0962"/>
    <w:rsid w:val="47990E43"/>
    <w:rsid w:val="51AA5398"/>
    <w:rsid w:val="54E95A82"/>
    <w:rsid w:val="5AAB0BA6"/>
    <w:rsid w:val="6B6A295B"/>
    <w:rsid w:val="7A215A9C"/>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2022-01-05T08:13:14Z</cp:lastPrinted>
  <dcterms:modified xsi:type="dcterms:W3CDTF">2022-01-05T08:13:48Z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