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方正小标宋简体" w:hAnsi="方正小标宋简体" w:cs="方正小标宋简体"/>
          <w:sz w:val="52"/>
          <w:szCs w:val="52"/>
        </w:rPr>
      </w:pPr>
      <w:r>
        <w:rPr>
          <w:rFonts w:ascii="方正小标宋简体" w:hAnsi="方正小标宋简体" w:cs="方正小标宋简体"/>
          <w:sz w:val="52"/>
          <w:szCs w:val="52"/>
        </w:rPr>
        <w:t>镇坪县</w:t>
      </w:r>
      <w:r>
        <w:rPr>
          <w:rFonts w:hint="eastAsia" w:ascii="方正小标宋简体" w:hAnsi="方正小标宋简体" w:cs="方正小标宋简体"/>
          <w:sz w:val="52"/>
          <w:szCs w:val="52"/>
        </w:rPr>
        <w:t>农业科技服务中心</w:t>
      </w:r>
    </w:p>
    <w:p>
      <w:pPr>
        <w:spacing w:line="560" w:lineRule="exact"/>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52"/>
          <w:szCs w:val="52"/>
        </w:rPr>
        <w:t>2021年度部门决算</w:t>
      </w: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400" w:lineRule="exact"/>
        <w:ind w:firstLine="2570" w:firstLineChars="800"/>
        <w:rPr>
          <w:rFonts w:ascii="宋体" w:hAnsi="宋体" w:cs="宋体"/>
          <w:b/>
          <w:bCs/>
          <w:sz w:val="32"/>
          <w:szCs w:val="32"/>
        </w:rPr>
      </w:pPr>
    </w:p>
    <w:p>
      <w:pPr>
        <w:spacing w:line="400" w:lineRule="exact"/>
        <w:ind w:firstLine="2570" w:firstLineChars="800"/>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hAnsi="宋体" w:cs="宋体"/>
          <w:b/>
          <w:bCs/>
          <w:sz w:val="32"/>
          <w:szCs w:val="32"/>
        </w:rPr>
      </w:pPr>
    </w:p>
    <w:p>
      <w:pPr>
        <w:spacing w:line="400" w:lineRule="exact"/>
        <w:rPr>
          <w:rFonts w:ascii="宋体" w:hAnsi="宋体" w:cs="宋体"/>
          <w:b/>
          <w:bCs/>
          <w:sz w:val="32"/>
          <w:szCs w:val="32"/>
        </w:rPr>
      </w:pPr>
    </w:p>
    <w:p>
      <w:pPr>
        <w:jc w:val="center"/>
        <w:rPr>
          <w:rFonts w:ascii="黑体" w:hAnsi="宋体" w:eastAsia="黑体"/>
          <w:bCs/>
          <w:color w:val="000000"/>
          <w:kern w:val="0"/>
          <w:sz w:val="36"/>
          <w:szCs w:val="36"/>
        </w:rPr>
        <w:sectPr>
          <w:footerReference r:id="rId3" w:type="default"/>
          <w:pgSz w:w="11906" w:h="16838"/>
          <w:pgMar w:top="1440" w:right="1800" w:bottom="1440" w:left="1800" w:header="851" w:footer="992" w:gutter="0"/>
          <w:cols w:space="720" w:num="1"/>
          <w:docGrid w:type="lines" w:linePitch="315" w:charSpace="0"/>
        </w:sectPr>
      </w:pPr>
    </w:p>
    <w:p>
      <w:pPr>
        <w:jc w:val="center"/>
        <w:rPr>
          <w:rFonts w:ascii="黑体" w:hAnsi="宋体" w:eastAsia="黑体"/>
          <w:bCs/>
          <w:color w:val="000000"/>
          <w:kern w:val="0"/>
          <w:sz w:val="36"/>
          <w:szCs w:val="36"/>
        </w:rPr>
      </w:pPr>
      <w:r>
        <w:rPr>
          <w:rFonts w:ascii="黑体" w:hAnsi="宋体" w:eastAsia="黑体"/>
          <w:bCs/>
          <w:color w:val="000000"/>
          <w:kern w:val="0"/>
          <w:sz w:val="36"/>
          <w:szCs w:val="36"/>
        </w:rPr>
        <w:t>目录</w:t>
      </w:r>
    </w:p>
    <w:p>
      <w:pPr>
        <w:widowControl/>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一、部门主要职能及内设机构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第二部分  2021年度部门决算表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九、国有资本经营预算财政拨款支出决算表</w:t>
      </w:r>
    </w:p>
    <w:p>
      <w:pPr>
        <w:widowControl/>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第三部分  2021年度部门决算情况说明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三、支出决算情况说明</w:t>
      </w:r>
    </w:p>
    <w:p>
      <w:pPr>
        <w:widowControl/>
        <w:jc w:val="left"/>
        <w:rPr>
          <w:rFonts w:ascii="楷体" w:hAnsi="楷体" w:eastAsia="楷体" w:cs="楷体"/>
        </w:rPr>
      </w:pPr>
      <w:r>
        <w:rPr>
          <w:rFonts w:hint="eastAsia" w:ascii="仿宋" w:hAnsi="仿宋" w:eastAsia="仿宋" w:cs="楷体"/>
          <w:color w:val="000000"/>
          <w:kern w:val="0"/>
          <w:sz w:val="32"/>
          <w:szCs w:val="32"/>
        </w:rPr>
        <w:t>四、财政拨款收入支出决算总体情况说明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六、一般公共预算财政拨款基本支出决算情况说明</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九、国有资本经营预算财政拨款支出决算情况说明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十、机关运行经费支出情况说明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十一、政府采购支出情况说明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十二、国有资产占用及购置情况说明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十三、预算绩效情况说明</w:t>
      </w:r>
    </w:p>
    <w:p>
      <w:pPr>
        <w:widowControl/>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第四部分 专业名词解释</w:t>
      </w: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32"/>
          <w:szCs w:val="32"/>
        </w:rPr>
      </w:pPr>
      <w:r>
        <w:rPr>
          <w:rFonts w:hint="eastAsia" w:ascii="方正小标宋简体" w:hAnsi="方正小标宋简体" w:eastAsia="方正小标宋简体" w:cs="方正小标宋简体"/>
          <w:color w:val="000000"/>
          <w:kern w:val="0"/>
          <w:sz w:val="44"/>
          <w:szCs w:val="44"/>
        </w:rPr>
        <w:t>第一部分部门概况</w:t>
      </w:r>
    </w:p>
    <w:p>
      <w:pPr>
        <w:rPr>
          <w:rFonts w:ascii="黑体" w:hAnsi="宋体" w:eastAsia="黑体"/>
          <w:color w:val="000000"/>
          <w:kern w:val="0"/>
          <w:sz w:val="32"/>
          <w:szCs w:val="32"/>
        </w:rPr>
      </w:pPr>
      <w:r>
        <w:rPr>
          <w:rFonts w:hint="eastAsia" w:ascii="黑体" w:hAnsi="宋体" w:eastAsia="黑体"/>
          <w:color w:val="000000"/>
          <w:kern w:val="0"/>
          <w:sz w:val="32"/>
          <w:szCs w:val="32"/>
        </w:rPr>
        <w:t>一、部门主要职能及内设机构</w:t>
      </w:r>
    </w:p>
    <w:p>
      <w:pPr>
        <w:widowControl/>
        <w:ind w:firstLine="640" w:firstLineChars="200"/>
        <w:jc w:val="left"/>
        <w:rPr>
          <w:rFonts w:ascii="楷体" w:hAnsi="楷体" w:eastAsia="楷体" w:cs="楷体"/>
          <w:color w:val="000000"/>
          <w:kern w:val="0"/>
          <w:sz w:val="32"/>
          <w:szCs w:val="32"/>
        </w:rPr>
      </w:pPr>
      <w:r>
        <w:rPr>
          <w:rFonts w:hint="eastAsia" w:ascii="楷体" w:hAnsi="楷体" w:eastAsia="楷体" w:cs="楷体"/>
          <w:color w:val="000000"/>
          <w:kern w:val="0"/>
          <w:sz w:val="32"/>
          <w:szCs w:val="32"/>
        </w:rPr>
        <w:t>（一）主要职能。</w:t>
      </w:r>
    </w:p>
    <w:p>
      <w:pPr>
        <w:spacing w:line="560" w:lineRule="exact"/>
        <w:ind w:firstLine="640" w:firstLineChars="200"/>
        <w:rPr>
          <w:rFonts w:eastAsia="仿宋_GB2312"/>
          <w:sz w:val="32"/>
          <w:szCs w:val="32"/>
        </w:rPr>
      </w:pPr>
      <w:r>
        <w:rPr>
          <w:rFonts w:eastAsia="仿宋_GB2312"/>
          <w:sz w:val="32"/>
          <w:szCs w:val="32"/>
        </w:rPr>
        <w:t>贯彻执行</w:t>
      </w:r>
      <w:r>
        <w:rPr>
          <w:rFonts w:hint="eastAsia" w:eastAsia="仿宋_GB2312"/>
          <w:sz w:val="32"/>
          <w:szCs w:val="32"/>
        </w:rPr>
        <w:t>农业种植业、农村能源、农业机械化、农田水利基本建设等方面的法律法规及政策规定，参与编制全县农业技术推广规划并组织实施；参与拟订全县农业机械化事业发展规划和有关标准、技术规范；参与拟订全县农作物种子规划和计划，提出全县农作物品种布局建议。</w:t>
      </w:r>
    </w:p>
    <w:p>
      <w:pPr>
        <w:spacing w:line="560" w:lineRule="exact"/>
        <w:ind w:firstLine="640" w:firstLineChars="200"/>
        <w:rPr>
          <w:rFonts w:eastAsia="仿宋_GB2312"/>
          <w:sz w:val="32"/>
          <w:szCs w:val="32"/>
        </w:rPr>
      </w:pPr>
      <w:r>
        <w:rPr>
          <w:rFonts w:hint="eastAsia" w:eastAsia="仿宋_GB2312"/>
          <w:sz w:val="32"/>
          <w:szCs w:val="32"/>
        </w:rPr>
        <w:t>承担种植业新技术、新品种、新农药的推广工作；承担全县粮油、蔬菜、魔芋、中药材、茶叶、蚕桑、水果等产业发展技术指导推广以及业务培训工作。</w:t>
      </w:r>
    </w:p>
    <w:p>
      <w:pPr>
        <w:spacing w:line="560" w:lineRule="exact"/>
        <w:ind w:firstLine="640" w:firstLineChars="200"/>
        <w:rPr>
          <w:rFonts w:eastAsia="仿宋_GB2312"/>
          <w:sz w:val="32"/>
          <w:szCs w:val="32"/>
        </w:rPr>
      </w:pPr>
      <w:r>
        <w:rPr>
          <w:rFonts w:hint="eastAsia" w:eastAsia="仿宋_GB2312"/>
          <w:sz w:val="32"/>
          <w:szCs w:val="32"/>
        </w:rPr>
        <w:t>承担农作物病虫害研究、预测预报和防治工作。</w:t>
      </w:r>
    </w:p>
    <w:p>
      <w:pPr>
        <w:spacing w:line="560" w:lineRule="exact"/>
        <w:ind w:firstLine="640" w:firstLineChars="200"/>
        <w:rPr>
          <w:rFonts w:eastAsia="仿宋_GB2312"/>
          <w:sz w:val="32"/>
          <w:szCs w:val="32"/>
        </w:rPr>
      </w:pPr>
      <w:r>
        <w:rPr>
          <w:rFonts w:hint="eastAsia" w:eastAsia="仿宋_GB2312"/>
          <w:sz w:val="32"/>
          <w:szCs w:val="32"/>
        </w:rPr>
        <w:t>参与全县耕地资源普查工作，提出耕地保护补偿与改良的技术措施。</w:t>
      </w:r>
    </w:p>
    <w:p>
      <w:pPr>
        <w:spacing w:line="560" w:lineRule="exact"/>
        <w:ind w:firstLine="640" w:firstLineChars="200"/>
        <w:rPr>
          <w:rFonts w:eastAsia="仿宋_GB2312"/>
          <w:sz w:val="32"/>
          <w:szCs w:val="32"/>
        </w:rPr>
      </w:pPr>
      <w:r>
        <w:rPr>
          <w:rFonts w:hint="eastAsia" w:eastAsia="仿宋_GB2312"/>
          <w:sz w:val="32"/>
          <w:szCs w:val="32"/>
        </w:rPr>
        <w:t>承担土肥技术研究和应用推广、耕地质量提升和保护工作，组织实施测土配方施肥工作，承担土肥监测检测工作。</w:t>
      </w:r>
    </w:p>
    <w:p>
      <w:pPr>
        <w:spacing w:line="560" w:lineRule="exact"/>
        <w:ind w:firstLine="640" w:firstLineChars="200"/>
        <w:rPr>
          <w:rFonts w:eastAsia="仿宋_GB2312"/>
          <w:sz w:val="32"/>
          <w:szCs w:val="32"/>
        </w:rPr>
      </w:pPr>
      <w:r>
        <w:rPr>
          <w:rFonts w:hint="eastAsia" w:eastAsia="仿宋_GB2312"/>
          <w:sz w:val="32"/>
          <w:szCs w:val="32"/>
        </w:rPr>
        <w:t>承担农村能源新技术、新产品的引进、试验、示范、推广和服务工作。</w:t>
      </w:r>
    </w:p>
    <w:p>
      <w:pPr>
        <w:spacing w:line="560" w:lineRule="exact"/>
        <w:ind w:firstLine="640" w:firstLineChars="200"/>
        <w:rPr>
          <w:rFonts w:eastAsia="仿宋_GB2312"/>
          <w:sz w:val="32"/>
          <w:szCs w:val="32"/>
        </w:rPr>
      </w:pPr>
      <w:r>
        <w:rPr>
          <w:rFonts w:hint="eastAsia" w:eastAsia="仿宋_GB2312"/>
          <w:sz w:val="32"/>
          <w:szCs w:val="32"/>
        </w:rPr>
        <w:t>承担农药、化肥及种植生产废弃物等有毒有害物质残留的监测、分析、评价工作，承担有害生物、检疫性病虫鉴定、药械选用和防控工作。</w:t>
      </w:r>
    </w:p>
    <w:p>
      <w:pPr>
        <w:spacing w:line="560" w:lineRule="exact"/>
        <w:ind w:firstLine="640" w:firstLineChars="200"/>
        <w:rPr>
          <w:rFonts w:eastAsia="仿宋_GB2312"/>
          <w:sz w:val="32"/>
          <w:szCs w:val="32"/>
        </w:rPr>
      </w:pPr>
      <w:r>
        <w:rPr>
          <w:rFonts w:hint="eastAsia" w:eastAsia="仿宋_GB2312"/>
          <w:sz w:val="32"/>
          <w:szCs w:val="32"/>
        </w:rPr>
        <w:t>参与编制全县一村一品发展规划，编报全县一村一品项目；承担粮油菜、魔芋、茶叶、蚕桑、水果产业建设事务性工作；承担现代农业园区建设的技术服务工作。</w:t>
      </w:r>
    </w:p>
    <w:p>
      <w:pPr>
        <w:spacing w:line="560" w:lineRule="exact"/>
        <w:ind w:firstLine="640" w:firstLineChars="200"/>
        <w:rPr>
          <w:rFonts w:eastAsia="仿宋_GB2312"/>
          <w:sz w:val="32"/>
          <w:szCs w:val="32"/>
        </w:rPr>
      </w:pPr>
      <w:r>
        <w:rPr>
          <w:rFonts w:hint="eastAsia" w:eastAsia="仿宋_GB2312"/>
          <w:sz w:val="32"/>
          <w:szCs w:val="32"/>
        </w:rPr>
        <w:t>承担农机化推广；承担农机购置补贴、农机更新报废补贴、农机安全免费管理和农机作业补贴等强农惠农项目政策落实工作；承担农机化技术服务，承担新机具示范推广、农机农艺融合、农业机械化培训和职业技能培训，农业机械化生产，跨区域作业为主的机械化作业；承担农机安全生产服务工作。</w:t>
      </w:r>
    </w:p>
    <w:p>
      <w:pPr>
        <w:spacing w:line="560" w:lineRule="exact"/>
        <w:ind w:firstLine="640" w:firstLineChars="200"/>
        <w:rPr>
          <w:rFonts w:eastAsia="仿宋_GB2312"/>
          <w:sz w:val="32"/>
          <w:szCs w:val="32"/>
        </w:rPr>
      </w:pPr>
      <w:r>
        <w:rPr>
          <w:rFonts w:hint="eastAsia" w:eastAsia="仿宋_GB2312"/>
          <w:sz w:val="32"/>
          <w:szCs w:val="32"/>
        </w:rPr>
        <w:t>承担全县农田水利、高标准农田建设、农业综合开发事务性工作；推广农田灌溉节水排水技术。</w:t>
      </w:r>
    </w:p>
    <w:p>
      <w:pPr>
        <w:spacing w:line="560" w:lineRule="exact"/>
        <w:ind w:firstLine="640" w:firstLineChars="200"/>
        <w:rPr>
          <w:rFonts w:ascii="楷体" w:hAnsi="楷体" w:eastAsia="楷体" w:cs="楷体"/>
          <w:color w:val="000000"/>
          <w:kern w:val="0"/>
          <w:sz w:val="32"/>
          <w:szCs w:val="32"/>
        </w:rPr>
      </w:pPr>
      <w:r>
        <w:rPr>
          <w:rFonts w:hint="eastAsia" w:eastAsia="仿宋_GB2312"/>
          <w:sz w:val="32"/>
          <w:szCs w:val="32"/>
        </w:rPr>
        <w:t>承担农业科普宣传、农业科技培训及公益咨询服务，收集、整理和发布各类农业科技信息。</w:t>
      </w:r>
    </w:p>
    <w:p>
      <w:pPr>
        <w:widowControl/>
        <w:numPr>
          <w:ilvl w:val="0"/>
          <w:numId w:val="1"/>
        </w:numPr>
        <w:ind w:firstLine="640" w:firstLineChars="200"/>
        <w:jc w:val="left"/>
        <w:rPr>
          <w:rFonts w:ascii="楷体" w:hAnsi="楷体" w:eastAsia="楷体" w:cs="楷体"/>
          <w:color w:val="000000"/>
          <w:kern w:val="0"/>
          <w:sz w:val="32"/>
          <w:szCs w:val="32"/>
        </w:rPr>
      </w:pPr>
      <w:r>
        <w:rPr>
          <w:rFonts w:hint="eastAsia" w:ascii="楷体" w:hAnsi="楷体" w:eastAsia="楷体" w:cs="楷体"/>
          <w:color w:val="000000"/>
          <w:kern w:val="0"/>
          <w:sz w:val="32"/>
          <w:szCs w:val="32"/>
        </w:rPr>
        <w:t>内设机构。</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镇坪县农业科技服务中心为县农业农村和水利局下属正科级财政全额预算事业单位。内设8个股室，分别是综合办公室、农技推广办公室、植保植检工作办公室、土壤肥料工作办公室、能源工作办公室、农机推广办公室、茶桑果工作办公室、农田建设工作办公室。</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纳入本年度本部门决算编制范围的单位共1个，属</w:t>
      </w:r>
      <w:r>
        <w:rPr>
          <w:rFonts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p>
      <w:pPr>
        <w:rPr>
          <w:rFonts w:ascii="黑体" w:hAnsi="黑体" w:eastAsia="黑体"/>
          <w:sz w:val="32"/>
          <w:szCs w:val="32"/>
        </w:rPr>
      </w:pPr>
      <w:r>
        <w:rPr>
          <w:rFonts w:ascii="仿宋_GB2312" w:hAnsi="仿宋_GB2312" w:eastAsia="仿宋_GB2312" w:cs="仿宋_GB2312"/>
          <w:sz w:val="32"/>
          <w:szCs w:val="32"/>
        </w:rPr>
        <w:object>
          <v:shape id="_x0000_i1025" o:spt="75" type="#_x0000_t75" style="height:115.5pt;width:441pt;" o:ole="t" filled="f" o:preferrelative="t" stroked="f" coordsize="21600,21600">
            <v:path/>
            <v:fill on="f" focussize="0,0"/>
            <v:stroke on="f" joinstyle="miter"/>
            <v:imagedata r:id="rId7" o:title=""/>
            <o:lock v:ext="edit" aspectratio="t"/>
            <w10:wrap type="none"/>
            <w10:anchorlock/>
          </v:shape>
          <o:OLEObject Type="Embed" ProgID="Excel.Sheet.8" ShapeID="_x0000_i1025" DrawAspect="Content" ObjectID="_1468075725" r:id="rId6">
            <o:LockedField>false</o:LockedField>
          </o:OLEObject>
        </w:object>
      </w:r>
      <w:r>
        <w:rPr>
          <w:rFonts w:hint="eastAsia" w:ascii="黑体" w:hAnsi="黑体" w:eastAsia="黑体"/>
          <w:sz w:val="32"/>
          <w:szCs w:val="32"/>
        </w:rPr>
        <w:t>三、部门人员情况</w:t>
      </w:r>
    </w:p>
    <w:p>
      <w:pPr>
        <w:widowControl/>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截至2021年底，本部门人员编制27人，其中事业编制27人；实有人员25人，其中专业技术人员19人、管理人员1人、工勤人员5人。单位管理的离退休人员21人。</w:t>
      </w:r>
    </w:p>
    <w:p>
      <w:pPr>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drawing>
          <wp:inline distT="0" distB="0" distL="114300" distR="114300">
            <wp:extent cx="4918710" cy="3429000"/>
            <wp:effectExtent l="4445" t="4445" r="1079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center"/>
        <w:rPr>
          <w:rFonts w:ascii="方正小标宋简体" w:hAnsi="方正小标宋简体" w:eastAsia="方正小标宋简体" w:cs="方正小标宋简体"/>
          <w:color w:val="000000"/>
          <w:kern w:val="0"/>
          <w:sz w:val="44"/>
          <w:szCs w:val="44"/>
        </w:rPr>
      </w:pPr>
    </w:p>
    <w:p>
      <w:pPr>
        <w:jc w:val="center"/>
        <w:rPr>
          <w:rFonts w:ascii="方正小标宋简体" w:hAnsi="方正小标宋简体" w:eastAsia="方正小标宋简体" w:cs="方正小标宋简体"/>
          <w:color w:val="000000"/>
          <w:kern w:val="0"/>
          <w:sz w:val="44"/>
          <w:szCs w:val="44"/>
        </w:rPr>
      </w:pPr>
    </w:p>
    <w:p>
      <w:pPr>
        <w:jc w:val="center"/>
        <w:rPr>
          <w:rFonts w:ascii="方正小标宋简体" w:hAnsi="方正小标宋简体" w:eastAsia="方正小标宋简体" w:cs="方正小标宋简体"/>
          <w:color w:val="000000"/>
          <w:kern w:val="0"/>
          <w:sz w:val="44"/>
          <w:szCs w:val="44"/>
        </w:rPr>
      </w:pPr>
    </w:p>
    <w:p>
      <w:pPr>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第二部分2021年度部门决算表</w:t>
      </w:r>
    </w:p>
    <w:p>
      <w:pPr>
        <w:widowControl/>
        <w:jc w:val="center"/>
        <w:textAlignment w:val="center"/>
        <w:rPr>
          <w:rFonts w:ascii="宋体" w:hAnsi="宋体" w:cs="宋体"/>
          <w:b/>
          <w:color w:val="000000"/>
          <w:kern w:val="0"/>
          <w:sz w:val="40"/>
          <w:szCs w:val="40"/>
        </w:rPr>
      </w:pPr>
      <w:r>
        <w:rPr>
          <w:rFonts w:hint="eastAsia" w:ascii="仿宋" w:hAnsi="仿宋" w:eastAsia="仿宋" w:cs="仿宋"/>
          <w:bCs/>
          <w:color w:val="000000"/>
          <w:kern w:val="0"/>
          <w:sz w:val="32"/>
          <w:szCs w:val="32"/>
        </w:rPr>
        <w:object>
          <v:shape id="_x0000_i1026" o:spt="75" type="#_x0000_t75" style="height:545.25pt;width:468.75pt;" o:ole="t" filled="f" o:preferrelative="t" stroked="f" coordsize="21600,21600">
            <v:path/>
            <v:fill on="f" focussize="0,0"/>
            <v:stroke on="f" joinstyle="miter"/>
            <v:imagedata r:id="rId10" o:title=""/>
            <o:lock v:ext="edit" aspectratio="t"/>
            <w10:wrap type="none"/>
            <w10:anchorlock/>
          </v:shape>
          <o:OLEObject Type="Embed" ProgID="Excel.Sheet.8" ShapeID="_x0000_i1026" DrawAspect="Content" ObjectID="_1468075726" r:id="rId9">
            <o:LockedField>false</o:LockedField>
          </o:OLEObject>
        </w:object>
      </w:r>
      <w:r>
        <w:rPr>
          <w:rFonts w:hint="eastAsia" w:ascii="宋体" w:hAnsi="宋体" w:cs="宋体"/>
          <w:b/>
          <w:color w:val="000000"/>
          <w:kern w:val="0"/>
          <w:sz w:val="40"/>
          <w:szCs w:val="40"/>
        </w:rPr>
        <w:br w:type="page"/>
      </w:r>
      <w:r>
        <w:rPr>
          <w:rFonts w:hint="eastAsia" w:ascii="宋体" w:hAnsi="宋体" w:cs="宋体"/>
          <w:b/>
          <w:color w:val="000000"/>
          <w:kern w:val="0"/>
          <w:sz w:val="40"/>
          <w:szCs w:val="40"/>
        </w:rPr>
        <w:object>
          <v:shape id="_x0000_i1027" o:spt="75" type="#_x0000_t75" style="height:638.25pt;width:436.5pt;" o:ole="t" filled="f" o:preferrelative="t" stroked="f" coordsize="21600,21600">
            <v:path/>
            <v:fill on="f" focussize="0,0"/>
            <v:stroke on="f" joinstyle="miter"/>
            <v:imagedata r:id="rId12" o:title=""/>
            <o:lock v:ext="edit" aspectratio="t"/>
            <w10:wrap type="none"/>
            <w10:anchorlock/>
          </v:shape>
          <o:OLEObject Type="Embed" ProgID="Excel.Sheet.8" ShapeID="_x0000_i1027" DrawAspect="Content" ObjectID="_1468075727" r:id="rId11">
            <o:LockedField>false</o:LockedField>
          </o:OLEObject>
        </w:object>
      </w:r>
    </w:p>
    <w:p>
      <w:pPr>
        <w:widowControl/>
        <w:textAlignment w:val="center"/>
        <w:rPr>
          <w:rFonts w:ascii="宋体" w:hAnsi="宋体" w:cs="宋体"/>
          <w:b/>
          <w:color w:val="000000"/>
          <w:kern w:val="0"/>
          <w:sz w:val="40"/>
          <w:szCs w:val="40"/>
        </w:rPr>
      </w:pPr>
      <w:r>
        <w:rPr>
          <w:rFonts w:hint="eastAsia" w:ascii="宋体" w:hAnsi="宋体" w:cs="宋体"/>
          <w:b/>
          <w:color w:val="000000"/>
          <w:kern w:val="0"/>
          <w:sz w:val="40"/>
          <w:szCs w:val="40"/>
        </w:rPr>
        <w:object>
          <v:shape id="_x0000_i1028" o:spt="75" type="#_x0000_t75" style="height:640.5pt;width:443.25pt;" o:ole="t" filled="f" o:preferrelative="t" stroked="f" coordsize="21600,21600">
            <v:path/>
            <v:fill on="f" focussize="0,0"/>
            <v:stroke on="f" joinstyle="miter"/>
            <v:imagedata r:id="rId14" o:title=""/>
            <o:lock v:ext="edit" aspectratio="t"/>
            <w10:wrap type="none"/>
            <w10:anchorlock/>
          </v:shape>
          <o:OLEObject Type="Embed" ProgID="Excel.Sheet.8" ShapeID="_x0000_i1028" DrawAspect="Content" ObjectID="_1468075728" r:id="rId13">
            <o:LockedField>false</o:LockedField>
          </o:OLEObject>
        </w:object>
      </w:r>
    </w:p>
    <w:p>
      <w:pPr>
        <w:widowControl/>
        <w:textAlignment w:val="center"/>
        <w:rPr>
          <w:rFonts w:ascii="宋体" w:hAnsi="宋体" w:cs="宋体"/>
          <w:b/>
          <w:bCs/>
          <w:szCs w:val="21"/>
        </w:rPr>
      </w:pPr>
      <w:r>
        <w:rPr>
          <w:rFonts w:hint="eastAsia" w:ascii="宋体" w:hAnsi="宋体" w:cs="宋体"/>
          <w:b/>
          <w:bCs/>
          <w:szCs w:val="21"/>
        </w:rPr>
        <w:object>
          <v:shape id="_x0000_i1029" o:spt="75" type="#_x0000_t75" style="height:671.25pt;width:454.5pt;" o:ole="t" filled="f" o:preferrelative="t" stroked="f" coordsize="21600,21600">
            <v:path/>
            <v:fill on="f" focussize="0,0"/>
            <v:stroke on="f" joinstyle="miter"/>
            <v:imagedata r:id="rId16" o:title=""/>
            <o:lock v:ext="edit" aspectratio="t"/>
            <w10:wrap type="none"/>
            <w10:anchorlock/>
          </v:shape>
          <o:OLEObject Type="Embed" ProgID="Excel.Sheet.8" ShapeID="_x0000_i1029" DrawAspect="Content" ObjectID="_1468075729" r:id="rId15">
            <o:LockedField>false</o:LockedField>
          </o:OLEObject>
        </w:object>
      </w:r>
      <w:r>
        <w:rPr>
          <w:rFonts w:hint="eastAsia" w:ascii="宋体" w:hAnsi="宋体" w:cs="宋体"/>
          <w:b/>
          <w:bCs/>
          <w:szCs w:val="21"/>
        </w:rPr>
        <w:object>
          <v:shape id="_x0000_i1030" o:spt="75" type="#_x0000_t75" style="height:638.25pt;width:455.25pt;" o:ole="t" filled="f" o:preferrelative="t" stroked="f" coordsize="21600,21600">
            <v:path/>
            <v:fill on="f" focussize="0,0"/>
            <v:stroke on="f" joinstyle="miter"/>
            <v:imagedata r:id="rId18" o:title=""/>
            <o:lock v:ext="edit" aspectratio="t"/>
            <w10:wrap type="none"/>
            <w10:anchorlock/>
          </v:shape>
          <o:OLEObject Type="Embed" ProgID="Excel.Sheet.8" ShapeID="_x0000_i1030" DrawAspect="Content" ObjectID="_1468075730" r:id="rId17">
            <o:LockedField>false</o:LockedField>
          </o:OLEObject>
        </w:object>
      </w:r>
      <w:r>
        <w:rPr>
          <w:rFonts w:hint="eastAsia" w:ascii="宋体" w:hAnsi="宋体" w:cs="宋体"/>
          <w:b/>
          <w:bCs/>
          <w:szCs w:val="21"/>
        </w:rPr>
        <w:object>
          <v:shape id="_x0000_i1031" o:spt="75" type="#_x0000_t75" style="height:458.25pt;width:411.75pt;" o:ole="t" filled="f" o:preferrelative="t" stroked="f" coordsize="21600,21600">
            <v:path/>
            <v:fill on="f" focussize="0,0"/>
            <v:stroke on="f" joinstyle="miter"/>
            <v:imagedata r:id="rId20" o:title=""/>
            <o:lock v:ext="edit" aspectratio="t"/>
            <w10:wrap type="none"/>
            <w10:anchorlock/>
          </v:shape>
          <o:OLEObject Type="Embed" ProgID="Excel.Sheet.8" ShapeID="_x0000_i1031" DrawAspect="Content" ObjectID="_1468075731" r:id="rId19">
            <o:LockedField>false</o:LockedField>
          </o:OLEObject>
        </w:object>
      </w: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r>
        <w:rPr>
          <w:rFonts w:hint="eastAsia" w:ascii="宋体" w:hAnsi="宋体" w:cs="宋体"/>
          <w:color w:val="000000"/>
          <w:kern w:val="0"/>
          <w:szCs w:val="21"/>
        </w:rPr>
        <w:object>
          <v:shape id="_x0000_i1032" o:spt="75" type="#_x0000_t75" style="height:625.5pt;width:441.75pt;" o:ole="t" filled="f" o:preferrelative="t" stroked="f" coordsize="21600,21600">
            <v:path/>
            <v:fill on="f" focussize="0,0"/>
            <v:stroke on="f" joinstyle="miter"/>
            <v:imagedata r:id="rId22" o:title=""/>
            <o:lock v:ext="edit" aspectratio="t"/>
            <w10:wrap type="none"/>
            <w10:anchorlock/>
          </v:shape>
          <o:OLEObject Type="Embed" ProgID="Excel.Sheet.8" ShapeID="_x0000_i1032" DrawAspect="Content" ObjectID="_1468075732" r:id="rId21">
            <o:LockedField>false</o:LockedField>
          </o:OLEObject>
        </w:object>
      </w:r>
    </w:p>
    <w:p>
      <w:pPr>
        <w:widowControl/>
        <w:jc w:val="left"/>
        <w:rPr>
          <w:rFonts w:ascii="宋体" w:hAnsi="宋体" w:cs="宋体"/>
          <w:color w:val="000000"/>
          <w:kern w:val="0"/>
          <w:szCs w:val="21"/>
        </w:rPr>
      </w:pPr>
      <w:r>
        <w:rPr>
          <w:rFonts w:hint="eastAsia" w:ascii="宋体" w:hAnsi="宋体" w:cs="宋体"/>
          <w:color w:val="000000"/>
          <w:kern w:val="0"/>
          <w:szCs w:val="21"/>
        </w:rPr>
        <w:object>
          <v:shape id="_x0000_i1033" o:spt="75" type="#_x0000_t75" style="height:625.5pt;width:465pt;" o:ole="t" filled="f" o:preferrelative="t" stroked="f" coordsize="21600,21600">
            <v:path/>
            <v:fill on="f" focussize="0,0"/>
            <v:stroke on="f" joinstyle="miter"/>
            <v:imagedata r:id="rId24" o:title=""/>
            <o:lock v:ext="edit" aspectratio="t"/>
            <w10:wrap type="none"/>
            <w10:anchorlock/>
          </v:shape>
          <o:OLEObject Type="Embed" ProgID="Excel.Sheet.8" ShapeID="_x0000_i1033" DrawAspect="Content" ObjectID="_1468075733" r:id="rId23">
            <o:LockedField>false</o:LockedField>
          </o:OLEObject>
        </w:object>
      </w: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r>
        <w:rPr>
          <w:rFonts w:hint="eastAsia" w:ascii="宋体" w:hAnsi="宋体" w:cs="宋体"/>
          <w:color w:val="000000"/>
          <w:kern w:val="0"/>
          <w:szCs w:val="21"/>
        </w:rPr>
        <w:object>
          <v:shape id="_x0000_i1034" o:spt="75" type="#_x0000_t75" style="height:343.5pt;width:444.75pt;" o:ole="t" filled="f" o:preferrelative="t" stroked="f" coordsize="21600,21600">
            <v:path/>
            <v:fill on="f" focussize="0,0"/>
            <v:stroke on="f" joinstyle="miter"/>
            <v:imagedata r:id="rId26" o:title=""/>
            <o:lock v:ext="edit" aspectratio="t"/>
            <w10:wrap type="none"/>
            <w10:anchorlock/>
          </v:shape>
          <o:OLEObject Type="Embed" ProgID="Excel.Sheet.8" ShapeID="_x0000_i1034" DrawAspect="Content" ObjectID="_1468075734" r:id="rId25">
            <o:LockedField>false</o:LockedField>
          </o:OLEObject>
        </w:object>
      </w: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jc w:val="center"/>
        <w:rPr>
          <w:rFonts w:ascii="宋体" w:hAnsi="宋体" w:cs="宋体"/>
          <w:b/>
          <w:bCs/>
          <w:sz w:val="32"/>
          <w:szCs w:val="32"/>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p>
    <w:p>
      <w:pPr>
        <w:rPr>
          <w:rFonts w:ascii="宋体" w:hAnsi="宋体" w:cs="宋体"/>
          <w:szCs w:val="21"/>
        </w:rPr>
      </w:pPr>
      <w:r>
        <w:rPr>
          <w:rFonts w:hint="eastAsia" w:ascii="宋体" w:hAnsi="宋体" w:cs="宋体"/>
          <w:szCs w:val="21"/>
        </w:rPr>
        <w:object>
          <v:shape id="_x0000_i1035" o:spt="75" type="#_x0000_t75" style="height:625.5pt;width:447.75pt;" o:ole="t" filled="f" o:preferrelative="t" stroked="f" coordsize="21600,21600">
            <v:path/>
            <v:fill on="f" focussize="0,0"/>
            <v:stroke on="f" joinstyle="miter"/>
            <v:imagedata r:id="rId28" o:title=""/>
            <o:lock v:ext="edit" aspectratio="t"/>
            <w10:wrap type="none"/>
            <w10:anchorlock/>
          </v:shape>
          <o:OLEObject Type="Embed" ProgID="Excel.Sheet.8" ShapeID="_x0000_i1035" DrawAspect="Content" ObjectID="_1468075735" r:id="rId27">
            <o:LockedField>false</o:LockedField>
          </o:OLEObject>
        </w:object>
      </w:r>
    </w:p>
    <w:p>
      <w:pPr>
        <w:rPr>
          <w:rFonts w:ascii="宋体" w:hAnsi="宋体" w:cs="宋体"/>
          <w:szCs w:val="21"/>
        </w:rPr>
      </w:pPr>
    </w:p>
    <w:p>
      <w:pPr>
        <w:rPr>
          <w:rFonts w:ascii="宋体" w:hAnsi="宋体" w:cs="宋体"/>
          <w:szCs w:val="21"/>
        </w:rPr>
      </w:pPr>
      <w:r>
        <w:rPr>
          <w:rFonts w:hint="eastAsia" w:ascii="宋体" w:hAnsi="宋体" w:cs="宋体"/>
          <w:szCs w:val="21"/>
        </w:rPr>
        <w:object>
          <v:shape id="_x0000_i1036" o:spt="75" type="#_x0000_t75" style="height:625.5pt;width:446.25pt;" o:ole="t" filled="f" o:preferrelative="t" stroked="f" coordsize="21600,21600">
            <v:path/>
            <v:fill on="f" focussize="0,0"/>
            <v:stroke on="f" joinstyle="miter"/>
            <v:imagedata r:id="rId30" o:title=""/>
            <o:lock v:ext="edit" aspectratio="t"/>
            <w10:wrap type="none"/>
            <w10:anchorlock/>
          </v:shape>
          <o:OLEObject Type="Embed" ProgID="Excel.Sheet.8" ShapeID="_x0000_i1036" DrawAspect="Content" ObjectID="_1468075736" r:id="rId29">
            <o:LockedField>false</o:LockedField>
          </o:OLEObject>
        </w:object>
      </w:r>
    </w:p>
    <w:p>
      <w:pPr>
        <w:spacing w:line="560" w:lineRule="exact"/>
        <w:jc w:val="left"/>
        <w:rPr>
          <w:rFonts w:ascii="方正小标宋简体" w:hAnsi="方正小标宋简体" w:eastAsia="方正小标宋简体" w:cs="方正小标宋简体"/>
          <w:color w:val="000000"/>
          <w:kern w:val="0"/>
          <w:sz w:val="44"/>
          <w:szCs w:val="44"/>
        </w:rPr>
      </w:pPr>
    </w:p>
    <w:p>
      <w:pPr>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第三部分 2021年度部门决算情况说明</w:t>
      </w:r>
    </w:p>
    <w:p>
      <w:pPr>
        <w:widowControl/>
        <w:spacing w:line="560" w:lineRule="exact"/>
        <w:rPr>
          <w:rFonts w:ascii="黑体" w:hAnsi="宋体" w:eastAsia="黑体"/>
          <w:color w:val="000000"/>
          <w:kern w:val="0"/>
          <w:sz w:val="44"/>
          <w:szCs w:val="44"/>
        </w:rPr>
      </w:pP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一、收入支出决算总体情况说明</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1、2021年收入总额306.77万元，较上年增加19.87万元，增幅7%。增长原因主要是干部职工年度正常增资。</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2、2021年支出总额321.10万元，较上年增长29.08万元，增长10%，增长原因主要一是干部职工年度正常增资；二是新增两个项目支出（农作物病虫防控和中国药科大学考考察系列活动经费）。</w:t>
      </w:r>
    </w:p>
    <w:p>
      <w:pPr>
        <w:widowControl/>
        <w:spacing w:line="560" w:lineRule="exact"/>
        <w:ind w:firstLine="640" w:firstLineChars="200"/>
        <w:jc w:val="left"/>
        <w:rPr>
          <w:rFonts w:ascii="仿宋_GB2312" w:hAnsi="仿宋" w:eastAsia="仿宋_GB2312"/>
          <w:sz w:val="32"/>
          <w:szCs w:val="32"/>
        </w:rPr>
      </w:pPr>
      <w:r>
        <w:rPr>
          <w:rFonts w:ascii="仿宋_GB2312" w:hAnsi="仿宋" w:eastAsia="仿宋_GB2312"/>
          <w:sz w:val="32"/>
          <w:szCs w:val="32"/>
        </w:rPr>
        <w:drawing>
          <wp:anchor distT="0" distB="0" distL="114300" distR="114300" simplePos="0" relativeHeight="251658240" behindDoc="1" locked="0" layoutInCell="1" allowOverlap="1">
            <wp:simplePos x="0" y="0"/>
            <wp:positionH relativeFrom="column">
              <wp:posOffset>249555</wp:posOffset>
            </wp:positionH>
            <wp:positionV relativeFrom="paragraph">
              <wp:posOffset>101600</wp:posOffset>
            </wp:positionV>
            <wp:extent cx="4841240" cy="2562225"/>
            <wp:effectExtent l="4445" t="4445" r="12065" b="508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pPr>
        <w:widowControl/>
        <w:spacing w:line="560" w:lineRule="exact"/>
        <w:ind w:firstLine="640" w:firstLineChars="200"/>
        <w:jc w:val="left"/>
        <w:rPr>
          <w:rFonts w:ascii="仿宋_GB2312" w:hAnsi="仿宋" w:eastAsia="仿宋_GB2312"/>
          <w:sz w:val="32"/>
          <w:szCs w:val="32"/>
        </w:rPr>
      </w:pPr>
    </w:p>
    <w:p>
      <w:pPr>
        <w:widowControl/>
        <w:spacing w:line="560" w:lineRule="exact"/>
        <w:ind w:firstLine="640" w:firstLineChars="200"/>
        <w:jc w:val="left"/>
        <w:rPr>
          <w:rFonts w:ascii="仿宋_GB2312" w:hAnsi="仿宋" w:eastAsia="仿宋_GB2312"/>
          <w:sz w:val="32"/>
          <w:szCs w:val="32"/>
        </w:rPr>
      </w:pPr>
    </w:p>
    <w:p>
      <w:pPr>
        <w:widowControl/>
        <w:spacing w:line="560" w:lineRule="exact"/>
        <w:ind w:firstLine="640" w:firstLineChars="200"/>
        <w:jc w:val="left"/>
        <w:rPr>
          <w:rFonts w:ascii="仿宋_GB2312" w:hAnsi="仿宋" w:eastAsia="仿宋_GB2312"/>
          <w:sz w:val="32"/>
          <w:szCs w:val="32"/>
        </w:rPr>
      </w:pPr>
    </w:p>
    <w:p>
      <w:pPr>
        <w:widowControl/>
        <w:spacing w:line="560" w:lineRule="exact"/>
        <w:ind w:firstLine="640" w:firstLineChars="200"/>
        <w:jc w:val="left"/>
        <w:rPr>
          <w:rFonts w:ascii="仿宋_GB2312" w:hAnsi="仿宋" w:eastAsia="仿宋_GB2312"/>
          <w:sz w:val="32"/>
          <w:szCs w:val="32"/>
        </w:rPr>
      </w:pPr>
    </w:p>
    <w:p>
      <w:pPr>
        <w:widowControl/>
        <w:spacing w:line="560" w:lineRule="exact"/>
        <w:ind w:firstLine="640" w:firstLineChars="200"/>
        <w:jc w:val="left"/>
        <w:rPr>
          <w:rFonts w:ascii="仿宋_GB2312" w:hAnsi="仿宋" w:eastAsia="仿宋_GB2312"/>
          <w:sz w:val="32"/>
          <w:szCs w:val="32"/>
        </w:rPr>
      </w:pPr>
    </w:p>
    <w:p>
      <w:pPr>
        <w:widowControl/>
        <w:spacing w:line="560" w:lineRule="exact"/>
        <w:ind w:firstLine="640" w:firstLineChars="200"/>
        <w:jc w:val="left"/>
        <w:rPr>
          <w:rFonts w:ascii="仿宋_GB2312" w:hAnsi="仿宋" w:eastAsia="仿宋_GB2312"/>
          <w:sz w:val="32"/>
          <w:szCs w:val="32"/>
        </w:rPr>
      </w:pPr>
    </w:p>
    <w:p>
      <w:pPr>
        <w:widowControl/>
        <w:spacing w:line="560" w:lineRule="exact"/>
        <w:jc w:val="left"/>
        <w:rPr>
          <w:rFonts w:ascii="仿宋_GB2312" w:hAnsi="仿宋" w:eastAsia="仿宋_GB2312"/>
          <w:sz w:val="32"/>
          <w:szCs w:val="32"/>
        </w:rPr>
      </w:pPr>
    </w:p>
    <w:p>
      <w:pPr>
        <w:widowControl/>
        <w:spacing w:line="560" w:lineRule="exact"/>
        <w:ind w:firstLine="640" w:firstLineChars="200"/>
        <w:jc w:val="left"/>
        <w:rPr>
          <w:rFonts w:ascii="黑体" w:hAnsi="黑体" w:eastAsia="黑体"/>
          <w:color w:val="000000"/>
          <w:kern w:val="0"/>
          <w:sz w:val="32"/>
          <w:szCs w:val="32"/>
        </w:rPr>
      </w:pP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spacing w:line="560" w:lineRule="exact"/>
        <w:ind w:firstLine="640" w:firstLineChars="200"/>
        <w:jc w:val="left"/>
        <w:rPr>
          <w:rFonts w:ascii="仿宋_GB2312" w:hAnsi="宋体" w:eastAsia="仿宋_GB2312" w:cs="仿宋_GB2312"/>
          <w:i/>
          <w:iCs/>
          <w:color w:val="000000"/>
          <w:kern w:val="0"/>
          <w:sz w:val="32"/>
          <w:szCs w:val="32"/>
        </w:rPr>
      </w:pPr>
      <w:r>
        <w:rPr>
          <w:rFonts w:hint="eastAsia" w:ascii="仿宋_GB2312" w:hAnsi="宋体" w:eastAsia="仿宋_GB2312" w:cs="仿宋_GB2312"/>
          <w:color w:val="000000"/>
          <w:kern w:val="0"/>
          <w:sz w:val="32"/>
          <w:szCs w:val="32"/>
        </w:rPr>
        <w:t>2021年</w:t>
      </w:r>
      <w:r>
        <w:rPr>
          <w:rFonts w:ascii="仿宋_GB2312" w:hAnsi="宋体" w:eastAsia="仿宋_GB2312" w:cs="仿宋_GB2312"/>
          <w:color w:val="000000"/>
          <w:kern w:val="0"/>
          <w:sz w:val="32"/>
          <w:szCs w:val="32"/>
        </w:rPr>
        <w:t>收入合计</w:t>
      </w:r>
      <w:r>
        <w:rPr>
          <w:rFonts w:hint="eastAsia" w:ascii="仿宋_GB2312" w:hAnsi="宋体" w:eastAsia="仿宋_GB2312" w:cs="仿宋_GB2312"/>
          <w:color w:val="000000"/>
          <w:kern w:val="0"/>
          <w:sz w:val="32"/>
          <w:szCs w:val="32"/>
        </w:rPr>
        <w:t>306.77</w:t>
      </w:r>
      <w:r>
        <w:rPr>
          <w:rFonts w:ascii="仿宋_GB2312" w:hAnsi="宋体" w:eastAsia="仿宋_GB2312" w:cs="仿宋_GB2312"/>
          <w:color w:val="000000"/>
          <w:kern w:val="0"/>
          <w:sz w:val="32"/>
          <w:szCs w:val="32"/>
        </w:rPr>
        <w:t>万元，其中：</w:t>
      </w:r>
      <w:r>
        <w:rPr>
          <w:rFonts w:hint="eastAsia" w:ascii="仿宋_GB2312" w:hAnsi="宋体" w:eastAsia="仿宋_GB2312" w:cs="仿宋_GB2312"/>
          <w:color w:val="000000"/>
          <w:kern w:val="0"/>
          <w:sz w:val="32"/>
          <w:szCs w:val="32"/>
        </w:rPr>
        <w:t>一般公共预算</w:t>
      </w:r>
      <w:r>
        <w:rPr>
          <w:rFonts w:ascii="仿宋_GB2312" w:hAnsi="宋体" w:eastAsia="仿宋_GB2312" w:cs="仿宋_GB2312"/>
          <w:color w:val="000000"/>
          <w:kern w:val="0"/>
          <w:sz w:val="32"/>
          <w:szCs w:val="32"/>
        </w:rPr>
        <w:t>财政拨款收入</w:t>
      </w:r>
      <w:r>
        <w:rPr>
          <w:rFonts w:hint="eastAsia" w:ascii="仿宋_GB2312" w:hAnsi="宋体" w:eastAsia="仿宋_GB2312" w:cs="仿宋_GB2312"/>
          <w:color w:val="000000"/>
          <w:kern w:val="0"/>
          <w:sz w:val="32"/>
          <w:szCs w:val="32"/>
        </w:rPr>
        <w:t>304.97</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99</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rPr>
        <w:t>1.80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0.5</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spacing w:line="560" w:lineRule="exact"/>
        <w:ind w:firstLine="640" w:firstLineChars="200"/>
        <w:jc w:val="left"/>
        <w:rPr>
          <w:rFonts w:ascii="仿宋_GB2312" w:hAnsi="宋体" w:eastAsia="仿宋_GB2312" w:cs="仿宋_GB2312"/>
          <w:i/>
          <w:iCs/>
          <w:color w:val="000000"/>
          <w:kern w:val="0"/>
          <w:sz w:val="32"/>
          <w:szCs w:val="32"/>
        </w:rPr>
      </w:pPr>
    </w:p>
    <w:p>
      <w:pPr>
        <w:widowControl/>
        <w:spacing w:line="560" w:lineRule="exact"/>
        <w:ind w:firstLine="640" w:firstLineChars="200"/>
        <w:jc w:val="left"/>
        <w:rPr>
          <w:rFonts w:ascii="仿宋_GB2312" w:hAnsi="宋体" w:eastAsia="仿宋_GB2312" w:cs="仿宋_GB2312"/>
          <w:i/>
          <w:iCs/>
          <w:color w:val="000000"/>
          <w:kern w:val="0"/>
          <w:sz w:val="32"/>
          <w:szCs w:val="32"/>
        </w:rPr>
      </w:pPr>
      <w:r>
        <w:rPr>
          <w:rFonts w:hint="eastAsia" w:ascii="仿宋_GB2312" w:hAnsi="宋体" w:eastAsia="仿宋_GB2312" w:cs="仿宋_GB2312"/>
          <w:i/>
          <w:iCs/>
          <w:color w:val="000000"/>
          <w:kern w:val="0"/>
          <w:sz w:val="32"/>
          <w:szCs w:val="32"/>
        </w:rPr>
        <w:drawing>
          <wp:anchor distT="0" distB="0" distL="114300" distR="114300" simplePos="0" relativeHeight="251659264" behindDoc="1" locked="0" layoutInCell="1" allowOverlap="1">
            <wp:simplePos x="0" y="0"/>
            <wp:positionH relativeFrom="column">
              <wp:posOffset>210820</wp:posOffset>
            </wp:positionH>
            <wp:positionV relativeFrom="paragraph">
              <wp:posOffset>187960</wp:posOffset>
            </wp:positionV>
            <wp:extent cx="4889500" cy="3237865"/>
            <wp:effectExtent l="4445" t="4445" r="20955" b="15240"/>
            <wp:wrapTight wrapText="bothSides">
              <wp:wrapPolygon>
                <wp:start x="-20" y="-30"/>
                <wp:lineTo x="-20" y="21447"/>
                <wp:lineTo x="21524" y="21447"/>
                <wp:lineTo x="21524" y="-30"/>
                <wp:lineTo x="-20" y="-30"/>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pPr>
        <w:widowControl/>
        <w:spacing w:line="560" w:lineRule="exact"/>
        <w:ind w:firstLine="640" w:firstLineChars="200"/>
        <w:jc w:val="left"/>
        <w:rPr>
          <w:rFonts w:ascii="黑体" w:hAnsi="黑体" w:eastAsia="黑体"/>
        </w:rPr>
      </w:pPr>
      <w:r>
        <w:rPr>
          <w:rFonts w:hint="eastAsia" w:ascii="黑体" w:hAnsi="黑体" w:eastAsia="黑体"/>
          <w:color w:val="000000"/>
          <w:kern w:val="0"/>
          <w:sz w:val="32"/>
          <w:szCs w:val="32"/>
        </w:rPr>
        <w:t>三、支出决算情况说明</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2021年</w:t>
      </w:r>
      <w:r>
        <w:rPr>
          <w:rFonts w:ascii="仿宋_GB2312" w:hAnsi="宋体" w:eastAsia="仿宋_GB2312" w:cs="仿宋_GB2312"/>
          <w:color w:val="000000"/>
          <w:kern w:val="0"/>
          <w:sz w:val="32"/>
          <w:szCs w:val="32"/>
        </w:rPr>
        <w:t>支出合计</w:t>
      </w:r>
      <w:r>
        <w:rPr>
          <w:rFonts w:hint="eastAsia" w:ascii="仿宋_GB2312" w:hAnsi="宋体" w:eastAsia="仿宋_GB2312" w:cs="仿宋_GB2312"/>
          <w:color w:val="000000"/>
          <w:kern w:val="0"/>
          <w:sz w:val="32"/>
          <w:szCs w:val="32"/>
        </w:rPr>
        <w:t>321.10</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rPr>
        <w:t>290.13</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90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，主要是为保障机构正常运转，完成日常工作任务而发生的各项支出，包括人员经费和公用经费</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rPr>
        <w:t>30.97</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10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，主要是为完成特定的工作任务，在基本预算之外发生的支出。</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drawing>
          <wp:anchor distT="0" distB="0" distL="114300" distR="114300" simplePos="0" relativeHeight="251660288" behindDoc="1" locked="0" layoutInCell="1" allowOverlap="1">
            <wp:simplePos x="0" y="0"/>
            <wp:positionH relativeFrom="column">
              <wp:posOffset>382270</wp:posOffset>
            </wp:positionH>
            <wp:positionV relativeFrom="paragraph">
              <wp:posOffset>244475</wp:posOffset>
            </wp:positionV>
            <wp:extent cx="4746625" cy="2705100"/>
            <wp:effectExtent l="4445" t="4445" r="11430" b="14605"/>
            <wp:wrapThrough wrapText="bothSides">
              <wp:wrapPolygon>
                <wp:start x="-20" y="-35"/>
                <wp:lineTo x="-20" y="21565"/>
                <wp:lineTo x="21565" y="21565"/>
                <wp:lineTo x="21565" y="-35"/>
                <wp:lineTo x="-20" y="-35"/>
              </wp:wrapPolygon>
            </wp:wrapThrough>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四、财政拨款收入支出决算总体情况说明</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2021年一般公共预算拨款收入</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w:t>
      </w:r>
      <w:r>
        <w:rPr>
          <w:rFonts w:hint="eastAsia" w:ascii="仿宋_GB2312" w:hAnsi="宋体" w:eastAsia="仿宋_GB2312" w:cs="仿宋_GB2312"/>
          <w:color w:val="000000"/>
          <w:kern w:val="0"/>
          <w:sz w:val="32"/>
          <w:szCs w:val="32"/>
        </w:rPr>
        <w:t>304.97</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，较上年增长34.72万元，增长12.8%，增长的原因主要一是干部职工年度正常增资。</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2021年一般公共预算拨款支出319.3元，较上年增长43.93万元，增长16%，增长的主要原因一是干部职工年度正常增资；二是新增为完成单位特定工作任务的专项支出。</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drawing>
          <wp:anchor distT="0" distB="0" distL="114300" distR="114300" simplePos="0" relativeHeight="251661312" behindDoc="1" locked="0" layoutInCell="1" allowOverlap="1">
            <wp:simplePos x="0" y="0"/>
            <wp:positionH relativeFrom="column">
              <wp:posOffset>410845</wp:posOffset>
            </wp:positionH>
            <wp:positionV relativeFrom="paragraph">
              <wp:posOffset>349250</wp:posOffset>
            </wp:positionV>
            <wp:extent cx="4803775" cy="2590800"/>
            <wp:effectExtent l="4445" t="5080" r="11430" b="13970"/>
            <wp:wrapThrough wrapText="bothSides">
              <wp:wrapPolygon>
                <wp:start x="-20" y="-42"/>
                <wp:lineTo x="-20" y="21558"/>
                <wp:lineTo x="21566" y="21558"/>
                <wp:lineTo x="21566" y="-42"/>
                <wp:lineTo x="-20" y="-42"/>
              </wp:wrapPolygon>
            </wp:wrapThrough>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（一）财政拨款支出决算总体情况说明。</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2021年财政拨款支出319.3万元，占本年支出合计的100%。与上年相比，财政拨款支出增加43.93万元，增长16%，增长的主要原因一是干部职工年度正常增资；二是新增为完成单位特定工作任务的专项支出。</w:t>
      </w:r>
    </w:p>
    <w:p>
      <w:pPr>
        <w:widowControl/>
        <w:spacing w:line="560" w:lineRule="exact"/>
        <w:ind w:left="420" w:left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（二）财政拨款支出决算具体情况说明。</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2021年财政拨款支出年初预算为266.14万元，支出决算数为319.3万元，完成年初预算的1.2%。按照功能分类科目，其中：</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农林水支出---事业运行288.33万元，科技转化与推广服务24万元，防灾救灾6.97万元。</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年初预算为266.14万元，调整预算数为292.10万元，支出决算数为319.3万元，完成全年预算数的91.48%。调增年初预算数的主要原因是人员增加及调资增加；二是承担业务活动增加。</w:t>
      </w:r>
    </w:p>
    <w:p>
      <w:pPr>
        <w:widowControl/>
        <w:jc w:val="left"/>
        <w:rPr>
          <w:rFonts w:ascii="仿宋" w:hAnsi="仿宋" w:eastAsia="仿宋" w:cs="仿宋"/>
          <w:i/>
          <w:color w:val="000000"/>
          <w:kern w:val="0"/>
          <w:sz w:val="32"/>
          <w:szCs w:val="32"/>
        </w:rPr>
      </w:pPr>
    </w:p>
    <w:p>
      <w:pPr>
        <w:widowControl/>
        <w:jc w:val="left"/>
        <w:rPr>
          <w:rFonts w:ascii="仿宋" w:hAnsi="仿宋" w:eastAsia="仿宋" w:cs="仿宋"/>
          <w:i/>
          <w:color w:val="000000"/>
          <w:kern w:val="0"/>
          <w:sz w:val="32"/>
          <w:szCs w:val="32"/>
        </w:rPr>
      </w:pPr>
      <w:r>
        <w:rPr>
          <w:rFonts w:ascii="仿宋_GB2312" w:hAnsi="宋体" w:eastAsia="仿宋_GB2312" w:cs="仿宋_GB2312"/>
          <w:color w:val="000000"/>
          <w:kern w:val="0"/>
          <w:sz w:val="32"/>
          <w:szCs w:val="32"/>
        </w:rPr>
        <w:drawing>
          <wp:inline distT="0" distB="0" distL="114300" distR="114300">
            <wp:extent cx="5186045" cy="2762885"/>
            <wp:effectExtent l="4445" t="4445" r="10160" b="1397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spacing w:line="560" w:lineRule="exact"/>
        <w:ind w:firstLine="640" w:firstLineChars="200"/>
        <w:rPr>
          <w:rFonts w:ascii="仿宋_GB2312" w:hAnsi="仿宋" w:eastAsia="仿宋_GB2312"/>
          <w:sz w:val="32"/>
          <w:szCs w:val="32"/>
        </w:rPr>
      </w:pPr>
      <w:r>
        <w:rPr>
          <w:rFonts w:hint="eastAsia" w:ascii="黑体" w:hAnsi="黑体" w:eastAsia="黑体"/>
          <w:color w:val="000000"/>
          <w:kern w:val="0"/>
          <w:sz w:val="32"/>
          <w:szCs w:val="32"/>
        </w:rPr>
        <w:t>六、一般公共预算财政拨款基本支出决算情况说明</w:t>
      </w:r>
    </w:p>
    <w:p>
      <w:pPr>
        <w:widowControl/>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2021年一般公共预算财政拨款基本支出28.83万元，包括：人员经费支出258.72万元，、公用经费支出29.61万元。</w:t>
      </w:r>
    </w:p>
    <w:p>
      <w:pPr>
        <w:widowControl/>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b/>
          <w:bCs/>
          <w:color w:val="000000"/>
          <w:kern w:val="0"/>
          <w:sz w:val="31"/>
          <w:szCs w:val="31"/>
        </w:rPr>
        <w:t>人员经费</w:t>
      </w:r>
      <w:r>
        <w:rPr>
          <w:rFonts w:hint="eastAsia" w:ascii="仿宋_GB2312" w:hAnsi="仿宋_GB2312" w:eastAsia="仿宋_GB2312" w:cs="仿宋_GB2312"/>
          <w:color w:val="000000"/>
          <w:kern w:val="0"/>
          <w:sz w:val="31"/>
          <w:szCs w:val="31"/>
        </w:rPr>
        <w:t>258.72万元，主要包括：基本工资79.55万元、津贴补贴11.55万元、奖金7.86万元、绩效工资59.67万元、机关事业养老保险缴费30.27万元、职工基本医疗保险缴费13.96万元、其他社会保障缴费13.90万元、住房公积金30.16万元。</w:t>
      </w:r>
    </w:p>
    <w:p>
      <w:pPr>
        <w:widowControl/>
        <w:ind w:firstLine="622"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b/>
          <w:bCs/>
          <w:color w:val="000000"/>
          <w:kern w:val="0"/>
          <w:sz w:val="31"/>
          <w:szCs w:val="31"/>
        </w:rPr>
        <w:t>公用经费</w:t>
      </w:r>
      <w:r>
        <w:rPr>
          <w:rFonts w:hint="eastAsia" w:ascii="仿宋_GB2312" w:hAnsi="仿宋_GB2312" w:eastAsia="仿宋_GB2312" w:cs="仿宋_GB2312"/>
          <w:color w:val="000000"/>
          <w:kern w:val="0"/>
          <w:sz w:val="31"/>
          <w:szCs w:val="31"/>
        </w:rPr>
        <w:t>29.61万元，主要包括：办公费0.87万元、印刷费0.01万元、水费0.05万元、电费0.86万元、邮电费6.20万元、差旅费4.68万元、租赁费0.35万元、公务接待费0.46万元、劳务费6.38万元、工会经费5.82万元、公务车运行维护费3.94万元、</w:t>
      </w:r>
    </w:p>
    <w:p>
      <w:pPr>
        <w:widowControl/>
        <w:ind w:firstLine="622"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b/>
          <w:bCs/>
          <w:color w:val="000000"/>
          <w:kern w:val="0"/>
          <w:sz w:val="31"/>
          <w:szCs w:val="31"/>
        </w:rPr>
        <w:t>对个人和家庭的补助</w:t>
      </w:r>
      <w:r>
        <w:rPr>
          <w:rFonts w:hint="eastAsia" w:ascii="仿宋_GB2312" w:hAnsi="仿宋_GB2312" w:eastAsia="仿宋_GB2312" w:cs="仿宋_GB2312"/>
          <w:color w:val="000000"/>
          <w:kern w:val="0"/>
          <w:sz w:val="31"/>
          <w:szCs w:val="31"/>
        </w:rPr>
        <w:t>2.63万元，主要是遗属的生活补助2.63万元。</w:t>
      </w:r>
    </w:p>
    <w:p>
      <w:pPr>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七、一般公共预算财政拨款“三公”经费及会议费、培训费支出决算情况说明</w:t>
      </w:r>
    </w:p>
    <w:p>
      <w:pPr>
        <w:widowControl/>
        <w:spacing w:line="560" w:lineRule="exact"/>
        <w:ind w:firstLine="640" w:firstLineChars="200"/>
        <w:jc w:val="left"/>
      </w:pPr>
      <w:r>
        <w:rPr>
          <w:rFonts w:hint="eastAsia" w:ascii="楷体" w:hAnsi="楷体" w:eastAsia="楷体" w:cs="楷体"/>
          <w:bCs/>
          <w:color w:val="000000"/>
          <w:kern w:val="0"/>
          <w:sz w:val="32"/>
          <w:szCs w:val="32"/>
        </w:rPr>
        <w:t>（一）“三公”经费财政拨款支出决算情况说明。</w:t>
      </w:r>
    </w:p>
    <w:p>
      <w:pPr>
        <w:spacing w:line="560" w:lineRule="exact"/>
        <w:rPr>
          <w:rFonts w:ascii="楷体" w:hAnsi="楷体" w:eastAsia="楷体" w:cs="楷体"/>
          <w:sz w:val="32"/>
          <w:szCs w:val="32"/>
        </w:rPr>
      </w:pPr>
      <w:r>
        <w:rPr>
          <w:rFonts w:hint="eastAsia" w:ascii="仿宋_GB2312" w:hAnsi="宋体" w:eastAsia="仿宋_GB2312" w:cs="仿宋_GB2312"/>
          <w:color w:val="000000"/>
          <w:kern w:val="0"/>
          <w:sz w:val="32"/>
          <w:szCs w:val="32"/>
        </w:rPr>
        <w:t>2021年度“三公”经费财政拨款支出预算为5.8万元，支出决算为4.4万元，完成预算的75.86%。</w:t>
      </w:r>
    </w:p>
    <w:p>
      <w:pPr>
        <w:spacing w:line="560" w:lineRule="exact"/>
        <w:ind w:left="420" w:leftChars="200"/>
        <w:rPr>
          <w:rFonts w:ascii="楷体" w:hAnsi="楷体" w:eastAsia="楷体" w:cs="楷体"/>
          <w:sz w:val="32"/>
          <w:szCs w:val="32"/>
        </w:rPr>
      </w:pPr>
      <w:r>
        <w:rPr>
          <w:rFonts w:hint="eastAsia" w:ascii="楷体" w:hAnsi="楷体" w:eastAsia="楷体" w:cs="楷体"/>
          <w:sz w:val="32"/>
          <w:szCs w:val="32"/>
        </w:rPr>
        <w:t>（二）“三公”经费财政拨款支出决算具体情况说明。</w:t>
      </w:r>
    </w:p>
    <w:p>
      <w:pPr>
        <w:spacing w:line="560" w:lineRule="exact"/>
        <w:rPr>
          <w:rFonts w:ascii="楷体" w:hAnsi="楷体" w:eastAsia="楷体" w:cs="楷体"/>
          <w:sz w:val="32"/>
          <w:szCs w:val="32"/>
        </w:rPr>
      </w:pPr>
      <w:r>
        <w:rPr>
          <w:rFonts w:hint="eastAsia" w:ascii="楷体" w:hAnsi="楷体" w:eastAsia="楷体" w:cs="楷体"/>
          <w:sz w:val="32"/>
          <w:szCs w:val="32"/>
        </w:rPr>
        <w:t xml:space="preserve">     2</w:t>
      </w:r>
      <w:r>
        <w:rPr>
          <w:rFonts w:hint="eastAsia" w:ascii="仿宋_GB2312" w:hAnsi="仿宋_GB2312" w:eastAsia="仿宋_GB2312" w:cs="仿宋_GB2312"/>
          <w:sz w:val="32"/>
          <w:szCs w:val="32"/>
        </w:rPr>
        <w:t>021年“三公”经费财政拨款支出决算中，因公出国（境）费支出决算0万元，占0%；公务用车购置费支出0万元，占0%；公务用车运行维护费支出决算3.94万元，占89.55%；公务接待费支出决算0.46万元，占10.45%。具体情况如下</w:t>
      </w:r>
    </w:p>
    <w:p>
      <w:pPr>
        <w:spacing w:line="560" w:lineRule="exact"/>
        <w:rPr>
          <w:rFonts w:ascii="楷体" w:hAnsi="楷体" w:eastAsia="楷体" w:cs="楷体"/>
          <w:sz w:val="32"/>
          <w:szCs w:val="32"/>
        </w:rPr>
      </w:pPr>
      <w:r>
        <w:rPr>
          <w:rFonts w:hint="eastAsia" w:ascii="楷体" w:hAnsi="楷体" w:eastAsia="楷体" w:cs="楷体"/>
          <w:sz w:val="32"/>
          <w:szCs w:val="32"/>
        </w:rPr>
        <w:t xml:space="preserve">    1.因公出国（境）支出情况</w:t>
      </w:r>
      <w:r>
        <w:rPr>
          <w:rFonts w:hint="eastAsia" w:ascii="楷体" w:hAnsi="楷体" w:eastAsia="楷体" w:cs="楷体"/>
          <w:color w:val="000000"/>
          <w:kern w:val="0"/>
          <w:sz w:val="32"/>
          <w:szCs w:val="32"/>
        </w:rPr>
        <w:t>说明</w:t>
      </w:r>
      <w:r>
        <w:rPr>
          <w:rFonts w:hint="eastAsia" w:ascii="楷体" w:hAnsi="楷体" w:eastAsia="楷体" w:cs="楷体"/>
          <w:sz w:val="32"/>
          <w:szCs w:val="32"/>
        </w:rPr>
        <w:t>。</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2021年因公出国（镜）团组0个，0人次，预算为0万元，支出决算支出为0万元，完成预算的0%；决算数较预算数减少（增加）0万元，主要原因是本单位历年没有安排因公出国（镜）的预算，年度也无实际支出。</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2.公务用车购置费用支出情况</w:t>
      </w:r>
      <w:r>
        <w:rPr>
          <w:rFonts w:hint="eastAsia" w:ascii="楷体" w:hAnsi="楷体" w:eastAsia="楷体" w:cs="楷体"/>
          <w:color w:val="000000"/>
          <w:kern w:val="0"/>
          <w:sz w:val="32"/>
          <w:szCs w:val="32"/>
        </w:rPr>
        <w:t>说明</w:t>
      </w:r>
      <w:r>
        <w:rPr>
          <w:rFonts w:hint="eastAsia" w:ascii="楷体" w:hAnsi="楷体" w:eastAsia="楷体" w:cs="楷体"/>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2021年购置车辆0台，预算为0万元，支出决算为0万元。</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3.公务用车运行维护费用支出情况</w:t>
      </w:r>
      <w:r>
        <w:rPr>
          <w:rFonts w:hint="eastAsia" w:ascii="楷体" w:hAnsi="楷体" w:eastAsia="楷体" w:cs="楷体"/>
          <w:color w:val="000000"/>
          <w:kern w:val="0"/>
          <w:sz w:val="32"/>
          <w:szCs w:val="32"/>
        </w:rPr>
        <w:t>说明</w:t>
      </w:r>
      <w:r>
        <w:rPr>
          <w:rFonts w:hint="eastAsia" w:ascii="楷体" w:hAnsi="楷体" w:eastAsia="楷体" w:cs="楷体"/>
          <w:sz w:val="32"/>
          <w:szCs w:val="32"/>
        </w:rPr>
        <w:t>。</w:t>
      </w:r>
    </w:p>
    <w:p>
      <w:pPr>
        <w:widowControl/>
        <w:adjustRightInd w:val="0"/>
        <w:snapToGrid w:val="0"/>
        <w:spacing w:line="560" w:lineRule="exact"/>
        <w:ind w:firstLine="640" w:firstLineChars="200"/>
        <w:jc w:val="left"/>
        <w:rPr>
          <w:rFonts w:ascii="楷体" w:hAnsi="楷体" w:eastAsia="楷体" w:cs="楷体"/>
          <w:sz w:val="32"/>
          <w:szCs w:val="32"/>
        </w:rPr>
      </w:pPr>
      <w:r>
        <w:rPr>
          <w:rFonts w:hint="eastAsia" w:ascii="仿宋_GB2312" w:hAnsi="仿宋" w:eastAsia="仿宋_GB2312"/>
          <w:sz w:val="32"/>
          <w:szCs w:val="32"/>
        </w:rPr>
        <w:t>2021年度一般公共预算安排公务车运行维护预算5.8万元，支出决算4.4万元，完成预算的75.86%，决算书较预算数减少1.4万元，减少的原因</w:t>
      </w:r>
      <w:r>
        <w:rPr>
          <w:rFonts w:hAnsi="黑体" w:eastAsia="黑体"/>
          <w:sz w:val="32"/>
          <w:szCs w:val="32"/>
        </w:rPr>
        <w:t>一是</w:t>
      </w:r>
      <w:r>
        <w:rPr>
          <w:rFonts w:eastAsia="仿宋_GB2312"/>
          <w:sz w:val="32"/>
          <w:szCs w:val="32"/>
        </w:rPr>
        <w:t>公车用车运行费减少，主要是20</w:t>
      </w:r>
      <w:r>
        <w:rPr>
          <w:rFonts w:hint="eastAsia" w:eastAsia="仿宋_GB2312"/>
          <w:sz w:val="32"/>
          <w:szCs w:val="32"/>
        </w:rPr>
        <w:t>21</w:t>
      </w:r>
      <w:r>
        <w:rPr>
          <w:rFonts w:eastAsia="仿宋_GB2312"/>
          <w:sz w:val="32"/>
          <w:szCs w:val="32"/>
        </w:rPr>
        <w:t>年度车辆维修费用减少。</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4.公务接待费支出情况</w:t>
      </w:r>
      <w:r>
        <w:rPr>
          <w:rFonts w:hint="eastAsia" w:ascii="楷体" w:hAnsi="楷体" w:eastAsia="楷体" w:cs="楷体"/>
          <w:color w:val="000000"/>
          <w:kern w:val="0"/>
          <w:sz w:val="32"/>
          <w:szCs w:val="32"/>
        </w:rPr>
        <w:t>说明</w:t>
      </w:r>
      <w:r>
        <w:rPr>
          <w:rFonts w:hint="eastAsia" w:ascii="楷体" w:hAnsi="楷体" w:eastAsia="楷体" w:cs="楷体"/>
          <w:sz w:val="32"/>
          <w:szCs w:val="32"/>
        </w:rPr>
        <w:t>。</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2021年公务接待6批次，60人次，年初预算为0.8万元，支出决算为0.46万元，完成预算的57.5%，决算数较预算数减少0.34万元，主要原因是我单位规范公务接待费审批流程，严格控制公务接待费支出范围。</w:t>
      </w:r>
    </w:p>
    <w:p>
      <w:pPr>
        <w:spacing w:line="560" w:lineRule="exact"/>
        <w:ind w:firstLine="640" w:firstLineChars="200"/>
        <w:rPr>
          <w:rFonts w:ascii="楷体_GB2312" w:hAnsi="宋体" w:eastAsia="楷体_GB2312" w:cs="楷体_GB2312"/>
          <w:bCs/>
          <w:color w:val="000000"/>
          <w:kern w:val="0"/>
          <w:sz w:val="32"/>
          <w:szCs w:val="32"/>
        </w:rPr>
      </w:pPr>
      <w:r>
        <w:rPr>
          <w:rFonts w:hint="eastAsia" w:ascii="楷体_GB2312" w:hAnsi="宋体" w:eastAsia="楷体_GB2312" w:cs="楷体_GB2312"/>
          <w:bCs/>
          <w:color w:val="000000"/>
          <w:kern w:val="0"/>
          <w:sz w:val="32"/>
          <w:szCs w:val="32"/>
        </w:rPr>
        <w:t>（三）培训费支出情况说明。</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2021年度培训费预算为0元，支出决算为0元。</w:t>
      </w:r>
    </w:p>
    <w:p>
      <w:pPr>
        <w:spacing w:line="560" w:lineRule="exact"/>
        <w:ind w:firstLine="640" w:firstLineChars="200"/>
        <w:rPr>
          <w:rFonts w:ascii="楷体" w:hAnsi="楷体" w:eastAsia="楷体" w:cs="楷体"/>
          <w:bCs/>
          <w:color w:val="000000"/>
          <w:kern w:val="0"/>
          <w:sz w:val="32"/>
          <w:szCs w:val="32"/>
        </w:rPr>
      </w:pPr>
      <w:r>
        <w:rPr>
          <w:rFonts w:hint="eastAsia" w:ascii="楷体" w:hAnsi="楷体" w:eastAsia="楷体" w:cs="楷体"/>
          <w:bCs/>
          <w:color w:val="000000"/>
          <w:kern w:val="0"/>
          <w:sz w:val="32"/>
          <w:szCs w:val="32"/>
        </w:rPr>
        <w:t>（四）会议费支出情况说明。</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2021年度会议费预算为0元，支出决算数为0元。</w:t>
      </w:r>
    </w:p>
    <w:p>
      <w:pPr>
        <w:numPr>
          <w:ilvl w:val="0"/>
          <w:numId w:val="2"/>
        </w:numPr>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政府性基金预算财政拨款收入支出情况说明</w:t>
      </w:r>
    </w:p>
    <w:p>
      <w:pPr>
        <w:spacing w:line="560" w:lineRule="exact"/>
        <w:ind w:firstLine="640"/>
        <w:rPr>
          <w:rFonts w:ascii="楷体" w:hAnsi="楷体" w:eastAsia="楷体" w:cs="楷体"/>
          <w:color w:val="000000"/>
          <w:kern w:val="0"/>
          <w:sz w:val="32"/>
          <w:szCs w:val="32"/>
        </w:rPr>
      </w:pPr>
      <w:r>
        <w:rPr>
          <w:rFonts w:hint="eastAsia" w:ascii="仿宋" w:hAnsi="仿宋" w:eastAsia="仿宋" w:cs="仿宋"/>
          <w:color w:val="000000"/>
          <w:kern w:val="0"/>
          <w:sz w:val="32"/>
          <w:szCs w:val="32"/>
        </w:rPr>
        <w:t>本部门无政府性基金决算收支、并已公开空表。</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九、国有资本经营预算财政拨款支出决算情况说明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本部门无国有资本经营决算拨款收支，并已公开空表。</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十、事业运行经费支出情况说明</w:t>
      </w:r>
    </w:p>
    <w:p>
      <w:pPr>
        <w:widowControl/>
        <w:spacing w:line="560" w:lineRule="exact"/>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2021年</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县农业科技服务中心</w:t>
      </w:r>
      <w:r>
        <w:rPr>
          <w:rFonts w:hint="eastAsia" w:ascii="仿宋_GB2312" w:hAnsi="仿宋_GB2312" w:eastAsia="仿宋_GB2312" w:cs="仿宋_GB2312"/>
          <w:color w:val="000000"/>
          <w:kern w:val="0"/>
          <w:sz w:val="32"/>
          <w:szCs w:val="32"/>
        </w:rPr>
        <w:t>事业运行经费</w:t>
      </w:r>
      <w:r>
        <w:rPr>
          <w:rFonts w:hint="eastAsia" w:ascii="仿宋_GB2312" w:hAnsi="仿宋_GB2312" w:eastAsia="仿宋_GB2312" w:cs="仿宋_GB2312"/>
          <w:color w:val="000000"/>
          <w:kern w:val="0"/>
          <w:sz w:val="32"/>
          <w:szCs w:val="32"/>
          <w:lang w:val="en-US" w:eastAsia="zh-CN"/>
        </w:rPr>
        <w:t>支出29.61万元，比2020年减少11.91万元，减少29%，主要原因是减少了办公费、公务车运行费的支出。</w:t>
      </w:r>
    </w:p>
    <w:p>
      <w:pPr>
        <w:widowControl/>
        <w:spacing w:line="560" w:lineRule="exact"/>
        <w:ind w:firstLine="640" w:firstLineChars="200"/>
        <w:jc w:val="left"/>
        <w:rPr>
          <w:rFonts w:ascii="仿宋_GB2312" w:hAnsi="仿宋_GB2312" w:eastAsia="仿宋_GB2312" w:cs="仿宋_GB2312"/>
          <w:i/>
          <w:iCs/>
          <w:sz w:val="32"/>
          <w:szCs w:val="32"/>
        </w:rPr>
      </w:pPr>
      <w:r>
        <w:rPr>
          <w:rFonts w:hint="eastAsia" w:ascii="仿宋_GB2312" w:hAnsi="仿宋_GB2312" w:eastAsia="仿宋_GB2312" w:cs="仿宋_GB2312"/>
          <w:i/>
          <w:iCs/>
          <w:sz w:val="32"/>
          <w:szCs w:val="32"/>
        </w:rPr>
        <w:t>2</w:t>
      </w:r>
      <w:r>
        <w:rPr>
          <w:rFonts w:hint="eastAsia" w:ascii="仿宋_GB2312" w:hAnsi="仿宋_GB2312" w:eastAsia="仿宋_GB2312" w:cs="仿宋_GB2312"/>
          <w:sz w:val="32"/>
          <w:szCs w:val="32"/>
        </w:rPr>
        <w:t>021年度无政府采购支出预算。</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十二、国有资产占用及购置情况说明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2021年末，本部门所属单位共有车辆1辆。单价50万元以上的通用设备0台（套）；单价100万元以上的专用设备0台（套）。2021年当年购置车辆0辆；购置单价50万元以上的通用设备0台（套）；购置单价100万元以上的专用设备0台（套）。</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十三、预算绩效情况说明</w:t>
      </w:r>
    </w:p>
    <w:p>
      <w:pPr>
        <w:widowControl/>
        <w:spacing w:line="560" w:lineRule="exact"/>
        <w:ind w:left="1278" w:leftChars="304" w:hanging="640"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Cs/>
          <w:color w:val="000000"/>
          <w:kern w:val="0"/>
          <w:sz w:val="32"/>
          <w:szCs w:val="32"/>
        </w:rPr>
        <w:t>（一）</w:t>
      </w:r>
      <w:r>
        <w:rPr>
          <w:rFonts w:ascii="楷体_GB2312" w:hAnsi="宋体" w:eastAsia="楷体_GB2312" w:cs="楷体_GB2312"/>
          <w:bCs/>
          <w:color w:val="000000"/>
          <w:kern w:val="0"/>
          <w:sz w:val="32"/>
          <w:szCs w:val="32"/>
        </w:rPr>
        <w:t>预算绩效管理工作开展情况</w:t>
      </w:r>
      <w:r>
        <w:rPr>
          <w:rFonts w:hint="eastAsia" w:ascii="楷体_GB2312" w:hAnsi="宋体" w:eastAsia="楷体_GB2312" w:cs="楷体_GB2312"/>
          <w:bCs/>
          <w:color w:val="000000"/>
          <w:kern w:val="0"/>
          <w:sz w:val="32"/>
          <w:szCs w:val="32"/>
        </w:rPr>
        <w:t>说明</w:t>
      </w:r>
      <w:r>
        <w:rPr>
          <w:rFonts w:ascii="楷体_GB2312" w:hAnsi="宋体" w:eastAsia="楷体_GB2312" w:cs="楷体_GB2312"/>
          <w:bCs/>
          <w:color w:val="000000"/>
          <w:kern w:val="0"/>
          <w:sz w:val="32"/>
          <w:szCs w:val="32"/>
        </w:rPr>
        <w:t>。</w:t>
      </w:r>
    </w:p>
    <w:p>
      <w:pPr>
        <w:spacing w:line="560" w:lineRule="exact"/>
        <w:ind w:firstLine="640"/>
        <w:rPr>
          <w:rFonts w:ascii="仿宋" w:hAnsi="仿宋" w:eastAsia="仿宋" w:cs="仿宋"/>
          <w:sz w:val="32"/>
          <w:szCs w:val="32"/>
        </w:rPr>
      </w:pPr>
      <w:r>
        <w:rPr>
          <w:rFonts w:hint="eastAsia" w:ascii="仿宋_GB2312" w:hAnsi="仿宋_GB2312" w:eastAsia="仿宋_GB2312" w:cs="仿宋_GB2312"/>
          <w:sz w:val="32"/>
          <w:szCs w:val="32"/>
        </w:rPr>
        <w:t>本部门积极推进预算绩效管理改革工作，建立了绩效管制度体系，出台了镇坪县农业科技服务中心预算绩效管理办法；完善了绩效管理工作机制，制定了预算绩效管理工作机制和流程；明确了绩效管理职能，我单位成立了以主任任组长的绩效评价工作小组，对我单位2021年度部门预算整体支出绩效进行了全面综合评价。整体支出分基本支出和项目支出两部分，基本支出的评价重点是厉行节约保运转，降低事业运行成本；项目支出的评价重点是规范管理促发展，做到专款专用，提高资金使用效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根据预算绩效管理要求，本部门组织对2021年一般公共预算项目支出全面开展绩效自评，其中，省级预算项目1个，共涉及资金5万元，占一般公共预算项目支出总额的100%。本年度无政府性基金预算项目。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组织开展2021年度部门整体支出绩效自评工作，从评价情况来看，2021年度部门总体目标任务完成良好，具体情况如下：</w:t>
      </w:r>
    </w:p>
    <w:p>
      <w:pPr>
        <w:ind w:firstLine="640" w:firstLineChars="200"/>
        <w:rPr>
          <w:rFonts w:ascii="仿宋_GB2312" w:hAnsi="仿宋_GB2312" w:eastAsia="仿宋_GB2312" w:cs="仿宋_GB2312"/>
          <w:sz w:val="28"/>
          <w:szCs w:val="28"/>
        </w:rPr>
      </w:pPr>
      <w:r>
        <w:rPr>
          <w:rFonts w:hint="eastAsia" w:ascii="仿宋_GB2312" w:hAnsi="仿宋_GB2312" w:eastAsia="仿宋_GB2312" w:cs="仿宋_GB2312"/>
          <w:sz w:val="32"/>
          <w:szCs w:val="32"/>
        </w:rPr>
        <w:t>圆满完成2022年植保植检工作。（1）病虫害测报工作。对全县油菜菌核病、蚜虫等主要病虫进行了调查。对全县马铃薯晚疫病、28星瓢虫、水稻稻水象甲、稻瘟病和玉米螟等病虫害进行普查，草地贪夜蛾进行监测和调查。一是安装通用桶型诱集器50套，虫情监测灯两台，高空测报灯两台；二是做好田间普查，从玉米出苗开始，就密切关注草地贪夜蛾发生动态，加大田间调查力度和频度。中心抽调4名主要技术力量，派专车巡回各镇村组进行普查，同时哪里有群众反映虫情，技术人员就及时到哪里，帮助群众确认和指导防治。技术人员累计下乡达到217人次，踏查面积3.36</w:t>
      </w:r>
      <w:r>
        <w:rPr>
          <w:rFonts w:hint="eastAsia" w:ascii="仿宋_GB2312" w:hAnsi="仿宋_GB2312" w:eastAsia="仿宋_GB2312" w:cs="仿宋_GB2312"/>
          <w:color w:val="000000"/>
          <w:sz w:val="32"/>
          <w:szCs w:val="32"/>
        </w:rPr>
        <w:t>万亩，占种植面积63.4%。（2）</w:t>
      </w:r>
      <w:r>
        <w:rPr>
          <w:rFonts w:hint="eastAsia" w:ascii="仿宋_GB2312" w:hAnsi="仿宋_GB2312" w:eastAsia="仿宋_GB2312" w:cs="仿宋_GB2312"/>
          <w:sz w:val="32"/>
          <w:szCs w:val="32"/>
        </w:rPr>
        <w:t>绿色防控情况。</w:t>
      </w:r>
      <w:r>
        <w:rPr>
          <w:rFonts w:hint="eastAsia" w:ascii="仿宋_GB2312" w:hAnsi="仿宋_GB2312" w:eastAsia="仿宋_GB2312" w:cs="仿宋_GB2312"/>
          <w:color w:val="000000"/>
          <w:sz w:val="32"/>
          <w:szCs w:val="32"/>
        </w:rPr>
        <w:t>一是确保物资供应：今年我们立足防早防小的原则及早组织采购</w:t>
      </w:r>
      <w:r>
        <w:rPr>
          <w:rFonts w:hint="eastAsia" w:ascii="仿宋_GB2312" w:hAnsi="仿宋_GB2312" w:eastAsia="仿宋_GB2312" w:cs="仿宋_GB2312"/>
          <w:sz w:val="32"/>
          <w:szCs w:val="32"/>
        </w:rPr>
        <w:t>高效氯氟氰菊酯、甲维高氯氟、吡虫啉等</w:t>
      </w:r>
      <w:r>
        <w:rPr>
          <w:rFonts w:hint="eastAsia" w:ascii="仿宋_GB2312" w:hAnsi="仿宋_GB2312" w:eastAsia="仿宋_GB2312" w:cs="仿宋_GB2312"/>
          <w:color w:val="000000"/>
          <w:sz w:val="32"/>
          <w:szCs w:val="32"/>
        </w:rPr>
        <w:t>防治药品0.5 吨，新购电动喷雾器40台，累计备防治器械80余台（去年淘汰一部分），其中无人机一 台（2019年购置）；二是组织防控专业队一个，专业防控队员14人。三是开展统防统治培训演练：在今年7月8日草地贪夜蛾发生后，及时组织防控专业队，在钟宝镇东风村开展应急防控演练，同时组织发生区域的群众进行现场培训防控技术，及该害虫的识别全县粮油作物病虫草，发生总面积19.28万亩次，防治面积11.77万亩次，挽回损失1304.66吨，实际损失1000.65吨。</w:t>
      </w:r>
    </w:p>
    <w:p>
      <w:pPr>
        <w:widowControl/>
        <w:spacing w:line="560" w:lineRule="exact"/>
        <w:ind w:firstLine="640" w:firstLineChars="200"/>
        <w:jc w:val="left"/>
        <w:rPr>
          <w:rFonts w:ascii="楷体_GB2312" w:hAnsi="宋体" w:eastAsia="楷体_GB2312" w:cs="楷体_GB2312"/>
          <w:bCs/>
          <w:color w:val="000000"/>
          <w:kern w:val="0"/>
          <w:sz w:val="32"/>
          <w:szCs w:val="32"/>
        </w:rPr>
      </w:pPr>
      <w:r>
        <w:rPr>
          <w:rFonts w:hint="eastAsia" w:ascii="楷体_GB2312" w:hAnsi="宋体" w:eastAsia="楷体_GB2312" w:cs="楷体_GB2312"/>
          <w:bCs/>
          <w:color w:val="000000"/>
          <w:kern w:val="0"/>
          <w:sz w:val="32"/>
          <w:szCs w:val="32"/>
        </w:rPr>
        <w:t>（二）</w:t>
      </w:r>
      <w:r>
        <w:rPr>
          <w:rFonts w:ascii="楷体_GB2312" w:hAnsi="宋体" w:eastAsia="楷体_GB2312" w:cs="楷体_GB2312"/>
          <w:bCs/>
          <w:color w:val="000000"/>
          <w:kern w:val="0"/>
          <w:sz w:val="32"/>
          <w:szCs w:val="32"/>
        </w:rPr>
        <w:t>部门决算中项目绩效自评结果。</w:t>
      </w:r>
    </w:p>
    <w:p>
      <w:pPr>
        <w:adjustRightInd w:val="0"/>
        <w:snapToGrid w:val="0"/>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本部门在部门决算中反映“农业灾害防控救助”等1个一级项目绩效自评结果。</w:t>
      </w:r>
    </w:p>
    <w:p>
      <w:pPr>
        <w:adjustRightInd w:val="0"/>
        <w:snapToGrid w:val="0"/>
        <w:spacing w:line="560" w:lineRule="exact"/>
        <w:ind w:firstLine="640" w:firstLineChars="200"/>
        <w:rPr>
          <w:rFonts w:ascii="楷体" w:hAnsi="楷体" w:eastAsia="楷体" w:cs="楷体"/>
          <w:color w:val="auto"/>
          <w:sz w:val="32"/>
          <w:szCs w:val="32"/>
        </w:rPr>
      </w:pPr>
      <w:r>
        <w:rPr>
          <w:rFonts w:hint="eastAsia" w:ascii="楷体" w:hAnsi="楷体" w:eastAsia="楷体" w:cs="楷体"/>
          <w:sz w:val="32"/>
          <w:szCs w:val="40"/>
        </w:rPr>
        <w:t>1.</w:t>
      </w:r>
      <w:r>
        <w:rPr>
          <w:rFonts w:hint="eastAsia" w:ascii="仿宋" w:hAnsi="仿宋" w:eastAsia="仿宋" w:cs="仿宋"/>
          <w:sz w:val="32"/>
          <w:szCs w:val="40"/>
        </w:rPr>
        <w:t>农业灾害防控救助</w:t>
      </w:r>
      <w:r>
        <w:rPr>
          <w:rFonts w:hint="eastAsia" w:ascii="楷体" w:hAnsi="楷体" w:eastAsia="楷体" w:cs="楷体"/>
          <w:sz w:val="32"/>
          <w:szCs w:val="40"/>
        </w:rPr>
        <w:t>项目绩效自评综述：</w:t>
      </w:r>
      <w:r>
        <w:rPr>
          <w:rFonts w:hint="eastAsia" w:ascii="仿宋" w:hAnsi="仿宋" w:eastAsia="仿宋" w:cs="仿宋"/>
          <w:sz w:val="32"/>
          <w:szCs w:val="40"/>
        </w:rPr>
        <w:t>全年预算数5万元，执行数5万元，完成预算的100%。</w:t>
      </w:r>
      <w:r>
        <w:rPr>
          <w:rFonts w:hint="eastAsia" w:ascii="仿宋_GB2312" w:hAnsi="仿宋_GB2312" w:eastAsia="仿宋_GB2312" w:cs="仿宋_GB2312"/>
          <w:sz w:val="28"/>
          <w:szCs w:val="28"/>
        </w:rPr>
        <w:t>项目绩效自评得分95</w:t>
      </w:r>
      <w:r>
        <w:rPr>
          <w:rFonts w:hint="eastAsia" w:ascii="仿宋_GB2312" w:hAnsi="仿宋_GB2312" w:eastAsia="仿宋_GB2312" w:cs="仿宋_GB2312"/>
          <w:color w:val="auto"/>
          <w:sz w:val="28"/>
          <w:szCs w:val="28"/>
        </w:rPr>
        <w:t>分。</w:t>
      </w:r>
      <w:r>
        <w:rPr>
          <w:rFonts w:hint="eastAsia" w:ascii="仿宋" w:hAnsi="仿宋" w:eastAsia="仿宋" w:cs="仿宋"/>
          <w:color w:val="auto"/>
          <w:sz w:val="32"/>
          <w:szCs w:val="40"/>
        </w:rPr>
        <w:t>项目绩效目标完成情况：项目资金重点用玉米、大豆、水稻等主要粮食作物病虫害防治工作，实施应急应防、统方统治作业补助费用，以及用于防控药剂购置，确保粮食生产丰收。实现粮油作物重大病虫害达标区域应防尽防，确保发生区域不大面积连片成灾。此项目资金完成草地贪夜蛾统防统治面积1430亩次，防控处置率总体达90﹪以上，重发区防治处置率达到100﹪，专业化统防统治覆盖率达50﹪，病虫危害总体损失率控制在5﹪以内。发现的问题及原因：由于病虫害发生时间不能确定，病虫害发生面积的不确定等多种不确定因素，会导致项目资金结余或不够。下一步改进措施：单位积极争取行业上级部门资金，有的放矢，做好粮食作物病虫害统防统治工作，确保镇坪县粮食生产丰收。</w:t>
      </w:r>
    </w:p>
    <w:p>
      <w:pPr>
        <w:rPr>
          <w:rFonts w:ascii="楷体" w:hAnsi="楷体" w:eastAsia="楷体" w:cs="楷体"/>
          <w:color w:val="auto"/>
          <w:sz w:val="32"/>
          <w:szCs w:val="32"/>
        </w:rPr>
      </w:pPr>
    </w:p>
    <w:p>
      <w:pPr>
        <w:rPr>
          <w:rFonts w:ascii="楷体" w:hAnsi="楷体" w:eastAsia="楷体" w:cs="楷体"/>
          <w:b/>
          <w:bCs/>
          <w:sz w:val="32"/>
          <w:szCs w:val="40"/>
        </w:rPr>
      </w:pPr>
      <w:r>
        <w:rPr>
          <w:rFonts w:hint="eastAsia" w:ascii="楷体" w:hAnsi="楷体" w:eastAsia="楷体" w:cs="楷体"/>
          <w:sz w:val="32"/>
          <w:szCs w:val="32"/>
        </w:rPr>
        <w:object>
          <v:shape id="_x0000_i1037" o:spt="75" alt="" type="#_x0000_t75" style="height:687.75pt;width:447.75pt;" o:ole="t" filled="f" o:preferrelative="t" stroked="f" coordsize="21600,21600">
            <v:path/>
            <v:fill on="f" focussize="0,0"/>
            <v:stroke on="f"/>
            <v:imagedata r:id="rId37" o:title=""/>
            <o:lock v:ext="edit" aspectratio="t"/>
            <w10:wrap type="none"/>
            <w10:anchorlock/>
          </v:shape>
          <o:OLEObject Type="Embed" ProgID="Excel.Sheet.8" ShapeID="_x0000_i1037" DrawAspect="Content" ObjectID="_1468075737" r:id="rId36">
            <o:LockedField>false</o:LockedField>
          </o:OLEObject>
        </w:object>
      </w:r>
      <w:r>
        <w:rPr>
          <w:rFonts w:hint="eastAsia" w:ascii="楷体" w:hAnsi="楷体" w:eastAsia="楷体" w:cs="楷体"/>
          <w:sz w:val="32"/>
          <w:szCs w:val="40"/>
        </w:rPr>
        <w:t>（三）部门整体支出绩效自评结果。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 w:hAnsi="仿宋" w:eastAsia="仿宋" w:cs="仿宋"/>
          <w:sz w:val="32"/>
          <w:szCs w:val="40"/>
        </w:rPr>
        <w:t>根据年度设定的绩效目标，部门整体支出自评得分97，综合评价等级为“优</w:t>
      </w:r>
      <w:r>
        <w:rPr>
          <w:rFonts w:ascii="仿宋" w:hAnsi="仿宋" w:eastAsia="仿宋" w:cs="仿宋"/>
          <w:sz w:val="32"/>
          <w:szCs w:val="40"/>
        </w:rPr>
        <w:t>”</w:t>
      </w:r>
      <w:r>
        <w:rPr>
          <w:rFonts w:hint="eastAsia" w:ascii="仿宋" w:hAnsi="仿宋" w:eastAsia="仿宋" w:cs="仿宋"/>
          <w:sz w:val="32"/>
          <w:szCs w:val="40"/>
        </w:rPr>
        <w:t>，全年预算数266.14万元，执行数321.1万元，完成预算的100%。本年度本部门总体运行情况良好，取得了显著得成绩：1、圆满完成农技推广工作2021年度各项工作任务。2、加强</w:t>
      </w:r>
      <w:r>
        <w:rPr>
          <w:rFonts w:hint="eastAsia" w:ascii="仿宋_GB2312" w:hAnsi="仿宋_GB2312" w:eastAsia="仿宋_GB2312" w:cs="仿宋_GB2312"/>
          <w:sz w:val="32"/>
          <w:szCs w:val="32"/>
        </w:rPr>
        <w:t>对全县主要农作物进行病虫调查，加强测报工作，科学制定防治预案，及时发布《病虫情报》，对主要农作物的较严重的病虫害进行统防统治。扎实开展“</w:t>
      </w:r>
      <w:r>
        <w:rPr>
          <w:rFonts w:hint="eastAsia" w:ascii="仿宋" w:hAnsi="仿宋" w:eastAsia="仿宋" w:cs="仿宋"/>
          <w:sz w:val="32"/>
          <w:szCs w:val="40"/>
        </w:rPr>
        <w:t>农业灾害防控救助</w:t>
      </w:r>
      <w:r>
        <w:rPr>
          <w:rFonts w:hint="eastAsia" w:ascii="仿宋_GB2312" w:hAnsi="仿宋_GB2312" w:eastAsia="仿宋_GB2312" w:cs="仿宋_GB2312"/>
          <w:sz w:val="32"/>
          <w:szCs w:val="32"/>
        </w:rPr>
        <w:t>”等项目的实施工作。一年来，积极推进农业科技创新，加强加强示范推广、扶贫帮困与产业服务,努力为发展山区现代农业提供科技支撑，较好的完成了全年目标工作任务。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现的问题及原因，下一步改进措施：植物保护工作是一项专业性十分强的工作，单位编制长期得不到满员，新进工作人员借调严重、新老人员不能交替，业务工作几乎断档，单位存在一人应付多个专业技术岗位的工作。希望编制、人事部门能补充专业技术人员，借调人员能回归岗位开展工作。</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tbl>
      <w:tblPr>
        <w:tblStyle w:val="9"/>
        <w:tblW w:w="9330" w:type="dxa"/>
        <w:jc w:val="center"/>
        <w:tblInd w:w="-497" w:type="dxa"/>
        <w:shd w:val="clear" w:color="auto" w:fill="auto"/>
        <w:tblLayout w:type="fixed"/>
        <w:tblCellMar>
          <w:top w:w="0" w:type="dxa"/>
          <w:left w:w="0" w:type="dxa"/>
          <w:bottom w:w="0" w:type="dxa"/>
          <w:right w:w="0" w:type="dxa"/>
        </w:tblCellMar>
      </w:tblPr>
      <w:tblGrid>
        <w:gridCol w:w="347"/>
        <w:gridCol w:w="352"/>
        <w:gridCol w:w="433"/>
        <w:gridCol w:w="347"/>
        <w:gridCol w:w="2455"/>
        <w:gridCol w:w="2157"/>
        <w:gridCol w:w="637"/>
        <w:gridCol w:w="403"/>
        <w:gridCol w:w="521"/>
        <w:gridCol w:w="428"/>
        <w:gridCol w:w="729"/>
        <w:gridCol w:w="521"/>
      </w:tblGrid>
      <w:tr>
        <w:tblPrEx>
          <w:tblLayout w:type="fixed"/>
          <w:tblCellMar>
            <w:top w:w="0" w:type="dxa"/>
            <w:left w:w="0" w:type="dxa"/>
            <w:bottom w:w="0" w:type="dxa"/>
            <w:right w:w="0" w:type="dxa"/>
          </w:tblCellMar>
        </w:tblPrEx>
        <w:trPr>
          <w:trHeight w:val="760" w:hRule="atLeast"/>
          <w:jc w:val="center"/>
        </w:trPr>
        <w:tc>
          <w:tcPr>
            <w:tcW w:w="9330"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22"/>
                <w:szCs w:val="22"/>
                <w:u w:val="none"/>
              </w:rPr>
            </w:pPr>
            <w:r>
              <w:rPr>
                <w:rFonts w:hint="eastAsia" w:ascii="方正小标宋_GBK" w:hAnsi="方正小标宋_GBK" w:eastAsia="方正小标宋_GBK" w:cs="方正小标宋_GBK"/>
                <w:i w:val="0"/>
                <w:color w:val="000000"/>
                <w:kern w:val="0"/>
                <w:sz w:val="22"/>
                <w:szCs w:val="22"/>
                <w:u w:val="none"/>
                <w:lang w:val="en-US" w:eastAsia="zh-CN" w:bidi="ar"/>
              </w:rPr>
              <w:t>部门整体支出绩效自评表</w:t>
            </w:r>
            <w:r>
              <w:rPr>
                <w:rFonts w:hint="eastAsia" w:ascii="方正小标宋_GBK" w:hAnsi="方正小标宋_GBK" w:eastAsia="方正小标宋_GBK" w:cs="方正小标宋_GBK"/>
                <w:i w:val="0"/>
                <w:color w:val="000000"/>
                <w:kern w:val="0"/>
                <w:sz w:val="22"/>
                <w:szCs w:val="22"/>
                <w:u w:val="none"/>
                <w:lang w:val="en-US" w:eastAsia="zh-CN" w:bidi="ar"/>
              </w:rPr>
              <w:br w:type="textWrapping"/>
            </w:r>
            <w:r>
              <w:rPr>
                <w:rStyle w:val="14"/>
                <w:lang w:val="en-US" w:eastAsia="zh-CN" w:bidi="ar"/>
              </w:rPr>
              <w:t>（2021年度）</w:t>
            </w:r>
          </w:p>
        </w:tc>
      </w:tr>
      <w:tr>
        <w:tblPrEx>
          <w:shd w:val="clear" w:color="auto" w:fill="auto"/>
          <w:tblLayout w:type="fixed"/>
          <w:tblCellMar>
            <w:top w:w="0" w:type="dxa"/>
            <w:left w:w="0" w:type="dxa"/>
            <w:bottom w:w="0" w:type="dxa"/>
            <w:right w:w="0" w:type="dxa"/>
          </w:tblCellMar>
        </w:tblPrEx>
        <w:trPr>
          <w:trHeight w:val="400" w:hRule="atLeast"/>
          <w:jc w:val="center"/>
        </w:trPr>
        <w:tc>
          <w:tcPr>
            <w:tcW w:w="3934"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填报单位：镇坪县农业科技服务中心</w:t>
            </w:r>
          </w:p>
        </w:tc>
        <w:tc>
          <w:tcPr>
            <w:tcW w:w="5396"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自评得分：95</w:t>
            </w:r>
          </w:p>
        </w:tc>
      </w:tr>
      <w:tr>
        <w:tblPrEx>
          <w:shd w:val="clear" w:color="auto" w:fill="auto"/>
          <w:tblLayout w:type="fixed"/>
          <w:tblCellMar>
            <w:top w:w="0" w:type="dxa"/>
            <w:left w:w="0" w:type="dxa"/>
            <w:bottom w:w="0" w:type="dxa"/>
            <w:right w:w="0" w:type="dxa"/>
          </w:tblCellMar>
        </w:tblPrEx>
        <w:trPr>
          <w:trHeight w:val="1000" w:hRule="atLeast"/>
          <w:jc w:val="center"/>
        </w:trPr>
        <w:tc>
          <w:tcPr>
            <w:tcW w:w="39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（一）简要概述部门职能与职责。</w:t>
            </w:r>
          </w:p>
        </w:tc>
        <w:tc>
          <w:tcPr>
            <w:tcW w:w="539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   贯彻执行农业种植业、农村能源、农业机械化、农田水利基本建设等方面的法律法规及政策规定，参与编制全县农业技术推广规划并组织实施；参与拟订全县农业机械化事业发展规划和有关标准、技术规范；参与拟订全县农作物种子规划和计划，提出全县农作物品种布局建议。</w:t>
            </w:r>
          </w:p>
        </w:tc>
      </w:tr>
      <w:tr>
        <w:tblPrEx>
          <w:shd w:val="clear" w:color="auto" w:fill="auto"/>
          <w:tblLayout w:type="fixed"/>
          <w:tblCellMar>
            <w:top w:w="0" w:type="dxa"/>
            <w:left w:w="0" w:type="dxa"/>
            <w:bottom w:w="0" w:type="dxa"/>
            <w:right w:w="0" w:type="dxa"/>
          </w:tblCellMar>
        </w:tblPrEx>
        <w:trPr>
          <w:trHeight w:val="920" w:hRule="atLeast"/>
          <w:jc w:val="center"/>
        </w:trPr>
        <w:tc>
          <w:tcPr>
            <w:tcW w:w="39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（二）简要概述部门支出情况，按活动内容分类。</w:t>
            </w:r>
          </w:p>
        </w:tc>
        <w:tc>
          <w:tcPr>
            <w:tcW w:w="539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2221年本部门决算支出合计321.10万元，其中基本支出290.13万元，项目支出30.97 万元。主要用于以下方面：事业运行（类）288.33万元，占89.79%；科技转化与推广服务（类）24万元，占7.47%；病虫防控（类）6.97万元，占2.17%。</w:t>
            </w:r>
          </w:p>
        </w:tc>
      </w:tr>
      <w:tr>
        <w:tblPrEx>
          <w:tblLayout w:type="fixed"/>
          <w:tblCellMar>
            <w:top w:w="0" w:type="dxa"/>
            <w:left w:w="0" w:type="dxa"/>
            <w:bottom w:w="0" w:type="dxa"/>
            <w:right w:w="0" w:type="dxa"/>
          </w:tblCellMar>
        </w:tblPrEx>
        <w:trPr>
          <w:trHeight w:val="540" w:hRule="atLeast"/>
          <w:jc w:val="center"/>
        </w:trPr>
        <w:tc>
          <w:tcPr>
            <w:tcW w:w="39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（三）简要概述当年省委省政府下达的重点工作。</w:t>
            </w:r>
          </w:p>
        </w:tc>
        <w:tc>
          <w:tcPr>
            <w:tcW w:w="539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1、农技推广工作；2、植保植检工作；3、耕地质量与农业环境保护工作；4、农业机械化技术推广与安全监理。</w:t>
            </w:r>
          </w:p>
        </w:tc>
      </w:tr>
      <w:tr>
        <w:tblPrEx>
          <w:tblLayout w:type="fixed"/>
          <w:tblCellMar>
            <w:top w:w="0" w:type="dxa"/>
            <w:left w:w="0" w:type="dxa"/>
            <w:bottom w:w="0" w:type="dxa"/>
            <w:right w:w="0" w:type="dxa"/>
          </w:tblCellMar>
        </w:tblPrEx>
        <w:trPr>
          <w:trHeight w:val="1000" w:hRule="atLeast"/>
          <w:jc w:val="center"/>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b/>
                <w:i w:val="0"/>
                <w:color w:val="000000"/>
                <w:sz w:val="16"/>
                <w:szCs w:val="16"/>
                <w:u w:val="none"/>
              </w:rPr>
            </w:pPr>
            <w:r>
              <w:rPr>
                <w:rFonts w:hint="eastAsia" w:ascii="楷体_GB2312" w:hAnsi="宋体" w:eastAsia="楷体_GB2312" w:cs="楷体_GB2312"/>
                <w:b/>
                <w:i w:val="0"/>
                <w:color w:val="000000"/>
                <w:kern w:val="0"/>
                <w:sz w:val="16"/>
                <w:szCs w:val="16"/>
                <w:u w:val="none"/>
                <w:lang w:val="en-US" w:eastAsia="zh-CN" w:bidi="ar"/>
              </w:rPr>
              <w:t>一级</w:t>
            </w:r>
            <w:r>
              <w:rPr>
                <w:rFonts w:hint="eastAsia" w:ascii="楷体_GB2312" w:hAnsi="宋体" w:eastAsia="楷体_GB2312" w:cs="楷体_GB2312"/>
                <w:b/>
                <w:i w:val="0"/>
                <w:color w:val="000000"/>
                <w:kern w:val="0"/>
                <w:sz w:val="16"/>
                <w:szCs w:val="16"/>
                <w:u w:val="none"/>
                <w:lang w:val="en-US" w:eastAsia="zh-CN" w:bidi="ar"/>
              </w:rPr>
              <w:br w:type="textWrapping"/>
            </w:r>
            <w:r>
              <w:rPr>
                <w:rFonts w:hint="eastAsia" w:ascii="楷体_GB2312" w:hAnsi="宋体" w:eastAsia="楷体_GB2312" w:cs="楷体_GB2312"/>
                <w:b/>
                <w:i w:val="0"/>
                <w:color w:val="000000"/>
                <w:kern w:val="0"/>
                <w:sz w:val="16"/>
                <w:szCs w:val="16"/>
                <w:u w:val="none"/>
                <w:lang w:val="en-US" w:eastAsia="zh-CN" w:bidi="ar"/>
              </w:rPr>
              <w:t>指标</w:t>
            </w:r>
          </w:p>
        </w:tc>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16"/>
                <w:szCs w:val="16"/>
                <w:u w:val="none"/>
              </w:rPr>
            </w:pPr>
            <w:r>
              <w:rPr>
                <w:rFonts w:hint="eastAsia" w:ascii="楷体_GB2312" w:hAnsi="宋体" w:eastAsia="楷体_GB2312" w:cs="楷体_GB2312"/>
                <w:b/>
                <w:i w:val="0"/>
                <w:color w:val="000000"/>
                <w:kern w:val="0"/>
                <w:sz w:val="16"/>
                <w:szCs w:val="16"/>
                <w:u w:val="none"/>
                <w:lang w:val="en-US" w:eastAsia="zh-CN" w:bidi="ar"/>
              </w:rPr>
              <w:t>二级</w:t>
            </w:r>
            <w:r>
              <w:rPr>
                <w:rFonts w:hint="eastAsia" w:ascii="楷体_GB2312" w:hAnsi="宋体" w:eastAsia="楷体_GB2312" w:cs="楷体_GB2312"/>
                <w:b/>
                <w:i w:val="0"/>
                <w:color w:val="000000"/>
                <w:kern w:val="0"/>
                <w:sz w:val="16"/>
                <w:szCs w:val="16"/>
                <w:u w:val="none"/>
                <w:lang w:val="en-US" w:eastAsia="zh-CN" w:bidi="ar"/>
              </w:rPr>
              <w:br w:type="textWrapping"/>
            </w:r>
            <w:r>
              <w:rPr>
                <w:rFonts w:hint="eastAsia" w:ascii="楷体_GB2312" w:hAnsi="宋体" w:eastAsia="楷体_GB2312" w:cs="楷体_GB2312"/>
                <w:b/>
                <w:i w:val="0"/>
                <w:color w:val="000000"/>
                <w:kern w:val="0"/>
                <w:sz w:val="16"/>
                <w:szCs w:val="16"/>
                <w:u w:val="none"/>
                <w:lang w:val="en-US" w:eastAsia="zh-CN" w:bidi="ar"/>
              </w:rPr>
              <w:t>指标</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16"/>
                <w:szCs w:val="16"/>
                <w:u w:val="none"/>
              </w:rPr>
            </w:pPr>
            <w:r>
              <w:rPr>
                <w:rFonts w:hint="eastAsia" w:ascii="楷体_GB2312" w:hAnsi="宋体" w:eastAsia="楷体_GB2312" w:cs="楷体_GB2312"/>
                <w:b/>
                <w:i w:val="0"/>
                <w:color w:val="000000"/>
                <w:kern w:val="0"/>
                <w:sz w:val="16"/>
                <w:szCs w:val="16"/>
                <w:u w:val="none"/>
                <w:lang w:val="en-US" w:eastAsia="zh-CN" w:bidi="ar"/>
              </w:rPr>
              <w:t>三级指标</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16"/>
                <w:szCs w:val="16"/>
                <w:u w:val="none"/>
              </w:rPr>
            </w:pPr>
            <w:r>
              <w:rPr>
                <w:rFonts w:hint="eastAsia" w:ascii="楷体_GB2312" w:hAnsi="宋体" w:eastAsia="楷体_GB2312" w:cs="楷体_GB2312"/>
                <w:b/>
                <w:i w:val="0"/>
                <w:color w:val="000000"/>
                <w:kern w:val="0"/>
                <w:sz w:val="16"/>
                <w:szCs w:val="16"/>
                <w:u w:val="none"/>
                <w:lang w:val="en-US" w:eastAsia="zh-CN" w:bidi="ar"/>
              </w:rPr>
              <w:t>分值</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16"/>
                <w:szCs w:val="16"/>
                <w:u w:val="none"/>
              </w:rPr>
            </w:pPr>
            <w:r>
              <w:rPr>
                <w:rFonts w:hint="eastAsia" w:ascii="楷体_GB2312" w:hAnsi="宋体" w:eastAsia="楷体_GB2312" w:cs="楷体_GB2312"/>
                <w:b/>
                <w:i w:val="0"/>
                <w:color w:val="000000"/>
                <w:kern w:val="0"/>
                <w:sz w:val="16"/>
                <w:szCs w:val="16"/>
                <w:u w:val="none"/>
                <w:lang w:val="en-US" w:eastAsia="zh-CN" w:bidi="ar"/>
              </w:rPr>
              <w:t>指标说明</w:t>
            </w:r>
          </w:p>
        </w:tc>
        <w:tc>
          <w:tcPr>
            <w:tcW w:w="21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16"/>
                <w:szCs w:val="16"/>
                <w:u w:val="none"/>
              </w:rPr>
            </w:pPr>
            <w:r>
              <w:rPr>
                <w:rFonts w:hint="eastAsia" w:ascii="楷体_GB2312" w:hAnsi="宋体" w:eastAsia="楷体_GB2312" w:cs="楷体_GB2312"/>
                <w:b/>
                <w:i w:val="0"/>
                <w:color w:val="000000"/>
                <w:kern w:val="0"/>
                <w:sz w:val="16"/>
                <w:szCs w:val="16"/>
                <w:u w:val="none"/>
                <w:lang w:val="en-US" w:eastAsia="zh-CN" w:bidi="ar"/>
              </w:rPr>
              <w:t>评分标准</w:t>
            </w:r>
          </w:p>
        </w:tc>
        <w:tc>
          <w:tcPr>
            <w:tcW w:w="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16"/>
                <w:szCs w:val="16"/>
                <w:u w:val="none"/>
              </w:rPr>
            </w:pPr>
            <w:r>
              <w:rPr>
                <w:rFonts w:hint="eastAsia" w:ascii="楷体_GB2312" w:hAnsi="宋体" w:eastAsia="楷体_GB2312" w:cs="楷体_GB2312"/>
                <w:b/>
                <w:i w:val="0"/>
                <w:color w:val="000000"/>
                <w:kern w:val="0"/>
                <w:sz w:val="16"/>
                <w:szCs w:val="16"/>
                <w:u w:val="none"/>
                <w:lang w:val="en-US" w:eastAsia="zh-CN" w:bidi="ar"/>
              </w:rPr>
              <w:t>指标值计算公式和数据获取方式</w:t>
            </w:r>
          </w:p>
        </w:tc>
        <w:tc>
          <w:tcPr>
            <w:tcW w:w="4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16"/>
                <w:szCs w:val="16"/>
                <w:u w:val="none"/>
              </w:rPr>
            </w:pPr>
            <w:r>
              <w:rPr>
                <w:rFonts w:hint="eastAsia" w:ascii="楷体_GB2312" w:hAnsi="宋体" w:eastAsia="楷体_GB2312" w:cs="楷体_GB2312"/>
                <w:b/>
                <w:i w:val="0"/>
                <w:color w:val="000000"/>
                <w:kern w:val="0"/>
                <w:sz w:val="16"/>
                <w:szCs w:val="16"/>
                <w:u w:val="none"/>
                <w:lang w:val="en-US" w:eastAsia="zh-CN" w:bidi="ar"/>
              </w:rPr>
              <w:t>年初目标值</w:t>
            </w:r>
          </w:p>
        </w:tc>
        <w:tc>
          <w:tcPr>
            <w:tcW w:w="5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16"/>
                <w:szCs w:val="16"/>
                <w:u w:val="none"/>
              </w:rPr>
            </w:pPr>
            <w:r>
              <w:rPr>
                <w:rFonts w:hint="eastAsia" w:ascii="楷体_GB2312" w:hAnsi="宋体" w:eastAsia="楷体_GB2312" w:cs="楷体_GB2312"/>
                <w:b/>
                <w:i w:val="0"/>
                <w:color w:val="000000"/>
                <w:kern w:val="0"/>
                <w:sz w:val="16"/>
                <w:szCs w:val="16"/>
                <w:u w:val="none"/>
                <w:lang w:val="en-US" w:eastAsia="zh-CN" w:bidi="ar"/>
              </w:rPr>
              <w:t>实际完成值</w:t>
            </w:r>
          </w:p>
        </w:tc>
        <w:tc>
          <w:tcPr>
            <w:tcW w:w="4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16"/>
                <w:szCs w:val="16"/>
                <w:u w:val="none"/>
              </w:rPr>
            </w:pPr>
            <w:r>
              <w:rPr>
                <w:rFonts w:hint="eastAsia" w:ascii="楷体_GB2312" w:hAnsi="宋体" w:eastAsia="楷体_GB2312" w:cs="楷体_GB2312"/>
                <w:b/>
                <w:i w:val="0"/>
                <w:color w:val="000000"/>
                <w:kern w:val="0"/>
                <w:sz w:val="16"/>
                <w:szCs w:val="16"/>
                <w:u w:val="none"/>
                <w:lang w:val="en-US" w:eastAsia="zh-CN" w:bidi="ar"/>
              </w:rPr>
              <w:t>得分</w:t>
            </w:r>
          </w:p>
        </w:tc>
        <w:tc>
          <w:tcPr>
            <w:tcW w:w="7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16"/>
                <w:szCs w:val="16"/>
                <w:u w:val="none"/>
              </w:rPr>
            </w:pPr>
            <w:r>
              <w:rPr>
                <w:rFonts w:hint="eastAsia" w:ascii="楷体_GB2312" w:hAnsi="宋体" w:eastAsia="楷体_GB2312" w:cs="楷体_GB2312"/>
                <w:b/>
                <w:i w:val="0"/>
                <w:color w:val="000000"/>
                <w:kern w:val="0"/>
                <w:sz w:val="16"/>
                <w:szCs w:val="16"/>
                <w:u w:val="none"/>
                <w:lang w:val="en-US" w:eastAsia="zh-CN" w:bidi="ar"/>
              </w:rPr>
              <w:t>未完成原因分析与改进措施</w:t>
            </w:r>
          </w:p>
        </w:tc>
        <w:tc>
          <w:tcPr>
            <w:tcW w:w="5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16"/>
                <w:szCs w:val="16"/>
                <w:u w:val="none"/>
              </w:rPr>
            </w:pPr>
            <w:r>
              <w:rPr>
                <w:rFonts w:hint="eastAsia" w:ascii="楷体_GB2312" w:hAnsi="宋体" w:eastAsia="楷体_GB2312" w:cs="楷体_GB2312"/>
                <w:b/>
                <w:i w:val="0"/>
                <w:color w:val="000000"/>
                <w:kern w:val="0"/>
                <w:sz w:val="16"/>
                <w:szCs w:val="16"/>
                <w:u w:val="none"/>
                <w:lang w:val="en-US" w:eastAsia="zh-CN" w:bidi="ar"/>
              </w:rPr>
              <w:t>绩效指标分析与建议</w:t>
            </w:r>
          </w:p>
        </w:tc>
      </w:tr>
      <w:tr>
        <w:tblPrEx>
          <w:tblLayout w:type="fixed"/>
          <w:tblCellMar>
            <w:top w:w="0" w:type="dxa"/>
            <w:left w:w="0" w:type="dxa"/>
            <w:bottom w:w="0" w:type="dxa"/>
            <w:right w:w="0" w:type="dxa"/>
          </w:tblCellMar>
        </w:tblPrEx>
        <w:trPr>
          <w:trHeight w:val="2760" w:hRule="atLeast"/>
          <w:jc w:val="center"/>
        </w:trPr>
        <w:tc>
          <w:tcPr>
            <w:tcW w:w="3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投入</w:t>
            </w:r>
          </w:p>
        </w:tc>
        <w:tc>
          <w:tcPr>
            <w:tcW w:w="3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预算执行（25分）</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预算</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完成率</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（10分）</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10</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预算完成率=（预算完成数/预算数）×100%，用以反映和考核部门（单位）预算完成程度。</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预算完成数：部门（单位）本年度实际完成的预算数。</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预算数：财政部门批复的本年度部门（单位）预算数。</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预算完成率＝100%的，得10分。</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预算完成率≥95%的，得9分。</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预算完成率在90%（含）和95%之间，得8分。</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预算完成率在85%（含）和90%之间，得7分。</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预算完成率在80%（含）和85%之间，得6分。</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预算完成率在70%（含）和80%之间，得4分。</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预算完成率＜70%的，得0分。</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321.10万元</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100%</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10</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shd w:val="clear" w:color="auto" w:fill="auto"/>
          <w:tblLayout w:type="fixed"/>
          <w:tblCellMar>
            <w:top w:w="0" w:type="dxa"/>
            <w:left w:w="0" w:type="dxa"/>
            <w:bottom w:w="0" w:type="dxa"/>
            <w:right w:w="0" w:type="dxa"/>
          </w:tblCellMar>
        </w:tblPrEx>
        <w:trPr>
          <w:trHeight w:val="2540" w:hRule="atLeast"/>
          <w:jc w:val="center"/>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16"/>
                <w:szCs w:val="16"/>
                <w:u w:val="none"/>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预算调整率</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（5分）</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5</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预算调整率=（预算调整数/预算数）×100%，用以反映和考核部门（单位）预算的调整程度。</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预算包括一般公共预算与政府性基金预算。</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预算调整率绝对值≤5%，得5分。</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预算调整率绝对值＞5%的，每增加0.1个百分点扣0.1分，扣完为止。</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321.10万元/266.14万元</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宋体" w:eastAsia="楷体_GB2312" w:cs="楷体_GB2312"/>
                <w:i w:val="0"/>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121%</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0</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新增农作物病虫防控和中国药科大学考考察系列活动经费。</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shd w:val="clear" w:color="auto" w:fill="auto"/>
          <w:tblLayout w:type="fixed"/>
          <w:tblCellMar>
            <w:top w:w="0" w:type="dxa"/>
            <w:left w:w="0" w:type="dxa"/>
            <w:bottom w:w="0" w:type="dxa"/>
            <w:right w:w="0" w:type="dxa"/>
          </w:tblCellMar>
        </w:tblPrEx>
        <w:trPr>
          <w:trHeight w:val="2580" w:hRule="atLeast"/>
          <w:jc w:val="center"/>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16"/>
                <w:szCs w:val="16"/>
                <w:u w:val="none"/>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支出进度率</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（5分）</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5</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支出进度率=（实际支出/支出预算）×100%，用以反映和考核部门（单位）预算执行的及时性和均衡性程度。</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半年支出进度＝部门上半年实际支出/（上年结余结转+本年部门预算安排+上半年执行中追加追减）*100%。</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前三季度支出进度＝部门前三季度实际支出/（上年结余结转+本年部门预算安排+前三季度执行中追加追减）*100%。</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半年进度：进度率≥45%，得2分；进度率在40%（含）和45%之间，得1分；进度率＜40%，得0分。</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前三季度进度：进度率≥75%，得3分；进度率在60%（含</w:t>
            </w:r>
            <w:bookmarkStart w:id="0" w:name="_GoBack"/>
            <w:r>
              <w:rPr>
                <w:rFonts w:hint="eastAsia" w:ascii="楷体_GB2312" w:hAnsi="宋体" w:eastAsia="楷体_GB2312" w:cs="楷体_GB2312"/>
                <w:i w:val="0"/>
                <w:color w:val="000000"/>
                <w:kern w:val="0"/>
                <w:sz w:val="16"/>
                <w:szCs w:val="16"/>
                <w:u w:val="none"/>
                <w:lang w:val="en-US" w:eastAsia="zh-CN" w:bidi="ar"/>
              </w:rPr>
              <w:t>）</w:t>
            </w:r>
            <w:bookmarkEnd w:id="0"/>
            <w:r>
              <w:rPr>
                <w:rFonts w:hint="eastAsia" w:ascii="楷体_GB2312" w:hAnsi="宋体" w:eastAsia="楷体_GB2312" w:cs="楷体_GB2312"/>
                <w:i w:val="0"/>
                <w:color w:val="000000"/>
                <w:kern w:val="0"/>
                <w:sz w:val="16"/>
                <w:szCs w:val="16"/>
                <w:u w:val="none"/>
                <w:lang w:val="en-US" w:eastAsia="zh-CN" w:bidi="ar"/>
              </w:rPr>
              <w:t>和75%之间，得2分；进度率＜60%，得0分。</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国库支付系统</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半年进度46%;前三季度进度77%</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半年进度46%;前三季度进度77%</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5</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1420" w:hRule="atLeast"/>
          <w:jc w:val="center"/>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16"/>
                <w:szCs w:val="16"/>
                <w:u w:val="none"/>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预算编制准确率（5分）</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5</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部门预算中除财政拨款外的其他收入预算与决算差异率。</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预算编制准确率＝其他收入决算数/其他收入预算数×100%-100%。</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预算编制准确率≤20%，得5分。</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预算编制准确率在20%和40%（含）之间，得3分。</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预算编制准确率＞40%，得0分。</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17%</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小于等于20%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17%</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5</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shd w:val="clear" w:color="auto" w:fill="auto"/>
          <w:tblLayout w:type="fixed"/>
          <w:tblCellMar>
            <w:top w:w="0" w:type="dxa"/>
            <w:left w:w="0" w:type="dxa"/>
            <w:bottom w:w="0" w:type="dxa"/>
            <w:right w:w="0" w:type="dxa"/>
          </w:tblCellMar>
        </w:tblPrEx>
        <w:trPr>
          <w:trHeight w:val="1920" w:hRule="atLeast"/>
          <w:jc w:val="center"/>
        </w:trPr>
        <w:tc>
          <w:tcPr>
            <w:tcW w:w="3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过程</w:t>
            </w:r>
          </w:p>
        </w:tc>
        <w:tc>
          <w:tcPr>
            <w:tcW w:w="3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预算管理（15分）</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“三公经费”控制率</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（5分）</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5</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“三公经费”控制率=（“三公经费”实际支出数/“三公经费”预算安排数）×100%，用以反映和考核部门（单位）对“三公经费”的实际控制程度。</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“三公经费”控制率 ≤100%，得5分，每增加0.1个百分点扣0.5分，扣完为止。</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4.4万元/5.8万元</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小于等于100%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75.86%</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5</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1940" w:hRule="atLeast"/>
          <w:jc w:val="center"/>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16"/>
                <w:szCs w:val="16"/>
                <w:u w:val="none"/>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资产管理规范性</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（5分）</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5</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部门（单位）资产管理是否规范，用以反映和考核部门（单位）资产管理情况。</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1.新增资产配置按预算执行。</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2.资产有偿使用、处置按规定程序审批。</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3.资产收益及时、足额上缴财政。</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全部符合5分，有1项不符扣2分,扣完为止。</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宋体" w:eastAsia="楷体_GB2312" w:cs="楷体_GB2312"/>
                <w:i w:val="0"/>
                <w:color w:val="000000"/>
                <w:sz w:val="16"/>
                <w:szCs w:val="16"/>
                <w:u w:val="none"/>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宋体" w:eastAsia="楷体_GB2312" w:cs="楷体_GB2312"/>
                <w:i w:val="0"/>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宋体" w:eastAsia="楷体_GB2312" w:cs="楷体_GB2312"/>
                <w:i w:val="0"/>
                <w:color w:val="000000"/>
                <w:sz w:val="16"/>
                <w:szCs w:val="16"/>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5</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shd w:val="clear" w:color="auto" w:fill="auto"/>
          <w:tblLayout w:type="fixed"/>
          <w:tblCellMar>
            <w:top w:w="0" w:type="dxa"/>
            <w:left w:w="0" w:type="dxa"/>
            <w:bottom w:w="0" w:type="dxa"/>
            <w:right w:w="0" w:type="dxa"/>
          </w:tblCellMar>
        </w:tblPrEx>
        <w:trPr>
          <w:trHeight w:val="2700" w:hRule="atLeast"/>
          <w:jc w:val="center"/>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过程</w:t>
            </w:r>
          </w:p>
        </w:tc>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预算管理（15分）</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资金使用合规性</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（5分）</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5</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部门（单位）使用预算资金是否符合相关的预算财务管理制度的规定，用以反映和考核部门（单位）预算资金的规范运行情况。</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1.符合国家财经法规和财务管理制度规定以及有关专项资金管理办法的规定；</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2.资金的拨付有完整的审批程序和手续；</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3.重大项目开支经过评估论证；</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4.符合部门预算批复的用途；</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5.不存在截留、挤占、挪用、虚列支出等情况。</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全部符合5分,有1项不符扣2分。</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宋体" w:eastAsia="楷体_GB2312" w:cs="楷体_GB2312"/>
                <w:i w:val="0"/>
                <w:color w:val="000000"/>
                <w:sz w:val="16"/>
                <w:szCs w:val="16"/>
                <w:u w:val="none"/>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宋体" w:eastAsia="楷体_GB2312" w:cs="楷体_GB2312"/>
                <w:i w:val="0"/>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宋体" w:eastAsia="楷体_GB2312" w:cs="楷体_GB2312"/>
                <w:i w:val="0"/>
                <w:color w:val="000000"/>
                <w:sz w:val="16"/>
                <w:szCs w:val="16"/>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5</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1060" w:hRule="atLeast"/>
          <w:jc w:val="center"/>
        </w:trPr>
        <w:tc>
          <w:tcPr>
            <w:tcW w:w="3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效果</w:t>
            </w:r>
          </w:p>
        </w:tc>
        <w:tc>
          <w:tcPr>
            <w:tcW w:w="3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履职尽责（60分）</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项目产出</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（40分）</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40</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宋体" w:eastAsia="楷体_GB2312" w:cs="楷体_GB2312"/>
                <w:i w:val="0"/>
                <w:color w:val="000000"/>
                <w:sz w:val="16"/>
                <w:szCs w:val="16"/>
                <w:u w:val="none"/>
              </w:rPr>
            </w:pPr>
          </w:p>
        </w:tc>
        <w:tc>
          <w:tcPr>
            <w:tcW w:w="21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1.若为定性指标，根据“三档”原则分别按照指标分值的100-80%（含）、80-50%（含）、50-10%来记分；</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2.若为定量指标，完成值达到指标值，记满分；未达到指标值，按完成比率计分，正向指标（即指标值为≥*）得分＝实际完成值/年初目标值*该指标分值，反向指标（即指标值为≤*）得分＝年初目标值/实际完成值*该指标分值。</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宋体" w:eastAsia="楷体_GB2312" w:cs="楷体_GB2312"/>
                <w:i w:val="0"/>
                <w:color w:val="000000"/>
                <w:sz w:val="16"/>
                <w:szCs w:val="16"/>
                <w:u w:val="none"/>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100%</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40</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shd w:val="clear" w:color="auto" w:fill="auto"/>
          <w:tblLayout w:type="fixed"/>
          <w:tblCellMar>
            <w:top w:w="0" w:type="dxa"/>
            <w:left w:w="0" w:type="dxa"/>
            <w:bottom w:w="0" w:type="dxa"/>
            <w:right w:w="0" w:type="dxa"/>
          </w:tblCellMar>
        </w:tblPrEx>
        <w:trPr>
          <w:trHeight w:val="1200" w:hRule="atLeast"/>
          <w:jc w:val="center"/>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16"/>
                <w:szCs w:val="16"/>
                <w:u w:val="none"/>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项目效益</w:t>
            </w:r>
            <w:r>
              <w:rPr>
                <w:rFonts w:hint="eastAsia" w:ascii="楷体_GB2312" w:hAnsi="宋体" w:eastAsia="楷体_GB2312" w:cs="楷体_GB2312"/>
                <w:i w:val="0"/>
                <w:color w:val="000000"/>
                <w:kern w:val="0"/>
                <w:sz w:val="16"/>
                <w:szCs w:val="16"/>
                <w:u w:val="none"/>
                <w:lang w:val="en-US" w:eastAsia="zh-CN" w:bidi="ar"/>
              </w:rPr>
              <w:br w:type="textWrapping"/>
            </w:r>
            <w:r>
              <w:rPr>
                <w:rFonts w:hint="eastAsia" w:ascii="楷体_GB2312" w:hAnsi="宋体" w:eastAsia="楷体_GB2312" w:cs="楷体_GB2312"/>
                <w:i w:val="0"/>
                <w:color w:val="000000"/>
                <w:kern w:val="0"/>
                <w:sz w:val="16"/>
                <w:szCs w:val="16"/>
                <w:u w:val="none"/>
                <w:lang w:val="en-US" w:eastAsia="zh-CN" w:bidi="ar"/>
              </w:rPr>
              <w:t>（20分）</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20</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宋体" w:eastAsia="楷体_GB2312" w:cs="楷体_GB2312"/>
                <w:i w:val="0"/>
                <w:color w:val="000000"/>
                <w:sz w:val="16"/>
                <w:szCs w:val="16"/>
                <w:u w:val="none"/>
              </w:rPr>
            </w:pPr>
          </w:p>
        </w:tc>
        <w:tc>
          <w:tcPr>
            <w:tcW w:w="21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宋体" w:eastAsia="楷体_GB2312" w:cs="楷体_GB2312"/>
                <w:i w:val="0"/>
                <w:color w:val="000000"/>
                <w:sz w:val="16"/>
                <w:szCs w:val="16"/>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宋体" w:eastAsia="楷体_GB2312" w:cs="楷体_GB2312"/>
                <w:i w:val="0"/>
                <w:color w:val="000000"/>
                <w:sz w:val="16"/>
                <w:szCs w:val="16"/>
                <w:u w:val="none"/>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100%</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20</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shd w:val="clear" w:color="auto" w:fill="auto"/>
          <w:tblLayout w:type="fixed"/>
          <w:tblCellMar>
            <w:top w:w="0" w:type="dxa"/>
            <w:left w:w="0" w:type="dxa"/>
            <w:bottom w:w="0" w:type="dxa"/>
            <w:right w:w="0" w:type="dxa"/>
          </w:tblCellMar>
        </w:tblPrEx>
        <w:trPr>
          <w:trHeight w:val="880" w:hRule="atLeast"/>
          <w:jc w:val="center"/>
        </w:trPr>
        <w:tc>
          <w:tcPr>
            <w:tcW w:w="9330" w:type="dxa"/>
            <w:gridSpan w:val="12"/>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备注：1.“项目产出”和“项目效果”直接细化成部门年初绩效目标中的指标，并根据重要程度赋权。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c>
      </w:tr>
    </w:tbl>
    <w:p>
      <w:pPr>
        <w:rPr>
          <w:rFonts w:ascii="楷体" w:hAnsi="楷体" w:eastAsia="楷体" w:cs="楷体"/>
          <w:sz w:val="32"/>
          <w:szCs w:val="32"/>
        </w:rPr>
      </w:pPr>
    </w:p>
    <w:p>
      <w:pPr>
        <w:numPr>
          <w:ilvl w:val="0"/>
          <w:numId w:val="3"/>
        </w:numPr>
        <w:ind w:firstLine="640" w:firstLineChars="200"/>
        <w:rPr>
          <w:rFonts w:ascii="楷体" w:hAnsi="楷体" w:eastAsia="楷体" w:cs="楷体"/>
          <w:sz w:val="32"/>
          <w:szCs w:val="40"/>
        </w:rPr>
      </w:pPr>
      <w:r>
        <w:rPr>
          <w:rFonts w:hint="eastAsia" w:ascii="楷体" w:hAnsi="楷体" w:eastAsia="楷体" w:cs="楷体"/>
          <w:sz w:val="32"/>
          <w:szCs w:val="40"/>
        </w:rPr>
        <w:t>部门重点评价项目绩效评价结果。</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本部门2021年度未开展部门重点绩效评价。</w:t>
      </w:r>
    </w:p>
    <w:p>
      <w:pPr>
        <w:ind w:firstLine="640" w:firstLineChars="200"/>
        <w:rPr>
          <w:rFonts w:hint="eastAsia" w:ascii="仿宋" w:hAnsi="仿宋" w:eastAsia="仿宋" w:cs="仿宋"/>
          <w:sz w:val="32"/>
          <w:szCs w:val="40"/>
        </w:rPr>
      </w:pPr>
    </w:p>
    <w:p>
      <w:pPr>
        <w:ind w:firstLine="640" w:firstLineChars="200"/>
        <w:rPr>
          <w:rFonts w:hint="eastAsia" w:ascii="仿宋" w:hAnsi="仿宋" w:eastAsia="仿宋" w:cs="仿宋"/>
          <w:sz w:val="32"/>
          <w:szCs w:val="40"/>
        </w:rPr>
      </w:pPr>
    </w:p>
    <w:p>
      <w:pPr>
        <w:ind w:firstLine="640" w:firstLineChars="200"/>
        <w:rPr>
          <w:rFonts w:hint="eastAsia" w:ascii="仿宋" w:hAnsi="仿宋" w:eastAsia="仿宋" w:cs="仿宋"/>
          <w:sz w:val="32"/>
          <w:szCs w:val="40"/>
        </w:rPr>
      </w:pPr>
    </w:p>
    <w:p>
      <w:pPr>
        <w:ind w:firstLine="640" w:firstLineChars="200"/>
        <w:rPr>
          <w:rFonts w:hint="eastAsia" w:ascii="仿宋" w:hAnsi="仿宋" w:eastAsia="仿宋" w:cs="仿宋"/>
          <w:sz w:val="32"/>
          <w:szCs w:val="40"/>
        </w:rPr>
      </w:pPr>
    </w:p>
    <w:p>
      <w:pPr>
        <w:ind w:firstLine="640" w:firstLineChars="200"/>
        <w:rPr>
          <w:rFonts w:hint="eastAsia" w:ascii="仿宋" w:hAnsi="仿宋" w:eastAsia="仿宋" w:cs="仿宋"/>
          <w:sz w:val="32"/>
          <w:szCs w:val="40"/>
        </w:rPr>
      </w:pPr>
    </w:p>
    <w:p>
      <w:pPr>
        <w:ind w:firstLine="640" w:firstLineChars="200"/>
        <w:rPr>
          <w:rFonts w:hint="eastAsia" w:ascii="仿宋" w:hAnsi="仿宋" w:eastAsia="仿宋" w:cs="仿宋"/>
          <w:sz w:val="32"/>
          <w:szCs w:val="40"/>
        </w:rPr>
      </w:pPr>
    </w:p>
    <w:p>
      <w:pPr>
        <w:ind w:firstLine="640" w:firstLineChars="200"/>
        <w:rPr>
          <w:rFonts w:hint="eastAsia" w:ascii="仿宋" w:hAnsi="仿宋" w:eastAsia="仿宋" w:cs="仿宋"/>
          <w:sz w:val="32"/>
          <w:szCs w:val="40"/>
        </w:rPr>
      </w:pPr>
    </w:p>
    <w:p>
      <w:pPr>
        <w:ind w:firstLine="640" w:firstLineChars="200"/>
        <w:rPr>
          <w:rFonts w:hint="eastAsia" w:ascii="仿宋" w:hAnsi="仿宋" w:eastAsia="仿宋" w:cs="仿宋"/>
          <w:sz w:val="32"/>
          <w:szCs w:val="40"/>
        </w:rPr>
      </w:pPr>
    </w:p>
    <w:p>
      <w:pPr>
        <w:ind w:firstLine="640" w:firstLineChars="200"/>
        <w:rPr>
          <w:rFonts w:hint="eastAsia" w:ascii="仿宋" w:hAnsi="仿宋" w:eastAsia="仿宋" w:cs="仿宋"/>
          <w:sz w:val="32"/>
          <w:szCs w:val="40"/>
        </w:rPr>
      </w:pPr>
    </w:p>
    <w:p>
      <w:pPr>
        <w:ind w:firstLine="640" w:firstLineChars="200"/>
        <w:rPr>
          <w:rFonts w:hint="eastAsia" w:ascii="仿宋" w:hAnsi="仿宋" w:eastAsia="仿宋" w:cs="仿宋"/>
          <w:sz w:val="32"/>
          <w:szCs w:val="40"/>
        </w:rPr>
      </w:pPr>
    </w:p>
    <w:p>
      <w:pPr>
        <w:rPr>
          <w:rFonts w:hint="eastAsia" w:ascii="仿宋" w:hAnsi="仿宋" w:eastAsia="仿宋" w:cs="仿宋"/>
          <w:sz w:val="32"/>
          <w:szCs w:val="40"/>
        </w:rPr>
      </w:pPr>
    </w:p>
    <w:p>
      <w:pPr>
        <w:ind w:firstLine="640" w:firstLineChars="200"/>
        <w:rPr>
          <w:rFonts w:hint="eastAsia" w:ascii="仿宋" w:hAnsi="仿宋" w:eastAsia="仿宋" w:cs="仿宋"/>
          <w:sz w:val="32"/>
          <w:szCs w:val="40"/>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第四部分 专业名词解释</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楷体" w:hAnsi="楷体" w:eastAsia="楷体" w:cs="楷体"/>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楷体" w:hAnsi="楷体" w:eastAsia="楷体" w:cs="楷体"/>
          <w:sz w:val="32"/>
          <w:szCs w:val="32"/>
        </w:rPr>
        <w:t>4.财政拨款收入：</w:t>
      </w:r>
      <w:r>
        <w:rPr>
          <w:rFonts w:hint="eastAsia" w:ascii="仿宋_GB2312" w:hAnsi="仿宋_GB2312" w:eastAsia="仿宋_GB2312" w:cs="仿宋_GB2312"/>
          <w:sz w:val="32"/>
          <w:szCs w:val="32"/>
        </w:rPr>
        <w:t>指本级财政当年拨付的资金。</w:t>
      </w:r>
    </w:p>
    <w:p>
      <w:pPr>
        <w:ind w:firstLine="640"/>
        <w:rPr>
          <w:rFonts w:ascii="仿宋_GB2312" w:hAnsi="仿宋_GB2312" w:eastAsia="仿宋_GB2312" w:cs="仿宋_GB2312"/>
          <w:sz w:val="32"/>
          <w:szCs w:val="32"/>
        </w:rPr>
      </w:pPr>
      <w:r>
        <w:rPr>
          <w:rFonts w:hint="eastAsia" w:ascii="楷体" w:hAnsi="楷体" w:eastAsia="楷体" w:cs="楷体"/>
          <w:sz w:val="32"/>
          <w:szCs w:val="32"/>
        </w:rPr>
        <w:t>5.公用经费：</w:t>
      </w:r>
      <w:r>
        <w:rPr>
          <w:rFonts w:hint="eastAsia" w:ascii="仿宋_GB2312" w:hAnsi="仿宋_GB2312" w:eastAsia="仿宋_GB2312" w:cs="仿宋_GB2312"/>
          <w:sz w:val="32"/>
          <w:szCs w:val="32"/>
        </w:rPr>
        <w:t>指为完成特定的行政工作任务或事业发展目标用于设备设施的维持性费用支出，以及直接用于公务活动的支出，具体包括公务费、业务费、修缮费、设备购置费、其他费用等。</w:t>
      </w:r>
    </w:p>
    <w:p>
      <w:pPr>
        <w:ind w:firstLine="640"/>
        <w:rPr>
          <w:rFonts w:ascii="仿宋_GB2312" w:hAnsi="仿宋_GB2312" w:eastAsia="仿宋_GB2312" w:cs="仿宋_GB2312"/>
          <w:sz w:val="32"/>
          <w:szCs w:val="32"/>
        </w:rPr>
      </w:pPr>
      <w:r>
        <w:rPr>
          <w:rFonts w:hint="eastAsia" w:ascii="楷体" w:hAnsi="楷体" w:eastAsia="楷体" w:cs="楷体"/>
          <w:sz w:val="32"/>
          <w:szCs w:val="32"/>
        </w:rPr>
        <w:t>6.工资福利支出：</w:t>
      </w:r>
      <w:r>
        <w:rPr>
          <w:rFonts w:hint="eastAsia" w:ascii="仿宋_GB2312" w:hAnsi="仿宋_GB2312" w:eastAsia="仿宋_GB2312" w:cs="仿宋_GB2312"/>
          <w:sz w:val="32"/>
          <w:szCs w:val="32"/>
        </w:rPr>
        <w:t>反映开支的在职职工和编制外长期聘用人员的各类劳动报酬，以及上述人员缴纳的各项社会保险费等。</w:t>
      </w:r>
    </w:p>
    <w:p>
      <w:pPr>
        <w:ind w:firstLine="640"/>
        <w:rPr>
          <w:rFonts w:ascii="仿宋_GB2312" w:hAnsi="仿宋_GB2312" w:eastAsia="仿宋_GB2312" w:cs="仿宋_GB2312"/>
          <w:sz w:val="32"/>
          <w:szCs w:val="32"/>
        </w:rPr>
      </w:pPr>
      <w:r>
        <w:rPr>
          <w:rFonts w:hint="eastAsia" w:ascii="楷体" w:hAnsi="楷体" w:eastAsia="楷体" w:cs="楷体"/>
          <w:sz w:val="32"/>
          <w:szCs w:val="32"/>
        </w:rPr>
        <w:t>7.结转资金</w:t>
      </w:r>
      <w:r>
        <w:rPr>
          <w:rFonts w:hint="eastAsia" w:ascii="仿宋_GB2312" w:hAnsi="仿宋_GB2312" w:eastAsia="仿宋_GB2312" w:cs="仿宋_GB2312"/>
          <w:sz w:val="32"/>
          <w:szCs w:val="32"/>
        </w:rPr>
        <w:t>：即当年预算已执行但未完成，或者因故未执行，下一年度需要按原用途继续使用的资金。</w:t>
      </w:r>
    </w:p>
    <w:p>
      <w:pPr>
        <w:ind w:firstLine="640"/>
        <w:rPr>
          <w:rFonts w:ascii="仿宋_GB2312" w:hAnsi="仿宋_GB2312" w:eastAsia="仿宋_GB2312" w:cs="仿宋_GB2312"/>
          <w:sz w:val="32"/>
          <w:szCs w:val="32"/>
        </w:rPr>
      </w:pPr>
      <w:r>
        <w:rPr>
          <w:rFonts w:hint="eastAsia" w:ascii="楷体" w:hAnsi="楷体" w:eastAsia="楷体" w:cs="楷体"/>
          <w:sz w:val="32"/>
          <w:szCs w:val="32"/>
        </w:rPr>
        <w:t>8.结余资金</w:t>
      </w:r>
      <w:r>
        <w:rPr>
          <w:rFonts w:hint="eastAsia" w:ascii="仿宋_GB2312" w:hAnsi="仿宋_GB2312" w:eastAsia="仿宋_GB2312" w:cs="仿宋_GB2312"/>
          <w:sz w:val="32"/>
          <w:szCs w:val="32"/>
        </w:rPr>
        <w:t>：即当年预算工作目标已完成，或者因故终止，当年剩余的资金。</w:t>
      </w:r>
    </w:p>
    <w:sectPr>
      <w:footerReference r:id="rId4" w:type="default"/>
      <w:pgSz w:w="11906" w:h="16838"/>
      <w:pgMar w:top="1440" w:right="1800" w:bottom="1440" w:left="1800" w:header="851" w:footer="992" w:gutter="0"/>
      <w:pgNumType w:start="1"/>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 w:val="clear" w:pos="8306"/>
      </w:tabs>
    </w:pPr>
    <w:r>
      <w:pict>
        <v:rect id="Image1" o:spid="_x0000_s2050" o:spt="1"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Ll1uVLQAAAABQEAAA8AAAAAAAAAAQAgAAAAIgAAAGRycy9kb3ducmV2LnhtbFBL&#10;AQIUABQAAAAIAIdO4kAJl7jfjAEAABwDAAAOAAAAAAAAAAEAIAAAAB8BAABkcnMvZTJvRG9jLnht&#10;bFBLBQYAAAAABgAGAFkBAAAdBQAAAAA=&#10;">
          <v:path/>
          <v:fill on="f" focussize="0,0"/>
          <v:stroke on="f"/>
          <v:imagedata o:title=""/>
          <o:lock v:ext="edit"/>
          <v:textbox inset="0mm,0mm,0mm,0mm" style="mso-fit-shape-to-text:t;">
            <w:txbxContent>
              <w:p>
                <w:pPr>
                  <w:pStyle w:val="5"/>
                  <w:tabs>
                    <w:tab w:val="clear" w:pos="4153"/>
                    <w:tab w:val="clear" w:pos="8306"/>
                  </w:tabs>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 w:val="clear" w:pos="8306"/>
      </w:tabs>
    </w:pPr>
    <w:r>
      <w:pict>
        <v:rect id="_x0000_s2049" o:spid="_x0000_s2049" o:spt="1" style="position:absolute;left:0pt;margin-left:191.7pt;margin-top:0pt;height:13.25pt;width:52.7pt;mso-position-horizontal-relative:margin;z-index:251658240;mso-width-relative:page;mso-height-relative:page;" filled="f" stroked="f" coordsize="21600,21600" o:gfxdata="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">
          <v:path/>
          <v:fill on="f" focussize="0,0"/>
          <v:stroke on="f"/>
          <v:imagedata o:title=""/>
          <o:lock v:ext="edit"/>
          <v:textbox inset="0mm,0mm,0mm,0mm">
            <w:txbxContent>
              <w:p>
                <w:pPr>
                  <w:pStyle w:val="5"/>
                  <w:tabs>
                    <w:tab w:val="clear" w:pos="4153"/>
                    <w:tab w:val="clear" w:pos="8306"/>
                  </w:tabs>
                </w:pP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t>27</w:t>
                </w:r>
                <w:r>
                  <w:rPr>
                    <w:rFonts w:hint="eastAsia" w:ascii="宋体" w:hAnsi="宋体" w:cs="宋体"/>
                    <w:sz w:val="24"/>
                  </w:rPr>
                  <w:fldChar w:fldCharType="end"/>
                </w:r>
                <w:r>
                  <w:rPr>
                    <w:rFonts w:hint="eastAsia" w:ascii="宋体" w:hAnsi="宋体" w:cs="宋体"/>
                    <w:sz w:val="24"/>
                  </w:rPr>
                  <w:t>—</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singleLevel"/>
    <w:tmpl w:val="B5E306ED"/>
    <w:lvl w:ilvl="0" w:tentative="0">
      <w:start w:val="8"/>
      <w:numFmt w:val="chineseCounting"/>
      <w:suff w:val="nothing"/>
      <w:lvlText w:val="%1、"/>
      <w:lvlJc w:val="left"/>
      <w:rPr>
        <w:rFonts w:hint="eastAsia"/>
      </w:rPr>
    </w:lvl>
  </w:abstractNum>
  <w:abstractNum w:abstractNumId="1">
    <w:nsid w:val="E6D2C9D1"/>
    <w:multiLevelType w:val="singleLevel"/>
    <w:tmpl w:val="E6D2C9D1"/>
    <w:lvl w:ilvl="0" w:tentative="0">
      <w:start w:val="2"/>
      <w:numFmt w:val="chineseCounting"/>
      <w:suff w:val="nothing"/>
      <w:lvlText w:val="（%1）"/>
      <w:lvlJc w:val="left"/>
      <w:rPr>
        <w:rFonts w:hint="eastAsia"/>
      </w:rPr>
    </w:lvl>
  </w:abstractNum>
  <w:abstractNum w:abstractNumId="2">
    <w:nsid w:val="00000001"/>
    <w:multiLevelType w:val="singleLevel"/>
    <w:tmpl w:val="00000001"/>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doNotTrackMoves/>
  <w:doNotTrackFormatting/>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EyZTFlOGIwZjI4ZDAwYTZiMTNlNDkwNDc4OTNiZTAifQ=="/>
  </w:docVars>
  <w:rsids>
    <w:rsidRoot w:val="001E5A70"/>
    <w:rsid w:val="0007037D"/>
    <w:rsid w:val="0011394E"/>
    <w:rsid w:val="001E5A70"/>
    <w:rsid w:val="008F74F1"/>
    <w:rsid w:val="02E258FE"/>
    <w:rsid w:val="035B64EC"/>
    <w:rsid w:val="05BD3E7F"/>
    <w:rsid w:val="069F71AE"/>
    <w:rsid w:val="06EF34D2"/>
    <w:rsid w:val="07300196"/>
    <w:rsid w:val="09001331"/>
    <w:rsid w:val="09286152"/>
    <w:rsid w:val="0D225ADB"/>
    <w:rsid w:val="0DC2373A"/>
    <w:rsid w:val="0E1B2DD8"/>
    <w:rsid w:val="0E8F4DB8"/>
    <w:rsid w:val="0F6F677C"/>
    <w:rsid w:val="0F9250F3"/>
    <w:rsid w:val="0FC37291"/>
    <w:rsid w:val="102E6DAD"/>
    <w:rsid w:val="115A3462"/>
    <w:rsid w:val="11E63CE2"/>
    <w:rsid w:val="139B7C72"/>
    <w:rsid w:val="13F66A11"/>
    <w:rsid w:val="14215CA5"/>
    <w:rsid w:val="16656CC3"/>
    <w:rsid w:val="17C26BE9"/>
    <w:rsid w:val="183C4302"/>
    <w:rsid w:val="184776F7"/>
    <w:rsid w:val="18484D6B"/>
    <w:rsid w:val="19A259EE"/>
    <w:rsid w:val="19BC51D5"/>
    <w:rsid w:val="1C6E30E2"/>
    <w:rsid w:val="1CE634C7"/>
    <w:rsid w:val="1E490E28"/>
    <w:rsid w:val="1F1F44BF"/>
    <w:rsid w:val="20656E21"/>
    <w:rsid w:val="20AF0F71"/>
    <w:rsid w:val="240353AA"/>
    <w:rsid w:val="24233740"/>
    <w:rsid w:val="246E7596"/>
    <w:rsid w:val="2481179A"/>
    <w:rsid w:val="25E23642"/>
    <w:rsid w:val="27BD5A00"/>
    <w:rsid w:val="293F05DC"/>
    <w:rsid w:val="29885CC3"/>
    <w:rsid w:val="2B6E0E30"/>
    <w:rsid w:val="2BA26DC1"/>
    <w:rsid w:val="2F594B16"/>
    <w:rsid w:val="300364B6"/>
    <w:rsid w:val="310B6750"/>
    <w:rsid w:val="31262BDE"/>
    <w:rsid w:val="32B721BE"/>
    <w:rsid w:val="334C0FD9"/>
    <w:rsid w:val="34D106FA"/>
    <w:rsid w:val="35621245"/>
    <w:rsid w:val="372B1983"/>
    <w:rsid w:val="37407091"/>
    <w:rsid w:val="399A340E"/>
    <w:rsid w:val="3A2941F1"/>
    <w:rsid w:val="3A711F57"/>
    <w:rsid w:val="3C4B428B"/>
    <w:rsid w:val="3D5619ED"/>
    <w:rsid w:val="3DCF27B7"/>
    <w:rsid w:val="3DD67839"/>
    <w:rsid w:val="3E02764F"/>
    <w:rsid w:val="3E061DAF"/>
    <w:rsid w:val="3ECC4BC0"/>
    <w:rsid w:val="3ED01A0E"/>
    <w:rsid w:val="3F69607E"/>
    <w:rsid w:val="3F732C3F"/>
    <w:rsid w:val="4083764F"/>
    <w:rsid w:val="427C64C0"/>
    <w:rsid w:val="42DC1E53"/>
    <w:rsid w:val="42FE3516"/>
    <w:rsid w:val="43392D8A"/>
    <w:rsid w:val="43D84E3E"/>
    <w:rsid w:val="44CA7363"/>
    <w:rsid w:val="45650AB4"/>
    <w:rsid w:val="48271ECE"/>
    <w:rsid w:val="485C24DE"/>
    <w:rsid w:val="48EA72E5"/>
    <w:rsid w:val="49AD444C"/>
    <w:rsid w:val="4D227FB3"/>
    <w:rsid w:val="4D3C6DED"/>
    <w:rsid w:val="4D7C5C45"/>
    <w:rsid w:val="4DF566CE"/>
    <w:rsid w:val="4E293384"/>
    <w:rsid w:val="4FE34EA7"/>
    <w:rsid w:val="50351E12"/>
    <w:rsid w:val="50511D4A"/>
    <w:rsid w:val="50C67F97"/>
    <w:rsid w:val="511634F5"/>
    <w:rsid w:val="538665C3"/>
    <w:rsid w:val="56515A59"/>
    <w:rsid w:val="56963CC4"/>
    <w:rsid w:val="573829FA"/>
    <w:rsid w:val="579633BF"/>
    <w:rsid w:val="59947592"/>
    <w:rsid w:val="5A4061CC"/>
    <w:rsid w:val="5AA46CC9"/>
    <w:rsid w:val="5AE912CA"/>
    <w:rsid w:val="5B802036"/>
    <w:rsid w:val="5C23638F"/>
    <w:rsid w:val="5C6207D1"/>
    <w:rsid w:val="5CB768BC"/>
    <w:rsid w:val="5D805F34"/>
    <w:rsid w:val="5E9F2DBB"/>
    <w:rsid w:val="5F9F0CA8"/>
    <w:rsid w:val="617041D4"/>
    <w:rsid w:val="61A77766"/>
    <w:rsid w:val="61AA7607"/>
    <w:rsid w:val="631B0285"/>
    <w:rsid w:val="63EB45A7"/>
    <w:rsid w:val="65A57CEA"/>
    <w:rsid w:val="67F23CA7"/>
    <w:rsid w:val="688442D3"/>
    <w:rsid w:val="690B7A33"/>
    <w:rsid w:val="6A002BE3"/>
    <w:rsid w:val="6B251DE4"/>
    <w:rsid w:val="6B2C182A"/>
    <w:rsid w:val="6C5E76D7"/>
    <w:rsid w:val="6D233961"/>
    <w:rsid w:val="6F382CBA"/>
    <w:rsid w:val="70166204"/>
    <w:rsid w:val="71263BA3"/>
    <w:rsid w:val="71EB0486"/>
    <w:rsid w:val="74071D6F"/>
    <w:rsid w:val="748932FE"/>
    <w:rsid w:val="750E28EF"/>
    <w:rsid w:val="759202A3"/>
    <w:rsid w:val="76B14BFA"/>
    <w:rsid w:val="77E64BDC"/>
    <w:rsid w:val="79B8781A"/>
    <w:rsid w:val="7AA2605F"/>
    <w:rsid w:val="7B643EE4"/>
    <w:rsid w:val="7B9C79CB"/>
    <w:rsid w:val="7C7F5B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qFormat/>
    <w:uiPriority w:val="0"/>
    <w:rPr>
      <w:b/>
      <w:bCs/>
    </w:rPr>
  </w:style>
  <w:style w:type="paragraph" w:styleId="3">
    <w:name w:val="annotation text"/>
    <w:basedOn w:val="1"/>
    <w:link w:val="1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文字 Char"/>
    <w:basedOn w:val="7"/>
    <w:link w:val="3"/>
    <w:qFormat/>
    <w:uiPriority w:val="0"/>
    <w:rPr>
      <w:rFonts w:ascii="Calibri" w:hAnsi="Calibri" w:cs="黑体"/>
      <w:kern w:val="2"/>
      <w:sz w:val="21"/>
      <w:szCs w:val="24"/>
    </w:rPr>
  </w:style>
  <w:style w:type="character" w:customStyle="1" w:styleId="12">
    <w:name w:val="批注框文本 Char"/>
    <w:basedOn w:val="7"/>
    <w:link w:val="4"/>
    <w:qFormat/>
    <w:uiPriority w:val="0"/>
    <w:rPr>
      <w:rFonts w:ascii="Calibri" w:hAnsi="Calibri" w:cs="黑体"/>
      <w:kern w:val="2"/>
      <w:sz w:val="18"/>
      <w:szCs w:val="18"/>
    </w:rPr>
  </w:style>
  <w:style w:type="character" w:customStyle="1" w:styleId="13">
    <w:name w:val="批注主题 Char"/>
    <w:basedOn w:val="11"/>
    <w:link w:val="2"/>
    <w:qFormat/>
    <w:uiPriority w:val="0"/>
    <w:rPr>
      <w:rFonts w:ascii="Calibri" w:hAnsi="Calibri" w:cs="黑体"/>
      <w:b/>
      <w:bCs/>
      <w:kern w:val="2"/>
      <w:sz w:val="21"/>
      <w:szCs w:val="24"/>
    </w:rPr>
  </w:style>
  <w:style w:type="character" w:customStyle="1" w:styleId="14">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chart" Target="charts/chart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3.emf"/><Relationship Id="rId36" Type="http://schemas.openxmlformats.org/officeDocument/2006/relationships/oleObject" Target="embeddings/oleObject13.bin"/><Relationship Id="rId35" Type="http://schemas.openxmlformats.org/officeDocument/2006/relationships/chart" Target="charts/chart6.xml"/><Relationship Id="rId34" Type="http://schemas.openxmlformats.org/officeDocument/2006/relationships/chart" Target="charts/chart5.xml"/><Relationship Id="rId33" Type="http://schemas.openxmlformats.org/officeDocument/2006/relationships/chart" Target="charts/chart4.xml"/><Relationship Id="rId32" Type="http://schemas.openxmlformats.org/officeDocument/2006/relationships/chart" Target="charts/chart3.xml"/><Relationship Id="rId31" Type="http://schemas.openxmlformats.org/officeDocument/2006/relationships/chart" Target="charts/chart2.xml"/><Relationship Id="rId30" Type="http://schemas.openxmlformats.org/officeDocument/2006/relationships/image" Target="media/image12.emf"/><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image" Target="media/image11.emf"/><Relationship Id="rId27" Type="http://schemas.openxmlformats.org/officeDocument/2006/relationships/oleObject" Target="embeddings/oleObject11.bin"/><Relationship Id="rId26" Type="http://schemas.openxmlformats.org/officeDocument/2006/relationships/image" Target="media/image10.emf"/><Relationship Id="rId25" Type="http://schemas.openxmlformats.org/officeDocument/2006/relationships/oleObject" Target="embeddings/oleObject10.bin"/><Relationship Id="rId24" Type="http://schemas.openxmlformats.org/officeDocument/2006/relationships/image" Target="media/image9.emf"/><Relationship Id="rId23" Type="http://schemas.openxmlformats.org/officeDocument/2006/relationships/oleObject" Target="embeddings/oleObject9.bin"/><Relationship Id="rId22" Type="http://schemas.openxmlformats.org/officeDocument/2006/relationships/image" Target="media/image8.emf"/><Relationship Id="rId21" Type="http://schemas.openxmlformats.org/officeDocument/2006/relationships/oleObject" Target="embeddings/oleObject8.bin"/><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人员情况图</a:t>
            </a:r>
          </a:p>
        </c:rich>
      </c:tx>
      <c:layout/>
      <c:overlay val="0"/>
      <c:spPr>
        <a:noFill/>
        <a:ln>
          <a:noFill/>
        </a:ln>
        <a:effectLst/>
      </c:spPr>
    </c:title>
    <c:autoTitleDeleted val="0"/>
    <c:plotArea>
      <c:layout>
        <c:manualLayout>
          <c:layoutTarget val="inner"/>
          <c:xMode val="edge"/>
          <c:yMode val="edge"/>
          <c:x val="0.057825"/>
          <c:y val="0.1245"/>
          <c:w val="0.91655"/>
          <c:h val="0.7529"/>
        </c:manualLayout>
      </c:layout>
      <c:barChart>
        <c:barDir val="col"/>
        <c:grouping val="stack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Sheet1!$A$2:$A$5</c:f>
              <c:strCache>
                <c:ptCount val="4"/>
                <c:pt idx="0">
                  <c:v>专业技术人员</c:v>
                </c:pt>
                <c:pt idx="1">
                  <c:v>管理人员</c:v>
                </c:pt>
                <c:pt idx="2">
                  <c:v>工勤人员</c:v>
                </c:pt>
                <c:pt idx="3">
                  <c:v>退休人员</c:v>
                </c:pt>
              </c:strCache>
            </c:strRef>
          </c:cat>
          <c:val>
            <c:numRef>
              <c:f>Sheet1!$B$2:$B$5</c:f>
              <c:numCache>
                <c:formatCode>General</c:formatCode>
                <c:ptCount val="4"/>
                <c:pt idx="0">
                  <c:v>19</c:v>
                </c:pt>
                <c:pt idx="1">
                  <c:v>1</c:v>
                </c:pt>
                <c:pt idx="2">
                  <c:v>5</c:v>
                </c:pt>
                <c:pt idx="3">
                  <c:v>21</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Sheet1!$A$2:$A$5</c:f>
              <c:strCache>
                <c:ptCount val="4"/>
                <c:pt idx="0">
                  <c:v>专业技术人员</c:v>
                </c:pt>
                <c:pt idx="1">
                  <c:v>管理人员</c:v>
                </c:pt>
                <c:pt idx="2">
                  <c:v>工勤人员</c:v>
                </c:pt>
                <c:pt idx="3">
                  <c:v>退休人员</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专业技术人员</c:v>
                </c:pt>
                <c:pt idx="1">
                  <c:v>管理人员</c:v>
                </c:pt>
                <c:pt idx="2">
                  <c:v>工勤人员</c:v>
                </c:pt>
                <c:pt idx="3">
                  <c:v>退休人员</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150"/>
        <c:overlap val="100"/>
        <c:axId val="143597568"/>
        <c:axId val="143599488"/>
      </c:barChart>
      <c:catAx>
        <c:axId val="14359756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3599488"/>
        <c:crosses val="autoZero"/>
        <c:auto val="1"/>
        <c:lblAlgn val="ctr"/>
        <c:lblOffset val="100"/>
        <c:noMultiLvlLbl val="0"/>
      </c:catAx>
      <c:valAx>
        <c:axId val="143599488"/>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3597568"/>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年度收支同比分析情况</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306.77</c:v>
                </c:pt>
                <c:pt idx="1">
                  <c:v>321.1</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286.9</c:v>
                </c:pt>
                <c:pt idx="1">
                  <c:v>292.02</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axId val="123618432"/>
        <c:axId val="123619968"/>
      </c:barChart>
      <c:catAx>
        <c:axId val="12361843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3619968"/>
        <c:crosses val="autoZero"/>
        <c:auto val="1"/>
        <c:lblAlgn val="ctr"/>
        <c:lblOffset val="100"/>
        <c:noMultiLvlLbl val="0"/>
      </c:catAx>
      <c:valAx>
        <c:axId val="1236199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361843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2021年收入结构图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其他收入</c:v>
                </c:pt>
              </c:strCache>
            </c:strRef>
          </c:cat>
          <c:val>
            <c:numRef>
              <c:f>Sheet1!$B$2:$B$3</c:f>
              <c:numCache>
                <c:formatCode>General</c:formatCode>
                <c:ptCount val="2"/>
                <c:pt idx="0">
                  <c:v>304.97</c:v>
                </c:pt>
                <c:pt idx="1">
                  <c:v>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2021年支出结构图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290.13</c:v>
                </c:pt>
                <c:pt idx="1">
                  <c:v>30.97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年度财政拨款收支同比分析情况</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304.97</c:v>
                </c:pt>
                <c:pt idx="1">
                  <c:v>319.3</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270.25</c:v>
                </c:pt>
                <c:pt idx="1">
                  <c:v>275.37</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150"/>
        <c:axId val="128786432"/>
        <c:axId val="128787968"/>
      </c:barChart>
      <c:catAx>
        <c:axId val="12878643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787968"/>
        <c:crosses val="autoZero"/>
        <c:auto val="1"/>
        <c:lblAlgn val="ctr"/>
        <c:lblOffset val="100"/>
        <c:noMultiLvlLbl val="0"/>
      </c:catAx>
      <c:valAx>
        <c:axId val="1287879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78643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2021年财政拨款支出结构图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事业运行</c:v>
                </c:pt>
                <c:pt idx="1">
                  <c:v>科技转化与推广服务</c:v>
                </c:pt>
                <c:pt idx="2">
                  <c:v>防灾救灾</c:v>
                </c:pt>
              </c:strCache>
            </c:strRef>
          </c:cat>
          <c:val>
            <c:numRef>
              <c:f>Sheet1!$B$2:$B$4</c:f>
              <c:numCache>
                <c:formatCode>General</c:formatCode>
                <c:ptCount val="3"/>
                <c:pt idx="0">
                  <c:v>288.33</c:v>
                </c:pt>
                <c:pt idx="1">
                  <c:v>24</c:v>
                </c:pt>
                <c:pt idx="2">
                  <c:v>6.97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995</Words>
  <Characters>5676</Characters>
  <Lines>47</Lines>
  <Paragraphs>13</Paragraphs>
  <TotalTime>36</TotalTime>
  <ScaleCrop>false</ScaleCrop>
  <LinksUpToDate>false</LinksUpToDate>
  <CharactersWithSpaces>6658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2020-07-23T17:23:00Z</dcterms:created>
  <dc:creator>Administrator</dc:creator>
  <cp:lastModifiedBy>Administrator</cp:lastModifiedBy>
  <cp:lastPrinted>2022-07-26T17:30:00Z</cp:lastPrinted>
  <dcterms:modified xsi:type="dcterms:W3CDTF">2023-03-15T07:14:31Z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9A12013AD27A4DB4B2B93ADD2B4AE959</vt:lpwstr>
  </property>
</Properties>
</file>