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52"/>
          <w:szCs w:val="52"/>
        </w:rPr>
      </w:pPr>
      <w:r>
        <w:rPr>
          <w:rFonts w:hint="default" w:ascii="方正小标宋简体" w:hAnsi="方正小标宋简体" w:cs="方正小标宋简体"/>
          <w:b w:val="0"/>
          <w:bCs w:val="0"/>
          <w:sz w:val="52"/>
          <w:szCs w:val="52"/>
          <w:lang w:val="en-US"/>
        </w:rPr>
        <w:t>镇坪县</w:t>
      </w:r>
      <w:r>
        <w:rPr>
          <w:rFonts w:hint="eastAsia" w:ascii="方正小标宋简体" w:hAnsi="方正小标宋简体" w:cs="方正小标宋简体"/>
          <w:b w:val="0"/>
          <w:bCs w:val="0"/>
          <w:sz w:val="52"/>
          <w:szCs w:val="52"/>
          <w:lang w:val="en-US" w:eastAsia="zh-CN"/>
        </w:rPr>
        <w:t>乡村振兴局</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eastAsia="宋体" w:cs="宋体"/>
          <w:b/>
          <w:bCs/>
          <w:sz w:val="32"/>
          <w:szCs w:val="32"/>
        </w:rPr>
        <w:t>保密审查情况：</w:t>
      </w:r>
      <w:r>
        <w:rPr>
          <w:rFonts w:hint="eastAsia" w:ascii="宋体" w:hAnsi="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巩固拓展脱贫攻坚成果同乡村振兴有效衔接领导小组的日常工作；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研究巩固拓展脱贫攻坚成果同乡村振兴有效衔接重大问题，拟定政策、规划并组织实施，指导推进各成员单位、各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落实巩固拓展脱贫攻坚成果同乡村振兴有效衔接的具体工作；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协调组织各专项工作组、各行业部门落实巩固拓展脱贫攻坚成果同乡村振兴有效衔接具体工作；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统筹协调保持过渡期内主要帮扶政策稳定；</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组织开展防止返贫监测和帮扶工作；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协调组织党政机关、企事业单位、群团、民营企业、社会组织等社会各界参与巩固拓展脱贫攻坚成果同乡村振兴有效衔接帮扶工作，承担中省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定点帮扶和东西部协作衔接协调、服务保障工作，配合做好驻村第一书记和工作队选派管理工作；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督导检查责任落实、政策落实、工作落实和成效巩固，开展巩固脱贫成果后评估和实施乡村振兴战略实绩考核工作；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组织对巩固拓展脱贫攻坚成果进行统计监测、分析预警，负责巩固拓展脱贫攻坚成果同乡村振兴有效衔接信息监测系统建设管理，指导乡村振兴系统做好信息化工作；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协调组织财政专项资金分配、监管和绩效评价，统筹加强扶贫项目资产管理，指导巩固拓展脱贫攻坚成果同乡村振兴项目库建设管理；</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组织开展巩固拓展脱贫攻坚成果同乡村振兴有效衔接宣传引导、教育培训、调查研究及表彰奖励工作；</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巩固拓展脱贫攻坚成果同乡村振兴有效衔接领导小组交办的其它事项；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政府和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委农村工作领导小组（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委实施乡村振兴战略领导小组）、</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乡村振兴局交办的其它任务。</w:t>
      </w:r>
    </w:p>
    <w:p>
      <w:pPr>
        <w:widowControl/>
        <w:ind w:firstLine="640" w:firstLineChars="200"/>
        <w:jc w:val="left"/>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rPr>
        <w:t>（二）内设机构</w:t>
      </w:r>
      <w:r>
        <w:rPr>
          <w:rFonts w:hint="eastAsia" w:ascii="楷体" w:hAnsi="楷体" w:eastAsia="楷体" w:cs="楷体"/>
          <w:b w:val="0"/>
          <w:bCs w:val="0"/>
          <w:color w:val="000000"/>
          <w:kern w:val="0"/>
          <w:sz w:val="32"/>
          <w:szCs w:val="32"/>
          <w:lang w:eastAsia="zh-CN"/>
        </w:rPr>
        <w:t>。</w:t>
      </w:r>
    </w:p>
    <w:p>
      <w:pPr>
        <w:widowControl/>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镇坪县</w:t>
      </w:r>
      <w:r>
        <w:rPr>
          <w:rFonts w:hint="eastAsia" w:ascii="仿宋_GB2312" w:hAnsi="仿宋_GB2312" w:eastAsia="仿宋_GB2312" w:cs="仿宋_GB2312"/>
          <w:sz w:val="32"/>
          <w:szCs w:val="32"/>
          <w:lang w:val="en-US" w:eastAsia="zh-CN"/>
        </w:rPr>
        <w:t>乡村振兴局属于政府组成部门，行政单位</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镇坪县巩固拓展脱贫攻坚成果同乡村振兴有效衔接领导小组办公室</w:t>
      </w:r>
      <w:r>
        <w:rPr>
          <w:rFonts w:hint="eastAsia" w:ascii="仿宋_GB2312" w:hAnsi="仿宋_GB2312" w:eastAsia="仿宋_GB2312" w:cs="仿宋_GB2312"/>
          <w:sz w:val="32"/>
          <w:szCs w:val="32"/>
          <w:lang w:eastAsia="zh-CN"/>
        </w:rPr>
        <w:t>“两块牌子、一套人马”合署办公，实行办（局）、组一体化运行机制，局下设</w:t>
      </w:r>
      <w:r>
        <w:rPr>
          <w:rFonts w:hint="eastAsia" w:ascii="仿宋_GB2312" w:hAnsi="仿宋_GB2312" w:eastAsia="仿宋_GB2312" w:cs="仿宋_GB2312"/>
          <w:sz w:val="32"/>
          <w:szCs w:val="32"/>
          <w:lang w:val="en-US" w:eastAsia="zh-CN"/>
        </w:rPr>
        <w:t>8个工作组，即：综合协调组、业务指导组、行业推进组、社会帮扶组、督导督查组、考评考核组、宣传示范组、信息监测组。</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综合协调组。协调机关政务、事务、会务工作；负责巩固拓展脱贫攻坚成果同乡村振兴有效衔接综合性材料起草工作，制定并组织实施机关各项规章制度；牵头负责机关党的建设及党风廉政工作；组织办理人大代表建议、政协委员提案答复工作；负责机关教育培训、后勤保障、离退休人员服务管理、综合治理、环境卫生、车辆管理、安全保卫和对外联络等工作；负责政务公开、网络安全、</w:t>
      </w:r>
      <w:r>
        <w:rPr>
          <w:rFonts w:hint="eastAsia" w:ascii="仿宋_GB2312" w:hAnsi="仿宋_GB2312" w:eastAsia="仿宋_GB2312" w:cs="仿宋_GB2312"/>
          <w:sz w:val="32"/>
          <w:szCs w:val="32"/>
          <w:lang w:val="en-US" w:eastAsia="zh-CN"/>
        </w:rPr>
        <w:t>城市创建</w:t>
      </w:r>
      <w:r>
        <w:rPr>
          <w:rFonts w:hint="eastAsia" w:ascii="仿宋_GB2312" w:hAnsi="仿宋_GB2312" w:eastAsia="仿宋_GB2312" w:cs="仿宋_GB2312"/>
          <w:sz w:val="32"/>
          <w:szCs w:val="32"/>
          <w:lang w:eastAsia="zh-CN"/>
        </w:rPr>
        <w:t>等中心工作；完成领导交办的其它事项。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业务指导组。负责巩固拓展脱贫攻坚成果同乡村振兴有效衔接规划编制、项目库建设管理、组织实施工作；组织开展财政专项资金分配、监管、绩效评价和扶贫资产项目管理工作；协调推动金融支持巩固拓展脱贫攻坚成果和乡村振兴工作；承担巩固拓展脱贫攻坚成果同乡村振兴有效衔接业务指导、政策解答、课题调研、总结推广经验和有关重要文件起草等工作；配合12345政府公共服务热线交办事项答复工作；完成领导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行业推进组。负责巩固拓展脱贫攻坚成果同乡村振兴有效衔接行业帮扶规划编制和组织实施工作；协调指导</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级行业部门巩固“两不愁三保障”及饮水安全成果；协调指导行业部门落实兜底保障、易地搬迁后续扶持、产业就业、基础设施、住房保障、饮水安全、电力通讯、教育医疗等重点行业帮扶工作落实；协调拟定并督促落实行业帮扶相关政策制度、工作机制和目标任务；负责有关综合材料起草工作；完成领导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社会帮扶组。负责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级领导包抓帮扶工作的联系服务；负责消费帮扶</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；协调组织全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党政机关、企事业单位、群团、民营企业、社会组织等社会各界参与巩固拓展脱贫攻坚成果同乡村振兴有效衔接帮扶工作；承担中省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定点帮扶、东西部协作、苏陕协作“三大帮扶体系”的衔接协调、服务保障工作；协调组织驻村第一书记和工作队选派管理工作；负责做好全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乡村振兴干部及帮扶干部教育培训工作；负责指导开展社会捐赠、典型培育、社会助力评选表彰工作；</w:t>
      </w:r>
      <w:r>
        <w:rPr>
          <w:rFonts w:hint="eastAsia" w:ascii="仿宋_GB2312" w:hAnsi="仿宋_GB2312" w:eastAsia="仿宋_GB2312" w:cs="仿宋_GB2312"/>
          <w:sz w:val="32"/>
          <w:szCs w:val="32"/>
          <w:lang w:val="en-US" w:eastAsia="zh-CN"/>
        </w:rPr>
        <w:t>负责接待工作；</w:t>
      </w:r>
      <w:r>
        <w:rPr>
          <w:rFonts w:hint="eastAsia" w:ascii="仿宋_GB2312" w:hAnsi="仿宋_GB2312" w:eastAsia="仿宋_GB2312" w:cs="仿宋_GB2312"/>
          <w:sz w:val="32"/>
          <w:szCs w:val="32"/>
          <w:lang w:eastAsia="zh-CN"/>
        </w:rPr>
        <w:t>完成领导交办的其它事项。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5.督导督查</w:t>
      </w:r>
      <w:r>
        <w:rPr>
          <w:rFonts w:hint="eastAsia" w:ascii="仿宋_GB2312" w:hAnsi="仿宋_GB2312" w:eastAsia="仿宋_GB2312" w:cs="仿宋_GB2312"/>
          <w:sz w:val="32"/>
          <w:szCs w:val="32"/>
          <w:lang w:eastAsia="zh-CN"/>
        </w:rPr>
        <w:t>组。负责全县巩固拓展脱贫攻坚成果同乡村振兴有效衔接督导督查办法、工作计划及方案制定；负责督查暗访和问题整改日常业务管理工作；负责中省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反馈交办和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级督导检查发现的问题的整改、督办、落实工作；负责中省市县有关重要会议精神、重大决策部署、重点工作任务和领导批示交办事项督办落实工作；负责</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lang w:eastAsia="zh-CN"/>
        </w:rPr>
        <w:t>部门责任落实、政策落实和工作落实情况，脱贫成果巩固成效情况，年度计划执行情况，乡村振兴领域作风和腐败问题专项治理开展情况督办落实工作；完成领导交办的其它事项。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6.考评考核组。</w:t>
      </w:r>
      <w:r>
        <w:rPr>
          <w:rFonts w:hint="eastAsia" w:ascii="仿宋_GB2312" w:hAnsi="仿宋_GB2312" w:eastAsia="仿宋_GB2312" w:cs="仿宋_GB2312"/>
          <w:sz w:val="32"/>
          <w:szCs w:val="32"/>
          <w:lang w:eastAsia="zh-CN"/>
        </w:rPr>
        <w:t>负责巩固脱贫成果后评估及实施乡村振兴战略实绩考核工作，拟定评估考核制度、方案、办法；协调指导</w:t>
      </w:r>
      <w:r>
        <w:rPr>
          <w:rFonts w:hint="eastAsia" w:ascii="仿宋_GB2312" w:hAnsi="仿宋_GB2312" w:eastAsia="仿宋_GB2312" w:cs="仿宋_GB2312"/>
          <w:sz w:val="32"/>
          <w:szCs w:val="32"/>
          <w:lang w:val="en-US" w:eastAsia="zh-CN"/>
        </w:rPr>
        <w:t>县镇</w:t>
      </w:r>
      <w:r>
        <w:rPr>
          <w:rFonts w:hint="eastAsia" w:ascii="仿宋_GB2312" w:hAnsi="仿宋_GB2312" w:eastAsia="仿宋_GB2312" w:cs="仿宋_GB2312"/>
          <w:sz w:val="32"/>
          <w:szCs w:val="32"/>
          <w:lang w:eastAsia="zh-CN"/>
        </w:rPr>
        <w:t>做好巩固拓展脱贫攻坚成果同乡村振兴有效衔接考核及巩固脱贫成果后评估工作；牵头组织对</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级部门巩固拓展脱贫攻坚成果同乡村振兴有效衔接考核评价等工作；负责配合中省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相关考核、评估工作；完成领导交办的其它事项。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lang w:eastAsia="zh-CN"/>
        </w:rPr>
        <w:t>组。负责巩固拓展脱贫攻坚成果同乡村振兴有效衔接动员引导、政策宣传、业务培训工作；负责典型经验总结宣传和推广、新闻信息发布、信息简报编发报送、专题片制作和“两微一端”等宣传平台运行维护工作；负责信息公开和信息安全管理等内宣外宣工作；负责统筹、督办、推进乡村振兴创新示范点建设工作，提炼总结镇坪经验；负责信访维稳及舆情处置工作；负责中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领导信访批示件和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长信箱、有关部门批转信访件核查、办结、回复等工作；牵头负责</w:t>
      </w:r>
      <w:r>
        <w:rPr>
          <w:rFonts w:hint="eastAsia" w:ascii="仿宋_GB2312" w:hAnsi="仿宋_GB2312" w:eastAsia="仿宋_GB2312" w:cs="仿宋_GB2312"/>
          <w:sz w:val="32"/>
          <w:szCs w:val="32"/>
          <w:lang w:val="en-US" w:eastAsia="zh-CN"/>
        </w:rPr>
        <w:t>12317全国扶贫工作监督举报系统、</w:t>
      </w:r>
      <w:r>
        <w:rPr>
          <w:rFonts w:hint="eastAsia" w:ascii="仿宋_GB2312" w:hAnsi="仿宋_GB2312" w:eastAsia="仿宋_GB2312" w:cs="仿宋_GB2312"/>
          <w:sz w:val="32"/>
          <w:szCs w:val="32"/>
          <w:lang w:eastAsia="zh-CN"/>
        </w:rPr>
        <w:t>12345政府公共服务热线交办事项受理、答复、处置等工作；完成领导交办的其它事项。</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信息监测组（信息监测中心）。协调组织防止返贫动态监测和帮扶工作；负责巩固拓展脱贫攻坚成果同乡村振兴有效衔接信息系统建设管理工作；负责开展巩固拓展脱贫攻坚成果同乡村振兴有效衔接数据信息采集、统计分析、监测预警等工作，提供日常基础数据监测报告、年度数据分析报告和有关综合材料起草工作；负责防返贫动态监测和帮扶工作“周统计、月通报、季调度、半年小结、年度总结”机制落实日常工作，会同相关业务组做好数据发布工作；负责数据信息化应用、网络安全管理和政府信息资源共享工作；协调指导乡村振兴系统信息化建设；完成领导交办的其它事项。</w:t>
      </w:r>
    </w:p>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无</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p>
      <w:pPr>
        <w:pStyle w:val="4"/>
        <w:rPr>
          <w:rFonts w:hint="eastAsia" w:ascii="仿宋_GB2312" w:hAnsi="仿宋_GB2312" w:eastAsia="仿宋_GB2312" w:cs="仿宋_GB2312"/>
          <w:sz w:val="32"/>
          <w:szCs w:val="32"/>
        </w:rPr>
      </w:pPr>
      <w:r>
        <w:drawing>
          <wp:inline distT="0" distB="0" distL="114300" distR="114300">
            <wp:extent cx="5271135" cy="1196975"/>
            <wp:effectExtent l="0" t="0" r="5715" b="3175"/>
            <wp:docPr id="1"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true"/>
                    </pic:cNvPicPr>
                  </pic:nvPicPr>
                  <pic:blipFill>
                    <a:blip r:embed="rId6"/>
                    <a:stretch>
                      <a:fillRect/>
                    </a:stretch>
                  </pic:blipFill>
                  <pic:spPr>
                    <a:xfrm>
                      <a:off x="0" y="0"/>
                      <a:ext cx="5271135" cy="1196975"/>
                    </a:xfrm>
                    <a:prstGeom prst="rect">
                      <a:avLst/>
                    </a:prstGeom>
                    <a:noFill/>
                    <a:ln>
                      <a:noFill/>
                    </a:ln>
                  </pic:spPr>
                </pic:pic>
              </a:graphicData>
            </a:graphic>
          </wp:inline>
        </w:drawing>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单位管理的离退休人员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p>
    <w:p>
      <w:pPr>
        <w:pStyle w:val="4"/>
        <w:rPr>
          <w:rFonts w:hint="eastAsia"/>
          <w:lang w:eastAsia="zh-CN"/>
        </w:rPr>
      </w:pPr>
      <w:r>
        <w:drawing>
          <wp:inline distT="0" distB="0" distL="114300" distR="114300">
            <wp:extent cx="5223510" cy="3051810"/>
            <wp:effectExtent l="0" t="0" r="15240" b="15240"/>
            <wp:docPr id="4"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8"/>
                    <pic:cNvPicPr>
                      <a:picLocks noChangeAspect="true"/>
                    </pic:cNvPicPr>
                  </pic:nvPicPr>
                  <pic:blipFill>
                    <a:blip r:embed="rId7"/>
                    <a:stretch>
                      <a:fillRect/>
                    </a:stretch>
                  </pic:blipFill>
                  <pic:spPr>
                    <a:xfrm>
                      <a:off x="0" y="0"/>
                      <a:ext cx="5223510" cy="3051810"/>
                    </a:xfrm>
                    <a:prstGeom prst="rect">
                      <a:avLst/>
                    </a:prstGeom>
                    <a:noFill/>
                    <a:ln>
                      <a:noFill/>
                    </a:ln>
                  </pic:spPr>
                </pic:pic>
              </a:graphicData>
            </a:graphic>
          </wp:inline>
        </w:drawing>
      </w:r>
    </w:p>
    <w:p>
      <w:pPr>
        <w:numPr>
          <w:ilvl w:val="0"/>
          <w:numId w:val="0"/>
        </w:numPr>
        <w:jc w:val="center"/>
        <w:rPr>
          <w:rFonts w:hint="eastAsia" w:ascii="仿宋" w:hAnsi="仿宋" w:eastAsia="仿宋" w:cs="仿宋"/>
          <w:b w:val="0"/>
          <w:bCs/>
          <w:color w:val="000000"/>
          <w:kern w:val="0"/>
          <w:sz w:val="32"/>
          <w:szCs w:val="32"/>
          <w:lang w:val="en-US" w:eastAsia="zh-CN"/>
        </w:rPr>
      </w:pPr>
      <w:r>
        <w:rPr>
          <w:rFonts w:hint="eastAsia" w:ascii="方正小标宋简体" w:hAnsi="方正小标宋简体" w:eastAsia="方正小标宋简体" w:cs="方正小标宋简体"/>
          <w:color w:val="000000"/>
          <w:kern w:val="0"/>
          <w:sz w:val="44"/>
          <w:szCs w:val="44"/>
          <w:lang w:eastAsia="zh-CN"/>
        </w:rPr>
        <w:t>第二部分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年度部门决算表</w:t>
      </w:r>
    </w:p>
    <w:p>
      <w:pPr>
        <w:pStyle w:val="4"/>
        <w:widowControl w:val="0"/>
        <w:numPr>
          <w:ilvl w:val="0"/>
          <w:numId w:val="0"/>
        </w:numPr>
        <w:spacing w:after="120"/>
        <w:jc w:val="both"/>
        <w:rPr>
          <w:rFonts w:hint="eastAsia"/>
          <w:lang w:val="en-US" w:eastAsia="zh-CN"/>
        </w:rPr>
      </w:pPr>
      <w:r>
        <w:rPr>
          <w:rFonts w:hint="eastAsia"/>
          <w:lang w:val="en-US" w:eastAsia="zh-CN"/>
        </w:rPr>
        <w:object>
          <v:shape id="_x0000_i1025" o:spt="75" type="#_x0000_t75" style="height:552.25pt;width:424.3pt;" o:ole="t" filled="f" o:preferrelative="t" stroked="f" coordsize="21600,21600">
            <v:path/>
            <v:fill on="f" focussize="0,0"/>
            <v:stroke on="f"/>
            <v:imagedata r:id="rId9" o:title=""/>
            <o:lock v:ext="edit" aspectratio="f"/>
            <w10:wrap type="none"/>
            <w10:anchorlock/>
          </v:shape>
          <o:OLEObject Type="Embed" ProgID="Excel.Sheet.12" ShapeID="_x0000_i1025" DrawAspect="Content" ObjectID="_1468075725" r:id="rId8">
            <o:LockedField>false</o:LockedField>
          </o:OLEObject>
        </w:object>
      </w:r>
    </w:p>
    <w:p>
      <w:pPr>
        <w:pStyle w:val="4"/>
        <w:widowControl w:val="0"/>
        <w:numPr>
          <w:ilvl w:val="0"/>
          <w:numId w:val="0"/>
        </w:numPr>
        <w:spacing w:after="120"/>
        <w:jc w:val="both"/>
        <w:rPr>
          <w:rFonts w:hint="eastAsia"/>
          <w:lang w:val="en-US" w:eastAsia="zh-CN"/>
        </w:rPr>
      </w:pPr>
    </w:p>
    <w:p>
      <w:pPr>
        <w:pStyle w:val="4"/>
        <w:widowControl w:val="0"/>
        <w:numPr>
          <w:ilvl w:val="0"/>
          <w:numId w:val="0"/>
        </w:numPr>
        <w:spacing w:after="120"/>
        <w:jc w:val="both"/>
        <w:rPr>
          <w:rFonts w:hint="eastAsia"/>
          <w:lang w:val="en-US" w:eastAsia="zh-CN"/>
        </w:rPr>
      </w:pPr>
    </w:p>
    <w:p>
      <w:pPr>
        <w:jc w:val="center"/>
        <w:rPr>
          <w:rFonts w:hint="eastAsia" w:ascii="宋体" w:hAnsi="宋体" w:cs="宋体"/>
          <w:b/>
          <w:color w:val="000000"/>
          <w:kern w:val="0"/>
          <w:sz w:val="40"/>
          <w:szCs w:val="40"/>
        </w:rPr>
      </w:pPr>
      <w:r>
        <w:rPr>
          <w:rFonts w:hint="eastAsia" w:ascii="宋体" w:hAnsi="宋体" w:cs="宋体"/>
          <w:b/>
          <w:color w:val="000000"/>
          <w:kern w:val="0"/>
          <w:sz w:val="40"/>
          <w:szCs w:val="40"/>
        </w:rPr>
        <w:object>
          <v:shape id="_x0000_i1026" o:spt="75" type="#_x0000_t75" style="height:641.3pt;width:428.15pt;" o:ole="t" filled="f" o:preferrelative="t" stroked="f" coordsize="21600,21600">
            <v:path/>
            <v:fill on="f" focussize="0,0"/>
            <v:stroke on="f"/>
            <v:imagedata r:id="rId11" o:title=""/>
            <o:lock v:ext="edit" aspectratio="f"/>
            <w10:wrap type="none"/>
            <w10:anchorlock/>
          </v:shape>
          <o:OLEObject Type="Embed" ProgID="Excel.Sheet.12" ShapeID="_x0000_i1026" DrawAspect="Content" ObjectID="_1468075726" r:id="rId10">
            <o:LockedField>false</o:LockedField>
          </o:OLEObject>
        </w:object>
      </w:r>
    </w:p>
    <w:p>
      <w:pPr>
        <w:jc w:val="center"/>
        <w:rPr>
          <w:rFonts w:hint="eastAsia" w:ascii="宋体" w:hAnsi="宋体" w:eastAsia="宋体" w:cs="宋体"/>
          <w:b/>
          <w:bCs/>
          <w:kern w:val="2"/>
          <w:sz w:val="21"/>
          <w:szCs w:val="21"/>
          <w:lang w:val="en-US" w:eastAsia="zh-CN" w:bidi="ar-SA"/>
        </w:rPr>
      </w:pPr>
    </w:p>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object>
          <v:shape id="_x0000_i1027" o:spt="75" type="#_x0000_t75" style="height:641.3pt;width:437.35pt;" o:ole="t" filled="f" o:preferrelative="t" stroked="f" coordsize="21600,21600">
            <v:path/>
            <v:fill on="f" focussize="0,0"/>
            <v:stroke on="f"/>
            <v:imagedata r:id="rId13" o:title=""/>
            <o:lock v:ext="edit" aspectratio="f"/>
            <w10:wrap type="none"/>
            <w10:anchorlock/>
          </v:shape>
          <o:OLEObject Type="Embed" ProgID="Excel.Sheet.12" ShapeID="_x0000_i1027" DrawAspect="Content" ObjectID="_1468075727" r:id="rId12">
            <o:LockedField>false</o:LockedField>
          </o:OLEObject>
        </w:object>
      </w:r>
    </w:p>
    <w:p>
      <w:pPr>
        <w:jc w:val="center"/>
        <w:rPr>
          <w:rFonts w:hint="eastAsia" w:ascii="宋体" w:hAnsi="宋体" w:eastAsia="宋体" w:cs="宋体"/>
          <w:b/>
          <w:bCs/>
          <w:kern w:val="2"/>
          <w:sz w:val="21"/>
          <w:szCs w:val="21"/>
          <w:lang w:val="en-US" w:eastAsia="zh-CN" w:bidi="ar-SA"/>
        </w:rPr>
      </w:pPr>
    </w:p>
    <w:p>
      <w:pPr>
        <w:jc w:val="center"/>
        <w:rPr>
          <w:rFonts w:hint="eastAsia" w:ascii="宋体" w:hAnsi="宋体" w:eastAsia="宋体" w:cs="宋体"/>
          <w:b/>
          <w:bCs/>
          <w:kern w:val="2"/>
          <w:sz w:val="21"/>
          <w:szCs w:val="21"/>
          <w:lang w:val="en-US" w:eastAsia="zh-CN" w:bidi="ar-SA"/>
        </w:rPr>
      </w:pPr>
    </w:p>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object>
          <v:shape id="_x0000_i1028" o:spt="75" type="#_x0000_t75" style="height:616pt;width:440pt;" o:ole="t" filled="f" o:preferrelative="t" stroked="f" coordsize="21600,21600">
            <v:path/>
            <v:fill on="f" focussize="0,0"/>
            <v:stroke on="f"/>
            <v:imagedata r:id="rId15" o:title=""/>
            <o:lock v:ext="edit" aspectratio="f"/>
            <w10:wrap type="none"/>
            <w10:anchorlock/>
          </v:shape>
          <o:OLEObject Type="Embed" ProgID="Excel.Sheet.12" ShapeID="_x0000_i1028" DrawAspect="Content" ObjectID="_1468075728" r:id="rId14">
            <o:LockedField>false</o:LockedField>
          </o:OLEObject>
        </w:object>
      </w:r>
    </w:p>
    <w:p>
      <w:pPr>
        <w:pStyle w:val="4"/>
        <w:rPr>
          <w:rFonts w:hint="eastAsia"/>
          <w:lang w:val="en-US" w:eastAsia="zh-CN"/>
        </w:rPr>
      </w:pPr>
    </w:p>
    <w:p>
      <w:pPr>
        <w:jc w:val="both"/>
        <w:rPr>
          <w:rFonts w:hint="eastAsia" w:ascii="宋体" w:hAnsi="宋体" w:eastAsia="宋体" w:cs="宋体"/>
          <w:b/>
          <w:bCs/>
          <w:kern w:val="2"/>
          <w:sz w:val="21"/>
          <w:szCs w:val="21"/>
          <w:lang w:val="en-US" w:eastAsia="zh-CN" w:bidi="ar-SA"/>
        </w:rPr>
      </w:pPr>
    </w:p>
    <w:p>
      <w:pPr>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object>
          <v:shape id="_x0000_i1029" o:spt="75" type="#_x0000_t75" style="height:636.75pt;width:437.75pt;" o:ole="t" filled="f" o:preferrelative="t" stroked="f" coordsize="21600,21600">
            <v:path/>
            <v:fill on="f" focussize="0,0"/>
            <v:stroke on="f"/>
            <v:imagedata r:id="rId17" o:title=""/>
            <o:lock v:ext="edit" aspectratio="f"/>
            <w10:wrap type="none"/>
            <w10:anchorlock/>
          </v:shape>
          <o:OLEObject Type="Embed" ProgID="Excel.Sheet.12" ShapeID="_x0000_i1029" DrawAspect="Content" ObjectID="_1468075729" r:id="rId16">
            <o:LockedField>false</o:LockedField>
          </o:OLEObject>
        </w:object>
      </w:r>
    </w:p>
    <w:p>
      <w:pPr>
        <w:jc w:val="both"/>
        <w:rPr>
          <w:rFonts w:hint="eastAsia" w:ascii="宋体" w:hAnsi="宋体" w:eastAsia="宋体" w:cs="宋体"/>
          <w:b/>
          <w:bCs/>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object>
          <v:shape id="_x0000_i1030" o:spt="75" type="#_x0000_t75" style="height:656.1pt;width:438.6pt;" o:ole="t" filled="f" o:preferrelative="t" stroked="f" coordsize="21600,21600">
            <v:path/>
            <v:fill on="f" focussize="0,0"/>
            <v:stroke on="f"/>
            <v:imagedata r:id="rId19" o:title=""/>
            <o:lock v:ext="edit" aspectratio="f"/>
            <w10:wrap type="none"/>
            <w10:anchorlock/>
          </v:shape>
          <o:OLEObject Type="Embed" ProgID="Excel.Sheet.12" ShapeID="_x0000_i1030" DrawAspect="Content" ObjectID="_1468075730" r:id="rId18">
            <o:LockedField>false</o:LockedField>
          </o:OLEObject>
        </w:object>
      </w: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r>
        <w:rPr>
          <w:rFonts w:hint="eastAsia" w:ascii="宋体" w:hAnsi="宋体" w:cs="宋体"/>
          <w:color w:val="000000"/>
          <w:kern w:val="0"/>
          <w:szCs w:val="21"/>
        </w:rPr>
        <w:object>
          <v:shape id="_x0000_i1031" o:spt="75" type="#_x0000_t75" style="height:632.25pt;width:439.35pt;" o:ole="t" filled="f" o:preferrelative="t" stroked="f" coordsize="21600,21600">
            <v:path/>
            <v:fill on="f" focussize="0,0"/>
            <v:stroke on="f"/>
            <v:imagedata r:id="rId21" o:title=""/>
            <o:lock v:ext="edit" aspectratio="f"/>
            <w10:wrap type="none"/>
            <w10:anchorlock/>
          </v:shape>
          <o:OLEObject Type="Embed" ProgID="Excel.Sheet.12" ShapeID="_x0000_i1031" DrawAspect="Content" ObjectID="_1468075731" r:id="rId20">
            <o:LockedField>false</o:LockedField>
          </o:OLEObject>
        </w:object>
      </w: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pStyle w:val="4"/>
        <w:rPr>
          <w:rFonts w:hint="eastAsia" w:ascii="宋体" w:hAnsi="宋体" w:cs="宋体"/>
          <w:color w:val="000000"/>
          <w:kern w:val="0"/>
          <w:szCs w:val="21"/>
        </w:rPr>
      </w:pPr>
      <w:r>
        <w:rPr>
          <w:rFonts w:hint="eastAsia" w:ascii="宋体" w:hAnsi="宋体" w:cs="宋体"/>
          <w:color w:val="000000"/>
          <w:kern w:val="0"/>
          <w:szCs w:val="21"/>
        </w:rPr>
        <w:object>
          <v:shape id="_x0000_i1032" o:spt="75" type="#_x0000_t75" style="height:469.7pt;width:450.05pt;" o:ole="t" filled="f" o:preferrelative="t" stroked="f" coordsize="21600,21600">
            <v:path/>
            <v:fill on="f" focussize="0,0"/>
            <v:stroke on="f"/>
            <v:imagedata r:id="rId23" o:title=""/>
            <o:lock v:ext="edit" aspectratio="f"/>
            <w10:wrap type="none"/>
            <w10:anchorlock/>
          </v:shape>
          <o:OLEObject Type="Embed" ProgID="Excel.Sheet.12" ShapeID="_x0000_i1032" DrawAspect="Content" ObjectID="_1468075732" r:id="rId22">
            <o:LockedField>false</o:LockedField>
          </o:OLEObject>
        </w:object>
      </w: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p>
    <w:p>
      <w:pPr>
        <w:pStyle w:val="4"/>
        <w:rPr>
          <w:rFonts w:hint="eastAsia" w:ascii="宋体" w:hAnsi="宋体" w:cs="宋体"/>
          <w:color w:val="000000"/>
          <w:kern w:val="0"/>
          <w:szCs w:val="21"/>
        </w:rPr>
      </w:pPr>
      <w:r>
        <w:rPr>
          <w:rFonts w:hint="eastAsia" w:ascii="宋体" w:hAnsi="宋体" w:cs="宋体"/>
          <w:color w:val="000000"/>
          <w:kern w:val="0"/>
          <w:szCs w:val="21"/>
        </w:rPr>
        <w:object>
          <v:shape id="_x0000_i1033" o:spt="75" type="#_x0000_t75" style="height:636.6pt;width:436.9pt;" o:ole="t" filled="f" o:preferrelative="t" stroked="f" coordsize="21600,21600">
            <v:path/>
            <v:fill on="f" focussize="0,0"/>
            <v:stroke on="f"/>
            <v:imagedata r:id="rId25" o:title=""/>
            <o:lock v:ext="edit" aspectratio="f"/>
            <w10:wrap type="none"/>
            <w10:anchorlock/>
          </v:shape>
          <o:OLEObject Type="Embed" ProgID="Excel.Sheet.12" ShapeID="_x0000_i1033" DrawAspect="Content" ObjectID="_1468075733" r:id="rId24">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r>
        <w:rPr>
          <w:rFonts w:hint="eastAsia" w:ascii="宋体" w:hAnsi="宋体" w:cs="宋体"/>
          <w:color w:val="000000"/>
          <w:kern w:val="0"/>
          <w:szCs w:val="21"/>
        </w:rPr>
        <w:object>
          <v:shape id="_x0000_i1034" o:spt="75" type="#_x0000_t75" style="height:646.6pt;width:438.7pt;" o:ole="t" filled="f" o:preferrelative="t" stroked="f" coordsize="21600,21600">
            <v:path/>
            <v:fill on="f" focussize="0,0"/>
            <v:stroke on="f"/>
            <v:imagedata r:id="rId27" o:title=""/>
            <o:lock v:ext="edit" aspectratio="f"/>
            <w10:wrap type="none"/>
            <w10:anchorlock/>
          </v:shape>
          <o:OLEObject Type="Embed" ProgID="Excel.Sheet.12" ShapeID="_x0000_i1034" DrawAspect="Content" ObjectID="_1468075734" r:id="rId26">
            <o:LockedField>false</o:LockedField>
          </o:OLEObject>
        </w:object>
      </w: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 xml:space="preserve">第三部分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度</w:t>
      </w:r>
      <w:r>
        <w:rPr>
          <w:rFonts w:hint="eastAsia" w:ascii="方正小标宋简体" w:hAnsi="方正小标宋简体" w:eastAsia="方正小标宋简体" w:cs="方正小标宋简体"/>
          <w:color w:val="000000"/>
          <w:kern w:val="0"/>
          <w:sz w:val="44"/>
          <w:szCs w:val="44"/>
        </w:rPr>
        <w:t>部门决算情况</w:t>
      </w:r>
      <w:r>
        <w:rPr>
          <w:rFonts w:hint="eastAsia" w:ascii="方正小标宋简体" w:hAnsi="方正小标宋简体" w:eastAsia="方正小标宋简体" w:cs="方正小标宋简体"/>
          <w:color w:val="000000"/>
          <w:kern w:val="0"/>
          <w:sz w:val="44"/>
          <w:szCs w:val="44"/>
          <w:lang w:eastAsia="zh-CN"/>
        </w:rPr>
        <w:t>说明</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eastAsia="zh-CN"/>
        </w:rPr>
        <w:t>本年度</w:t>
      </w:r>
      <w:r>
        <w:rPr>
          <w:rFonts w:hint="eastAsia" w:ascii="仿宋_GB2312" w:hAnsi="仿宋" w:eastAsia="仿宋_GB2312"/>
          <w:sz w:val="32"/>
          <w:szCs w:val="32"/>
        </w:rPr>
        <w:t>收入</w:t>
      </w:r>
      <w:r>
        <w:rPr>
          <w:rFonts w:hint="eastAsia" w:ascii="仿宋_GB2312" w:hAnsi="仿宋" w:eastAsia="仿宋_GB2312"/>
          <w:sz w:val="32"/>
          <w:szCs w:val="32"/>
          <w:lang w:eastAsia="zh-CN"/>
        </w:rPr>
        <w:t>、支出总计均为</w:t>
      </w:r>
      <w:r>
        <w:rPr>
          <w:rFonts w:hint="eastAsia" w:ascii="仿宋_GB2312" w:hAnsi="宋体" w:eastAsia="仿宋_GB2312" w:cs="仿宋_GB2312"/>
          <w:color w:val="000000"/>
          <w:kern w:val="0"/>
          <w:sz w:val="32"/>
          <w:szCs w:val="32"/>
          <w:lang w:eastAsia="zh-CN"/>
        </w:rPr>
        <w:t>685.18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仿宋" w:eastAsia="仿宋_GB2312"/>
          <w:sz w:val="32"/>
          <w:szCs w:val="32"/>
          <w:lang w:val="en-US" w:eastAsia="zh-CN"/>
        </w:rPr>
        <w:t>162.99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增长</w:t>
      </w:r>
      <w:r>
        <w:rPr>
          <w:rFonts w:hint="eastAsia" w:ascii="仿宋_GB2312" w:hAnsi="宋体" w:eastAsia="仿宋_GB2312" w:cs="仿宋_GB2312"/>
          <w:color w:val="000000"/>
          <w:kern w:val="0"/>
          <w:sz w:val="32"/>
          <w:szCs w:val="32"/>
          <w:lang w:val="en-US" w:eastAsia="zh-CN"/>
        </w:rPr>
        <w:t>31.21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。主要是</w:t>
      </w:r>
      <w:r>
        <w:rPr>
          <w:rFonts w:hint="eastAsia" w:ascii="仿宋_GB2312" w:hAnsi="宋体" w:eastAsia="仿宋_GB2312" w:cs="仿宋_GB2312"/>
          <w:color w:val="000000"/>
          <w:kern w:val="0"/>
          <w:sz w:val="32"/>
          <w:szCs w:val="32"/>
          <w:lang w:val="en-US" w:eastAsia="zh-CN"/>
        </w:rPr>
        <w:t>2021年县财政将以前年度直接转入“一卡通专户”的</w:t>
      </w:r>
      <w:r>
        <w:rPr>
          <w:rFonts w:hint="eastAsia" w:ascii="仿宋" w:hAnsi="仿宋" w:eastAsia="仿宋" w:cs="仿宋"/>
          <w:color w:val="000000"/>
          <w:kern w:val="0"/>
          <w:sz w:val="32"/>
          <w:szCs w:val="32"/>
          <w:lang w:val="en-US" w:eastAsia="zh-CN"/>
        </w:rPr>
        <w:t>互助资金小额信贷贴息专项资金131.72万元拨入乡村振兴局；收支乡村振兴专项、电商发展专项资金30万元。</w:t>
      </w:r>
    </w:p>
    <w:p>
      <w:pPr>
        <w:pStyle w:val="4"/>
        <w:rPr>
          <w:rFonts w:hint="eastAsia" w:ascii="仿宋" w:hAnsi="仿宋" w:eastAsia="仿宋" w:cs="仿宋"/>
          <w:color w:val="000000"/>
          <w:kern w:val="0"/>
          <w:sz w:val="32"/>
          <w:szCs w:val="32"/>
          <w:lang w:val="en-US" w:eastAsia="zh-CN"/>
        </w:rPr>
      </w:pPr>
      <w:r>
        <w:drawing>
          <wp:inline distT="0" distB="0" distL="114300" distR="114300">
            <wp:extent cx="5311775" cy="3583940"/>
            <wp:effectExtent l="4445" t="4445" r="17780" b="1206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二、收入决算情况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i/>
          <w:iCs/>
          <w:color w:val="000000"/>
          <w:kern w:val="0"/>
          <w:sz w:val="32"/>
          <w:szCs w:val="32"/>
          <w:lang w:eastAsia="zh-CN"/>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lang w:eastAsia="zh-CN"/>
        </w:rPr>
        <w:t>685.18</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eastAsia="zh-CN"/>
        </w:rPr>
        <w:t>685.18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pStyle w:val="4"/>
        <w:rPr>
          <w:rFonts w:hint="eastAsia" w:ascii="仿宋_GB2312" w:hAnsi="宋体" w:eastAsia="仿宋_GB2312" w:cs="仿宋_GB2312"/>
          <w:i/>
          <w:iCs/>
          <w:color w:val="000000"/>
          <w:kern w:val="0"/>
          <w:sz w:val="32"/>
          <w:szCs w:val="32"/>
          <w:lang w:eastAsia="zh-CN"/>
        </w:rPr>
      </w:pPr>
      <w:r>
        <w:drawing>
          <wp:inline distT="0" distB="0" distL="114300" distR="114300">
            <wp:extent cx="5391785" cy="3405505"/>
            <wp:effectExtent l="4445" t="4445" r="13970" b="19050"/>
            <wp:docPr id="12" name="图表 11"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widowControl/>
        <w:wordWrap/>
        <w:spacing w:line="560" w:lineRule="exact"/>
        <w:ind w:firstLine="640" w:firstLineChars="200"/>
        <w:jc w:val="left"/>
        <w:textAlignment w:val="auto"/>
        <w:rPr>
          <w:rFonts w:ascii="黑体" w:hAnsi="黑体" w:eastAsia="黑体"/>
        </w:rPr>
      </w:pPr>
      <w:r>
        <w:rPr>
          <w:rFonts w:hint="eastAsia" w:ascii="黑体" w:hAnsi="黑体" w:eastAsia="黑体"/>
          <w:color w:val="000000"/>
          <w:kern w:val="0"/>
          <w:sz w:val="32"/>
          <w:szCs w:val="32"/>
        </w:rPr>
        <w:t>三、支出决算情况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_GB2312" w:hAnsi="宋体" w:eastAsia="仿宋_GB2312" w:cs="仿宋_GB2312"/>
          <w:i/>
          <w:iCs/>
          <w:color w:val="000000"/>
          <w:kern w:val="0"/>
          <w:sz w:val="32"/>
          <w:szCs w:val="32"/>
          <w:lang w:eastAsia="zh-CN"/>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lang w:eastAsia="zh-CN"/>
        </w:rPr>
        <w:t>685.18</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eastAsia="zh-CN"/>
        </w:rPr>
        <w:t>216.72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31.63</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eastAsia="zh-CN"/>
        </w:rPr>
        <w:t>468.47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68.37</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p>
    <w:p>
      <w:pPr>
        <w:pStyle w:val="4"/>
        <w:rPr>
          <w:rFonts w:hint="eastAsia" w:ascii="仿宋_GB2312" w:hAnsi="宋体" w:eastAsia="仿宋_GB2312" w:cs="仿宋_GB2312"/>
          <w:i/>
          <w:iCs/>
          <w:color w:val="000000"/>
          <w:kern w:val="0"/>
          <w:sz w:val="32"/>
          <w:szCs w:val="32"/>
          <w:lang w:eastAsia="zh-CN"/>
        </w:rPr>
      </w:pPr>
      <w:r>
        <w:drawing>
          <wp:inline distT="0" distB="0" distL="114300" distR="114300">
            <wp:extent cx="5380990" cy="3086100"/>
            <wp:effectExtent l="4445" t="4445" r="5715" b="14605"/>
            <wp:docPr id="2" name="图表 1"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widowControl/>
        <w:numPr>
          <w:ilvl w:val="0"/>
          <w:numId w:val="0"/>
        </w:numPr>
        <w:wordWrap/>
        <w:spacing w:line="560" w:lineRule="exact"/>
        <w:ind w:firstLine="640" w:firstLineChars="200"/>
        <w:jc w:val="left"/>
        <w:textAlignment w:val="auto"/>
        <w:rPr>
          <w:rFonts w:hint="eastAsia" w:ascii="黑体" w:hAnsi="黑体" w:eastAsia="黑体"/>
          <w:color w:val="000000"/>
          <w:kern w:val="0"/>
          <w:sz w:val="32"/>
          <w:szCs w:val="32"/>
          <w:lang w:eastAsia="zh-CN"/>
        </w:rPr>
      </w:pPr>
    </w:p>
    <w:p>
      <w:pPr>
        <w:widowControl/>
        <w:numPr>
          <w:ilvl w:val="0"/>
          <w:numId w:val="0"/>
        </w:numPr>
        <w:wordWrap/>
        <w:spacing w:line="560" w:lineRule="exact"/>
        <w:ind w:firstLine="640" w:firstLineChars="200"/>
        <w:jc w:val="left"/>
        <w:textAlignment w:val="auto"/>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lang w:eastAsia="zh-CN"/>
        </w:rPr>
        <w:t>四、</w:t>
      </w:r>
      <w:r>
        <w:rPr>
          <w:rFonts w:hint="eastAsia" w:ascii="黑体" w:hAnsi="黑体" w:eastAsia="黑体"/>
          <w:color w:val="000000"/>
          <w:kern w:val="0"/>
          <w:sz w:val="32"/>
          <w:szCs w:val="32"/>
        </w:rPr>
        <w:t>财政拨款收入支出决算总体情况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eastAsia="zh-CN"/>
        </w:rPr>
        <w:t>本</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eastAsia="zh-CN"/>
        </w:rPr>
        <w:t>、支出总计均为</w:t>
      </w:r>
      <w:r>
        <w:rPr>
          <w:rFonts w:hint="eastAsia" w:ascii="仿宋_GB2312" w:hAnsi="宋体" w:eastAsia="仿宋_GB2312" w:cs="仿宋_GB2312"/>
          <w:color w:val="000000"/>
          <w:kern w:val="0"/>
          <w:sz w:val="32"/>
          <w:szCs w:val="32"/>
          <w:lang w:eastAsia="zh-CN"/>
        </w:rPr>
        <w:t>685.18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收、支总计各</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仿宋" w:eastAsia="仿宋_GB2312"/>
          <w:sz w:val="32"/>
          <w:szCs w:val="32"/>
          <w:lang w:val="en-US" w:eastAsia="zh-CN"/>
        </w:rPr>
        <w:t>162.99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增长</w:t>
      </w:r>
      <w:r>
        <w:rPr>
          <w:rFonts w:hint="eastAsia" w:ascii="仿宋_GB2312" w:hAnsi="宋体" w:eastAsia="仿宋_GB2312" w:cs="仿宋_GB2312"/>
          <w:color w:val="000000"/>
          <w:kern w:val="0"/>
          <w:sz w:val="32"/>
          <w:szCs w:val="32"/>
          <w:lang w:val="en-US" w:eastAsia="zh-CN"/>
        </w:rPr>
        <w:t>31.21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。主要是</w:t>
      </w:r>
      <w:r>
        <w:rPr>
          <w:rFonts w:hint="eastAsia" w:ascii="仿宋_GB2312" w:hAnsi="宋体" w:eastAsia="仿宋_GB2312" w:cs="仿宋_GB2312"/>
          <w:color w:val="000000"/>
          <w:kern w:val="0"/>
          <w:sz w:val="32"/>
          <w:szCs w:val="32"/>
          <w:lang w:val="en-US" w:eastAsia="zh-CN"/>
        </w:rPr>
        <w:t>2021年县财政将以前年度直接转入“一卡通专户”的</w:t>
      </w:r>
      <w:r>
        <w:rPr>
          <w:rFonts w:hint="eastAsia" w:ascii="仿宋" w:hAnsi="仿宋" w:eastAsia="仿宋" w:cs="仿宋"/>
          <w:color w:val="000000"/>
          <w:kern w:val="0"/>
          <w:sz w:val="32"/>
          <w:szCs w:val="32"/>
          <w:lang w:val="en-US" w:eastAsia="zh-CN"/>
        </w:rPr>
        <w:t>互助资金小额信贷贴息专项资金131.72万元拨入乡村振兴局；收支乡村振兴专项、电商发展专项资金30万元。</w:t>
      </w:r>
    </w:p>
    <w:p>
      <w:pPr>
        <w:pStyle w:val="4"/>
        <w:rPr>
          <w:rFonts w:hint="eastAsia" w:ascii="仿宋_GB2312" w:hAnsi="宋体" w:eastAsia="仿宋_GB2312" w:cs="仿宋_GB2312"/>
          <w:i/>
          <w:iCs/>
          <w:color w:val="000000"/>
          <w:kern w:val="0"/>
          <w:sz w:val="32"/>
          <w:szCs w:val="32"/>
          <w:lang w:eastAsia="zh-CN"/>
        </w:rPr>
      </w:pPr>
      <w:r>
        <w:drawing>
          <wp:inline distT="0" distB="0" distL="114300" distR="114300">
            <wp:extent cx="5311775" cy="3583940"/>
            <wp:effectExtent l="4445" t="4445" r="17780" b="1206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lang w:eastAsia="zh-CN"/>
        </w:rPr>
        <w:t>685.18</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eastAsia="zh-CN"/>
        </w:rPr>
        <w:t>685.18</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仿宋" w:eastAsia="仿宋_GB2312"/>
          <w:sz w:val="32"/>
          <w:szCs w:val="32"/>
          <w:lang w:val="en-US" w:eastAsia="zh-CN"/>
        </w:rPr>
        <w:t>162.99</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lang w:val="en-US" w:eastAsia="zh-CN"/>
        </w:rPr>
        <w:t>31.21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主要是</w:t>
      </w:r>
      <w:r>
        <w:rPr>
          <w:rFonts w:hint="eastAsia" w:ascii="仿宋_GB2312" w:hAnsi="宋体" w:eastAsia="仿宋_GB2312" w:cs="仿宋_GB2312"/>
          <w:color w:val="000000"/>
          <w:kern w:val="0"/>
          <w:sz w:val="32"/>
          <w:szCs w:val="32"/>
          <w:lang w:val="en-US" w:eastAsia="zh-CN"/>
        </w:rPr>
        <w:t>2021年县财政将以前年度直接转入“一卡通专户”的</w:t>
      </w:r>
      <w:r>
        <w:rPr>
          <w:rFonts w:hint="eastAsia" w:ascii="仿宋" w:hAnsi="仿宋" w:eastAsia="仿宋" w:cs="仿宋"/>
          <w:color w:val="000000"/>
          <w:kern w:val="0"/>
          <w:sz w:val="32"/>
          <w:szCs w:val="32"/>
          <w:lang w:val="en-US" w:eastAsia="zh-CN"/>
        </w:rPr>
        <w:t>互助资金小额信贷贴息专项资金131.72万元拨入乡村振兴局；收支乡村振兴专项、电商发展专项资金30万元。</w:t>
      </w:r>
    </w:p>
    <w:p>
      <w:pPr>
        <w:pStyle w:val="4"/>
        <w:rPr>
          <w:rFonts w:hint="eastAsia" w:ascii="仿宋_GB2312" w:hAnsi="宋体" w:eastAsia="仿宋_GB2312" w:cs="仿宋_GB2312"/>
          <w:i/>
          <w:iCs/>
          <w:color w:val="000000"/>
          <w:kern w:val="0"/>
          <w:sz w:val="32"/>
          <w:szCs w:val="32"/>
          <w:lang w:eastAsia="zh-CN"/>
        </w:rPr>
      </w:pPr>
    </w:p>
    <w:p>
      <w:pPr>
        <w:pStyle w:val="4"/>
        <w:rPr>
          <w:rFonts w:hint="eastAsia" w:ascii="仿宋_GB2312" w:hAnsi="宋体" w:eastAsia="仿宋_GB2312" w:cs="仿宋_GB2312"/>
          <w:i/>
          <w:iCs/>
          <w:color w:val="000000"/>
          <w:kern w:val="0"/>
          <w:sz w:val="32"/>
          <w:szCs w:val="32"/>
          <w:lang w:eastAsia="zh-CN"/>
        </w:rPr>
      </w:pPr>
      <w:r>
        <w:drawing>
          <wp:inline distT="0" distB="0" distL="114300" distR="114300">
            <wp:extent cx="5612765" cy="4069080"/>
            <wp:effectExtent l="4445" t="4445" r="21590" b="22225"/>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楷体" w:hAnsi="楷体" w:eastAsia="楷体" w:cs="楷体"/>
          <w:b w:val="0"/>
          <w:bCs/>
          <w:color w:val="000000"/>
          <w:kern w:val="0"/>
          <w:sz w:val="32"/>
          <w:szCs w:val="32"/>
        </w:rPr>
        <w:t>1.</w:t>
      </w:r>
      <w:r>
        <w:rPr>
          <w:rFonts w:hint="eastAsia" w:ascii="楷体" w:hAnsi="楷体" w:eastAsia="楷体" w:cs="楷体"/>
          <w:b w:val="0"/>
          <w:bCs/>
          <w:color w:val="000000"/>
          <w:kern w:val="0"/>
          <w:sz w:val="32"/>
          <w:szCs w:val="32"/>
          <w:lang w:eastAsia="zh-CN"/>
        </w:rPr>
        <w:t>农林水支出类</w:t>
      </w:r>
      <w:r>
        <w:rPr>
          <w:rFonts w:hint="eastAsia" w:ascii="楷体" w:hAnsi="楷体" w:eastAsia="楷体" w:cs="楷体"/>
          <w:b w:val="0"/>
          <w:bCs/>
          <w:color w:val="000000"/>
          <w:kern w:val="0"/>
          <w:sz w:val="32"/>
          <w:szCs w:val="32"/>
        </w:rPr>
        <w:t>（类）</w:t>
      </w:r>
      <w:r>
        <w:rPr>
          <w:rFonts w:hint="eastAsia" w:ascii="楷体" w:hAnsi="楷体" w:eastAsia="楷体" w:cs="楷体"/>
          <w:b w:val="0"/>
          <w:bCs/>
          <w:color w:val="000000"/>
          <w:kern w:val="0"/>
          <w:sz w:val="32"/>
          <w:szCs w:val="32"/>
          <w:lang w:eastAsia="zh-CN"/>
        </w:rPr>
        <w:t>扶贫</w:t>
      </w:r>
      <w:r>
        <w:rPr>
          <w:rFonts w:hint="eastAsia" w:ascii="楷体" w:hAnsi="楷体" w:eastAsia="楷体" w:cs="楷体"/>
          <w:b w:val="0"/>
          <w:bCs/>
          <w:color w:val="000000"/>
          <w:kern w:val="0"/>
          <w:sz w:val="32"/>
          <w:szCs w:val="32"/>
        </w:rPr>
        <w:t>（款）行政运行（项）。</w:t>
      </w:r>
      <w:r>
        <w:rPr>
          <w:rFonts w:ascii="仿宋_GB2312" w:hAnsi="宋体" w:eastAsia="仿宋_GB2312" w:cs="仿宋_GB2312"/>
          <w:b/>
          <w:color w:val="000000"/>
          <w:kern w:val="0"/>
          <w:sz w:val="32"/>
          <w:szCs w:val="32"/>
        </w:rPr>
        <w:t xml:space="preserve"> </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185.07</w:t>
      </w:r>
      <w:r>
        <w:rPr>
          <w:rFonts w:hint="eastAsia" w:ascii="仿宋_GB2312" w:hAnsi="宋体" w:eastAsia="仿宋_GB2312" w:cs="仿宋_GB2312"/>
          <w:color w:val="000000"/>
          <w:kern w:val="0"/>
          <w:sz w:val="32"/>
          <w:szCs w:val="32"/>
          <w:lang w:eastAsia="zh-CN"/>
        </w:rPr>
        <w:t>万元</w:t>
      </w:r>
      <w:r>
        <w:rPr>
          <w:rFonts w:ascii="仿宋_GB2312" w:hAnsi="宋体" w:eastAsia="仿宋_GB2312" w:cs="仿宋_GB2312"/>
          <w:color w:val="000000"/>
          <w:kern w:val="0"/>
          <w:sz w:val="32"/>
          <w:szCs w:val="32"/>
        </w:rPr>
        <w:t>，支出决算</w:t>
      </w:r>
      <w:r>
        <w:rPr>
          <w:rFonts w:hint="eastAsia" w:ascii="仿宋_GB2312" w:hAnsi="宋体" w:eastAsia="仿宋_GB2312" w:cs="仿宋_GB2312"/>
          <w:color w:val="000000"/>
          <w:kern w:val="0"/>
          <w:sz w:val="32"/>
          <w:szCs w:val="32"/>
        </w:rPr>
        <w:t>185.07</w:t>
      </w:r>
      <w:r>
        <w:rPr>
          <w:rFonts w:hint="eastAsia" w:ascii="仿宋_GB2312" w:hAnsi="宋体" w:eastAsia="仿宋_GB2312" w:cs="仿宋_GB2312"/>
          <w:color w:val="000000"/>
          <w:kern w:val="0"/>
          <w:sz w:val="32"/>
          <w:szCs w:val="32"/>
          <w:lang w:eastAsia="zh-CN"/>
        </w:rPr>
        <w:t>万元</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eastAsia="zh-CN"/>
        </w:rPr>
        <w:t>等于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w:t>
      </w:r>
    </w:p>
    <w:p>
      <w:pPr>
        <w:widowControl/>
        <w:numPr>
          <w:ilvl w:val="0"/>
          <w:numId w:val="0"/>
        </w:numPr>
        <w:wordWrap/>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2.</w:t>
      </w:r>
      <w:r>
        <w:rPr>
          <w:rFonts w:hint="eastAsia" w:ascii="楷体" w:hAnsi="楷体" w:eastAsia="楷体" w:cs="楷体"/>
          <w:b w:val="0"/>
          <w:bCs/>
          <w:color w:val="000000"/>
          <w:kern w:val="0"/>
          <w:sz w:val="32"/>
          <w:szCs w:val="32"/>
          <w:lang w:eastAsia="zh-CN"/>
        </w:rPr>
        <w:t>农林水支出类</w:t>
      </w:r>
      <w:r>
        <w:rPr>
          <w:rFonts w:hint="eastAsia" w:ascii="楷体" w:hAnsi="楷体" w:eastAsia="楷体" w:cs="楷体"/>
          <w:b w:val="0"/>
          <w:bCs/>
          <w:color w:val="000000"/>
          <w:kern w:val="0"/>
          <w:sz w:val="32"/>
          <w:szCs w:val="32"/>
        </w:rPr>
        <w:t>（类）</w:t>
      </w:r>
      <w:r>
        <w:rPr>
          <w:rFonts w:hint="eastAsia" w:ascii="楷体" w:hAnsi="楷体" w:eastAsia="楷体" w:cs="楷体"/>
          <w:b w:val="0"/>
          <w:bCs/>
          <w:color w:val="000000"/>
          <w:kern w:val="0"/>
          <w:sz w:val="32"/>
          <w:szCs w:val="32"/>
          <w:lang w:eastAsia="zh-CN"/>
        </w:rPr>
        <w:t>扶贫</w:t>
      </w:r>
      <w:r>
        <w:rPr>
          <w:rFonts w:hint="eastAsia" w:ascii="楷体" w:hAnsi="楷体" w:eastAsia="楷体" w:cs="楷体"/>
          <w:b w:val="0"/>
          <w:bCs/>
          <w:color w:val="000000"/>
          <w:kern w:val="0"/>
          <w:sz w:val="32"/>
          <w:szCs w:val="32"/>
        </w:rPr>
        <w:t>（款）</w:t>
      </w:r>
      <w:r>
        <w:rPr>
          <w:rFonts w:hint="eastAsia" w:ascii="楷体" w:hAnsi="楷体" w:eastAsia="楷体" w:cs="楷体"/>
          <w:b w:val="0"/>
          <w:bCs/>
          <w:color w:val="000000"/>
          <w:kern w:val="0"/>
          <w:sz w:val="32"/>
          <w:szCs w:val="32"/>
          <w:lang w:eastAsia="zh-CN"/>
        </w:rPr>
        <w:t>生产发展</w:t>
      </w:r>
      <w:r>
        <w:rPr>
          <w:rFonts w:hint="eastAsia" w:ascii="楷体" w:hAnsi="楷体" w:eastAsia="楷体" w:cs="楷体"/>
          <w:b w:val="0"/>
          <w:bCs/>
          <w:color w:val="000000"/>
          <w:kern w:val="0"/>
          <w:sz w:val="32"/>
          <w:szCs w:val="32"/>
        </w:rPr>
        <w:t>（项）</w:t>
      </w:r>
      <w:r>
        <w:rPr>
          <w:rFonts w:hint="eastAsia" w:ascii="楷体" w:hAnsi="楷体" w:eastAsia="楷体" w:cs="楷体"/>
          <w:b w:val="0"/>
          <w:bCs w:val="0"/>
          <w:color w:val="000000"/>
          <w:kern w:val="0"/>
          <w:sz w:val="32"/>
          <w:szCs w:val="32"/>
        </w:rPr>
        <w:t>。</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eastAsia="zh-CN"/>
        </w:rPr>
        <w:t>208.42万元</w:t>
      </w:r>
      <w:r>
        <w:rPr>
          <w:rFonts w:ascii="仿宋_GB2312" w:hAnsi="宋体" w:eastAsia="仿宋_GB2312" w:cs="仿宋_GB2312"/>
          <w:color w:val="000000"/>
          <w:kern w:val="0"/>
          <w:sz w:val="32"/>
          <w:szCs w:val="32"/>
        </w:rPr>
        <w:t>，支出决算</w:t>
      </w:r>
      <w:r>
        <w:rPr>
          <w:rFonts w:hint="eastAsia" w:ascii="仿宋_GB2312" w:hAnsi="宋体" w:eastAsia="仿宋_GB2312" w:cs="仿宋_GB2312"/>
          <w:color w:val="000000"/>
          <w:kern w:val="0"/>
          <w:sz w:val="32"/>
          <w:szCs w:val="32"/>
          <w:lang w:eastAsia="zh-CN"/>
        </w:rPr>
        <w:t>208.42万元</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eastAsia="zh-CN"/>
        </w:rPr>
        <w:t>等于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w:t>
      </w:r>
    </w:p>
    <w:p>
      <w:pPr>
        <w:widowControl/>
        <w:numPr>
          <w:ilvl w:val="0"/>
          <w:numId w:val="0"/>
        </w:numPr>
        <w:wordWrap/>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3.</w:t>
      </w:r>
      <w:r>
        <w:rPr>
          <w:rFonts w:hint="eastAsia" w:ascii="楷体" w:hAnsi="楷体" w:eastAsia="楷体" w:cs="楷体"/>
          <w:b w:val="0"/>
          <w:bCs/>
          <w:color w:val="000000"/>
          <w:kern w:val="0"/>
          <w:sz w:val="32"/>
          <w:szCs w:val="32"/>
          <w:lang w:eastAsia="zh-CN"/>
        </w:rPr>
        <w:t>农林水支出类</w:t>
      </w:r>
      <w:r>
        <w:rPr>
          <w:rFonts w:hint="eastAsia" w:ascii="楷体" w:hAnsi="楷体" w:eastAsia="楷体" w:cs="楷体"/>
          <w:b w:val="0"/>
          <w:bCs/>
          <w:color w:val="000000"/>
          <w:kern w:val="0"/>
          <w:sz w:val="32"/>
          <w:szCs w:val="32"/>
        </w:rPr>
        <w:t>（类）</w:t>
      </w:r>
      <w:r>
        <w:rPr>
          <w:rFonts w:hint="eastAsia" w:ascii="楷体" w:hAnsi="楷体" w:eastAsia="楷体" w:cs="楷体"/>
          <w:b w:val="0"/>
          <w:bCs/>
          <w:color w:val="000000"/>
          <w:kern w:val="0"/>
          <w:sz w:val="32"/>
          <w:szCs w:val="32"/>
          <w:lang w:eastAsia="zh-CN"/>
        </w:rPr>
        <w:t>扶贫</w:t>
      </w:r>
      <w:r>
        <w:rPr>
          <w:rFonts w:hint="eastAsia" w:ascii="楷体" w:hAnsi="楷体" w:eastAsia="楷体" w:cs="楷体"/>
          <w:b w:val="0"/>
          <w:bCs/>
          <w:color w:val="000000"/>
          <w:kern w:val="0"/>
          <w:sz w:val="32"/>
          <w:szCs w:val="32"/>
        </w:rPr>
        <w:t>（款）</w:t>
      </w:r>
      <w:r>
        <w:rPr>
          <w:rFonts w:hint="eastAsia" w:ascii="楷体" w:hAnsi="楷体" w:eastAsia="楷体" w:cs="楷体"/>
          <w:color w:val="000000"/>
          <w:kern w:val="0"/>
          <w:sz w:val="32"/>
          <w:szCs w:val="32"/>
          <w:lang w:eastAsia="zh-CN"/>
        </w:rPr>
        <w:t>其他扶贫支出</w:t>
      </w:r>
      <w:r>
        <w:rPr>
          <w:rFonts w:hint="eastAsia" w:ascii="楷体" w:hAnsi="楷体" w:eastAsia="楷体" w:cs="楷体"/>
          <w:b w:val="0"/>
          <w:bCs/>
          <w:color w:val="000000"/>
          <w:kern w:val="0"/>
          <w:sz w:val="32"/>
          <w:szCs w:val="32"/>
        </w:rPr>
        <w:t>（项）</w:t>
      </w:r>
      <w:r>
        <w:rPr>
          <w:rFonts w:hint="eastAsia" w:ascii="楷体" w:hAnsi="楷体" w:eastAsia="楷体" w:cs="楷体"/>
          <w:b w:val="0"/>
          <w:bCs w:val="0"/>
          <w:color w:val="000000"/>
          <w:kern w:val="0"/>
          <w:sz w:val="32"/>
          <w:szCs w:val="32"/>
        </w:rPr>
        <w:t>。</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eastAsia="zh-CN"/>
        </w:rPr>
        <w:t>291.7万元</w:t>
      </w:r>
      <w:r>
        <w:rPr>
          <w:rFonts w:ascii="仿宋_GB2312" w:hAnsi="宋体" w:eastAsia="仿宋_GB2312" w:cs="仿宋_GB2312"/>
          <w:color w:val="000000"/>
          <w:kern w:val="0"/>
          <w:sz w:val="32"/>
          <w:szCs w:val="32"/>
        </w:rPr>
        <w:t>，支出决算</w:t>
      </w:r>
      <w:r>
        <w:rPr>
          <w:rFonts w:hint="eastAsia" w:ascii="仿宋_GB2312" w:hAnsi="宋体" w:eastAsia="仿宋_GB2312" w:cs="仿宋_GB2312"/>
          <w:color w:val="000000"/>
          <w:kern w:val="0"/>
          <w:sz w:val="32"/>
          <w:szCs w:val="32"/>
          <w:lang w:eastAsia="zh-CN"/>
        </w:rPr>
        <w:t>291.7万元</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eastAsia="zh-CN"/>
        </w:rPr>
        <w:t>等于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w:t>
      </w:r>
    </w:p>
    <w:p>
      <w:pPr>
        <w:pStyle w:val="4"/>
        <w:widowControl w:val="0"/>
        <w:numPr>
          <w:ilvl w:val="0"/>
          <w:numId w:val="0"/>
        </w:numPr>
        <w:spacing w:after="120"/>
        <w:ind w:firstLine="640" w:firstLineChars="200"/>
        <w:jc w:val="both"/>
        <w:rPr>
          <w:rFonts w:hint="eastAsia" w:ascii="楷体" w:hAnsi="楷体" w:eastAsia="楷体" w:cs="楷体"/>
          <w:sz w:val="32"/>
          <w:szCs w:val="32"/>
          <w:lang w:val="en-US" w:eastAsia="zh-CN"/>
        </w:rPr>
      </w:pPr>
    </w:p>
    <w:p>
      <w:pPr>
        <w:pStyle w:val="4"/>
        <w:widowControl w:val="0"/>
        <w:numPr>
          <w:ilvl w:val="0"/>
          <w:numId w:val="0"/>
        </w:numPr>
        <w:spacing w:after="120"/>
        <w:jc w:val="both"/>
        <w:rPr>
          <w:rFonts w:hint="eastAsia"/>
        </w:rPr>
      </w:pPr>
      <w:r>
        <w:drawing>
          <wp:inline distT="0" distB="0" distL="114300" distR="114300">
            <wp:extent cx="5520690" cy="2844165"/>
            <wp:effectExtent l="4445" t="4445" r="18415" b="8890"/>
            <wp:docPr id="9" name="图表 1"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wordWrap/>
        <w:spacing w:line="560" w:lineRule="exact"/>
        <w:ind w:firstLine="640" w:firstLineChars="200"/>
        <w:textAlignment w:val="auto"/>
        <w:rPr>
          <w:rFonts w:ascii="仿宋_GB2312" w:hAnsi="仿宋" w:eastAsia="仿宋_GB2312"/>
          <w:i/>
          <w:iCs/>
          <w:sz w:val="32"/>
          <w:szCs w:val="32"/>
        </w:rPr>
      </w:pPr>
      <w:r>
        <w:rPr>
          <w:rFonts w:hint="eastAsia" w:ascii="黑体" w:hAnsi="黑体" w:eastAsia="黑体"/>
          <w:color w:val="000000"/>
          <w:kern w:val="0"/>
          <w:sz w:val="32"/>
          <w:szCs w:val="32"/>
        </w:rPr>
        <w:t>六、一般公共预算财政拨款基本支出决算情况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一般公共预算财政拨款基本支出</w:t>
      </w:r>
      <w:r>
        <w:rPr>
          <w:rFonts w:hint="eastAsia" w:ascii="仿宋_GB2312" w:hAnsi="宋体" w:eastAsia="仿宋_GB2312" w:cs="仿宋_GB2312"/>
          <w:color w:val="000000"/>
          <w:kern w:val="0"/>
          <w:sz w:val="32"/>
          <w:szCs w:val="32"/>
          <w:lang w:eastAsia="zh-CN"/>
        </w:rPr>
        <w:t>216.72</w:t>
      </w:r>
      <w:r>
        <w:rPr>
          <w:rFonts w:ascii="仿宋_GB2312" w:hAnsi="宋体" w:eastAsia="仿宋_GB2312" w:cs="仿宋_GB2312"/>
          <w:color w:val="000000"/>
          <w:kern w:val="0"/>
          <w:sz w:val="32"/>
          <w:szCs w:val="32"/>
        </w:rPr>
        <w:t>万元，包括人员经费和公用经费。</w:t>
      </w:r>
      <w:r>
        <w:rPr>
          <w:rFonts w:hint="eastAsia" w:ascii="仿宋_GB2312" w:hAnsi="宋体" w:eastAsia="仿宋_GB2312" w:cs="仿宋_GB2312"/>
          <w:color w:val="000000"/>
          <w:kern w:val="0"/>
          <w:sz w:val="32"/>
          <w:szCs w:val="32"/>
          <w:lang w:eastAsia="zh-CN"/>
        </w:rPr>
        <w:t>其中：</w:t>
      </w:r>
    </w:p>
    <w:p>
      <w:pPr>
        <w:widowControl/>
        <w:jc w:val="left"/>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rPr>
        <w:t xml:space="preserve">    </w:t>
      </w:r>
      <w:r>
        <w:rPr>
          <w:rFonts w:hint="eastAsia" w:ascii="楷体" w:hAnsi="楷体" w:eastAsia="楷体" w:cs="楷体"/>
          <w:b w:val="0"/>
          <w:bCs w:val="0"/>
          <w:color w:val="000000"/>
          <w:kern w:val="0"/>
          <w:sz w:val="32"/>
          <w:szCs w:val="32"/>
          <w:lang w:eastAsia="zh-CN"/>
        </w:rPr>
        <w:t>（一）</w:t>
      </w:r>
      <w:r>
        <w:rPr>
          <w:rFonts w:hint="eastAsia" w:ascii="楷体" w:hAnsi="楷体" w:eastAsia="楷体" w:cs="楷体"/>
          <w:b w:val="0"/>
          <w:bCs w:val="0"/>
          <w:color w:val="000000"/>
          <w:kern w:val="0"/>
          <w:sz w:val="32"/>
          <w:szCs w:val="32"/>
        </w:rPr>
        <w:t>人员经费</w:t>
      </w:r>
      <w:r>
        <w:rPr>
          <w:rFonts w:hint="eastAsia" w:ascii="仿宋_GB2312" w:hAnsi="宋体" w:eastAsia="仿宋_GB2312" w:cs="仿宋_GB2312"/>
          <w:color w:val="000000"/>
          <w:kern w:val="0"/>
          <w:sz w:val="32"/>
          <w:szCs w:val="32"/>
          <w:lang w:eastAsia="zh-CN"/>
        </w:rPr>
        <w:t>142.23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主要包括</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rPr>
        <w:t>基本工资、绩效工资</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津贴补贴、</w:t>
      </w:r>
      <w:r>
        <w:rPr>
          <w:rFonts w:hint="eastAsia" w:ascii="仿宋_GB2312" w:hAnsi="宋体" w:eastAsia="仿宋_GB2312" w:cs="仿宋_GB2312"/>
          <w:color w:val="000000"/>
          <w:kern w:val="0"/>
          <w:sz w:val="32"/>
          <w:szCs w:val="32"/>
          <w:lang w:eastAsia="zh-CN"/>
        </w:rPr>
        <w:t>社保缴费、对个人和家庭的补助</w:t>
      </w:r>
      <w:r>
        <w:rPr>
          <w:rFonts w:hint="eastAsia"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楷体" w:hAnsi="楷体" w:eastAsia="楷体" w:cs="楷体"/>
          <w:b w:val="0"/>
          <w:bCs w:val="0"/>
          <w:color w:val="000000"/>
          <w:kern w:val="0"/>
          <w:sz w:val="32"/>
          <w:szCs w:val="32"/>
          <w:lang w:eastAsia="zh-CN"/>
        </w:rPr>
        <w:t>（二）公用</w:t>
      </w:r>
      <w:r>
        <w:rPr>
          <w:rFonts w:hint="eastAsia" w:ascii="楷体" w:hAnsi="楷体" w:eastAsia="楷体" w:cs="楷体"/>
          <w:b w:val="0"/>
          <w:bCs w:val="0"/>
          <w:color w:val="000000"/>
          <w:kern w:val="0"/>
          <w:sz w:val="32"/>
          <w:szCs w:val="32"/>
        </w:rPr>
        <w:t>经费</w:t>
      </w:r>
      <w:r>
        <w:rPr>
          <w:rFonts w:hint="eastAsia" w:ascii="仿宋_GB2312" w:hAnsi="宋体" w:eastAsia="仿宋_GB2312" w:cs="仿宋_GB2312"/>
          <w:color w:val="000000"/>
          <w:kern w:val="0"/>
          <w:sz w:val="32"/>
          <w:szCs w:val="32"/>
          <w:lang w:eastAsia="zh-CN"/>
        </w:rPr>
        <w:t>74.49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主要包括</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办公费、印刷费、</w:t>
      </w:r>
      <w:r>
        <w:rPr>
          <w:rFonts w:hint="eastAsia" w:ascii="仿宋_GB2312" w:hAnsi="宋体" w:eastAsia="仿宋_GB2312" w:cs="仿宋_GB2312"/>
          <w:color w:val="000000"/>
          <w:kern w:val="0"/>
          <w:sz w:val="32"/>
          <w:szCs w:val="32"/>
          <w:lang w:eastAsia="zh-CN"/>
        </w:rPr>
        <w:t>水电费、差旅费、劳务费、委托业务费、其他商品和服务支出</w:t>
      </w:r>
      <w:r>
        <w:rPr>
          <w:rFonts w:hint="eastAsia" w:ascii="仿宋_GB2312" w:hAnsi="宋体" w:eastAsia="仿宋_GB2312" w:cs="仿宋_GB2312"/>
          <w:color w:val="000000"/>
          <w:kern w:val="0"/>
          <w:sz w:val="32"/>
          <w:szCs w:val="32"/>
        </w:rPr>
        <w:t>。</w:t>
      </w:r>
    </w:p>
    <w:p>
      <w:pPr>
        <w:pStyle w:val="4"/>
        <w:rPr>
          <w:rFonts w:hint="eastAsia" w:ascii="仿宋_GB2312" w:hAnsi="宋体" w:eastAsia="仿宋_GB2312" w:cs="仿宋_GB2312"/>
          <w:color w:val="000000"/>
          <w:kern w:val="0"/>
          <w:sz w:val="32"/>
          <w:szCs w:val="32"/>
        </w:rPr>
      </w:pPr>
      <w:r>
        <w:drawing>
          <wp:inline distT="0" distB="0" distL="114300" distR="114300">
            <wp:extent cx="5506720" cy="2564130"/>
            <wp:effectExtent l="4445" t="4445" r="13335" b="22225"/>
            <wp:docPr id="11" name="图表 4"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wordWrap/>
        <w:spacing w:line="560" w:lineRule="exact"/>
        <w:ind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pPr>
      <w:r>
        <w:rPr>
          <w:rFonts w:hint="eastAsia" w:ascii="楷体" w:hAnsi="楷体" w:eastAsia="楷体" w:cs="楷体"/>
          <w:b w:val="0"/>
          <w:bCs/>
          <w:color w:val="000000"/>
          <w:kern w:val="0"/>
          <w:sz w:val="32"/>
          <w:szCs w:val="32"/>
        </w:rPr>
        <w:t>（一）“三公”经费财政拨款支出决算情况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r>
        <w:rPr>
          <w:rFonts w:ascii="楷体_GB2312" w:hAnsi="宋体" w:eastAsia="楷体_GB2312" w:cs="楷体_GB2312"/>
          <w:b/>
          <w:color w:val="000000"/>
          <w:kern w:val="0"/>
          <w:sz w:val="32"/>
          <w:szCs w:val="32"/>
        </w:rPr>
        <w:t xml:space="preserve"> </w:t>
      </w:r>
    </w:p>
    <w:p>
      <w:pPr>
        <w:widowControl/>
        <w:numPr>
          <w:ilvl w:val="0"/>
          <w:numId w:val="0"/>
        </w:numPr>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度一般公共预算安排</w:t>
      </w:r>
      <w:r>
        <w:rPr>
          <w:rFonts w:ascii="仿宋_GB2312" w:hAnsi="宋体" w:eastAsia="仿宋_GB2312" w:cs="仿宋_GB2312"/>
          <w:color w:val="000000"/>
          <w:kern w:val="0"/>
          <w:sz w:val="32"/>
          <w:szCs w:val="32"/>
        </w:rPr>
        <w:t>“三公”经费支出预算</w:t>
      </w:r>
      <w:r>
        <w:rPr>
          <w:rFonts w:hint="eastAsia" w:ascii="仿宋_GB2312" w:hAnsi="宋体" w:eastAsia="仿宋_GB2312" w:cs="仿宋_GB2312"/>
          <w:color w:val="000000"/>
          <w:kern w:val="0"/>
          <w:sz w:val="32"/>
          <w:szCs w:val="32"/>
          <w:lang w:val="en-US" w:eastAsia="zh-CN"/>
        </w:rPr>
        <w:t>0.94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0.91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，完成预算的</w:t>
      </w:r>
      <w:r>
        <w:rPr>
          <w:rFonts w:hint="eastAsia" w:ascii="仿宋_GB2312" w:hAnsi="宋体" w:eastAsia="仿宋_GB2312" w:cs="仿宋_GB2312"/>
          <w:color w:val="000000"/>
          <w:kern w:val="0"/>
          <w:sz w:val="32"/>
          <w:szCs w:val="32"/>
          <w:lang w:val="en-US" w:eastAsia="zh-CN"/>
        </w:rPr>
        <w:t>97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。决算数小于预算数的主要原因是按照中央八项规定及三公经费</w:t>
      </w:r>
      <w:bookmarkStart w:id="0" w:name="_GoBack"/>
      <w:bookmarkEnd w:id="0"/>
      <w:r>
        <w:rPr>
          <w:rFonts w:hint="eastAsia" w:ascii="仿宋_GB2312" w:hAnsi="宋体" w:eastAsia="仿宋_GB2312" w:cs="仿宋_GB2312"/>
          <w:color w:val="000000"/>
          <w:kern w:val="0"/>
          <w:sz w:val="32"/>
          <w:szCs w:val="32"/>
          <w:lang w:eastAsia="zh-CN"/>
        </w:rPr>
        <w:t>支出管理办法，三公经费支出严格按照预算执行的同时要小于上年支出数</w:t>
      </w:r>
      <w:r>
        <w:rPr>
          <w:rFonts w:hint="eastAsia" w:ascii="仿宋_GB2312" w:hAnsi="宋体" w:eastAsia="仿宋_GB2312" w:cs="仿宋_GB2312"/>
          <w:color w:val="000000"/>
          <w:kern w:val="0"/>
          <w:sz w:val="32"/>
          <w:szCs w:val="32"/>
        </w:rPr>
        <w:t>。</w:t>
      </w:r>
    </w:p>
    <w:p>
      <w:pPr>
        <w:numPr>
          <w:ilvl w:val="0"/>
          <w:numId w:val="0"/>
        </w:numPr>
        <w:wordWrap/>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    1.</w:t>
      </w:r>
      <w:r>
        <w:rPr>
          <w:rFonts w:hint="eastAsia" w:ascii="楷体" w:hAnsi="楷体" w:eastAsia="楷体" w:cs="楷体"/>
          <w:b w:val="0"/>
          <w:bCs w:val="0"/>
          <w:sz w:val="32"/>
          <w:szCs w:val="32"/>
        </w:rPr>
        <w:t>因公出国（境）支出情况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本年度无一般公共预算因公出国（境）预算安排。</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2.公务用车购置费用支出情况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本年度无一般公共预算公务用车购置预算安排</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3.公务用车运行维护费用支出情况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numPr>
          <w:ilvl w:val="0"/>
          <w:numId w:val="0"/>
        </w:numPr>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度无一般公共预算安排</w:t>
      </w:r>
      <w:r>
        <w:rPr>
          <w:rFonts w:hint="eastAsia" w:ascii="仿宋_GB2312" w:hAnsi="宋体" w:eastAsia="仿宋_GB2312" w:cs="仿宋_GB2312"/>
          <w:color w:val="000000"/>
          <w:kern w:val="0"/>
          <w:sz w:val="32"/>
          <w:szCs w:val="32"/>
        </w:rPr>
        <w:t>公务用车运行维护</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eastAsia="zh-CN"/>
        </w:rPr>
        <w:t>安排</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4.公务接待费支出情况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本年度一般公共预算安排</w:t>
      </w:r>
      <w:r>
        <w:rPr>
          <w:rFonts w:hint="eastAsia" w:ascii="仿宋_GB2312" w:hAnsi="宋体" w:eastAsia="仿宋_GB2312" w:cs="仿宋_GB2312"/>
          <w:color w:val="000000"/>
          <w:kern w:val="0"/>
          <w:sz w:val="32"/>
          <w:szCs w:val="32"/>
        </w:rPr>
        <w:t>公务接待</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0.94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0.91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97</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0.03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厉行节约，减少公务接待支出避免损失浪费</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其中：</w:t>
      </w:r>
    </w:p>
    <w:p>
      <w:pPr>
        <w:widowControl/>
        <w:wordWrap/>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lang w:eastAsia="zh-CN"/>
        </w:rPr>
        <w:t>外宾接待</w:t>
      </w:r>
      <w:r>
        <w:rPr>
          <w:rFonts w:hint="eastAsia" w:ascii="仿宋_GB2312" w:hAnsi="宋体" w:eastAsia="仿宋_GB2312" w:cs="仿宋_GB2312"/>
          <w:color w:val="000000"/>
          <w:kern w:val="0"/>
          <w:sz w:val="32"/>
          <w:szCs w:val="32"/>
          <w:lang w:eastAsia="zh-CN"/>
        </w:rPr>
        <w:t>支出</w:t>
      </w:r>
      <w:r>
        <w:rPr>
          <w:rFonts w:hint="eastAsia" w:ascii="仿宋_GB2312" w:hAnsi="仿宋_GB2312" w:eastAsia="仿宋_GB2312" w:cs="仿宋_GB2312"/>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p>
    <w:p>
      <w:pPr>
        <w:widowControl/>
        <w:wordWrap/>
        <w:spacing w:line="560" w:lineRule="exact"/>
        <w:ind w:firstLine="643" w:firstLineChars="200"/>
        <w:jc w:val="left"/>
        <w:textAlignment w:val="auto"/>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b/>
          <w:bCs/>
          <w:color w:val="000000"/>
          <w:kern w:val="0"/>
          <w:sz w:val="32"/>
          <w:szCs w:val="32"/>
          <w:lang w:eastAsia="zh-CN"/>
        </w:rPr>
        <w:t>国内公务接待</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lang w:val="en-US" w:eastAsia="zh-CN"/>
        </w:rPr>
        <w:t>0.91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。主要是</w:t>
      </w:r>
      <w:r>
        <w:rPr>
          <w:rFonts w:hint="eastAsia" w:ascii="仿宋_GB2312" w:hAnsi="宋体" w:eastAsia="仿宋_GB2312" w:cs="仿宋_GB2312"/>
          <w:color w:val="000000"/>
          <w:kern w:val="0"/>
          <w:sz w:val="32"/>
          <w:szCs w:val="32"/>
          <w:lang w:val="en-US" w:eastAsia="zh-CN"/>
        </w:rPr>
        <w:t>单位与省、市、县相关单位交流工作、接受上级有关部门工作检查指导</w:t>
      </w:r>
      <w:r>
        <w:rPr>
          <w:rFonts w:hint="eastAsia" w:ascii="仿宋_GB2312" w:hAnsi="宋体" w:eastAsia="仿宋_GB2312" w:cs="仿宋_GB2312"/>
          <w:color w:val="000000"/>
          <w:kern w:val="0"/>
          <w:sz w:val="32"/>
          <w:szCs w:val="32"/>
          <w:lang w:eastAsia="zh-CN"/>
        </w:rPr>
        <w:t>、督查暗访、交流学习等</w:t>
      </w:r>
      <w:r>
        <w:rPr>
          <w:rFonts w:hint="eastAsia" w:ascii="仿宋_GB2312" w:hAnsi="宋体" w:eastAsia="仿宋_GB2312" w:cs="仿宋_GB2312"/>
          <w:color w:val="000000"/>
          <w:kern w:val="0"/>
          <w:sz w:val="32"/>
          <w:szCs w:val="32"/>
          <w:lang w:val="en-US" w:eastAsia="zh-CN"/>
        </w:rPr>
        <w:t>发生的接待支出。共接待国内来访团组18</w:t>
      </w:r>
      <w:r>
        <w:rPr>
          <w:rFonts w:hint="eastAsia" w:ascii="仿宋_GB2312" w:hAnsi="宋体" w:eastAsia="仿宋_GB2312" w:cs="仿宋_GB2312"/>
          <w:color w:val="000000"/>
          <w:kern w:val="0"/>
          <w:sz w:val="32"/>
          <w:szCs w:val="32"/>
          <w:lang w:eastAsia="zh-CN"/>
        </w:rPr>
        <w:t>个，来宾</w:t>
      </w:r>
      <w:r>
        <w:rPr>
          <w:rFonts w:hint="eastAsia" w:ascii="仿宋_GB2312" w:hAnsi="宋体" w:eastAsia="仿宋_GB2312" w:cs="仿宋_GB2312"/>
          <w:color w:val="000000"/>
          <w:kern w:val="0"/>
          <w:sz w:val="32"/>
          <w:szCs w:val="32"/>
          <w:lang w:val="en-US" w:eastAsia="zh-CN"/>
        </w:rPr>
        <w:t>122</w:t>
      </w:r>
      <w:r>
        <w:rPr>
          <w:rFonts w:hint="eastAsia" w:ascii="仿宋_GB2312" w:hAnsi="宋体" w:eastAsia="仿宋_GB2312" w:cs="仿宋_GB2312"/>
          <w:color w:val="000000"/>
          <w:kern w:val="0"/>
          <w:sz w:val="32"/>
          <w:szCs w:val="32"/>
          <w:lang w:eastAsia="zh-CN"/>
        </w:rPr>
        <w:t>人次。</w:t>
      </w:r>
    </w:p>
    <w:p>
      <w:pPr>
        <w:wordWrap/>
        <w:spacing w:line="560" w:lineRule="exact"/>
        <w:ind w:firstLine="640" w:firstLineChars="200"/>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w:t>
      </w:r>
      <w:r>
        <w:rPr>
          <w:rFonts w:hint="eastAsia" w:ascii="楷体_GB2312" w:hAnsi="宋体" w:eastAsia="楷体_GB2312" w:cs="楷体_GB2312"/>
          <w:b w:val="0"/>
          <w:bCs/>
          <w:color w:val="000000"/>
          <w:kern w:val="0"/>
          <w:sz w:val="32"/>
          <w:szCs w:val="32"/>
          <w:lang w:eastAsia="zh-CN"/>
        </w:rPr>
        <w:t>二</w:t>
      </w:r>
      <w:r>
        <w:rPr>
          <w:rFonts w:hint="eastAsia" w:ascii="楷体_GB2312" w:hAnsi="宋体" w:eastAsia="楷体_GB2312" w:cs="楷体_GB2312"/>
          <w:b w:val="0"/>
          <w:bCs/>
          <w:color w:val="000000"/>
          <w:kern w:val="0"/>
          <w:sz w:val="32"/>
          <w:szCs w:val="32"/>
        </w:rPr>
        <w:t>）培训费支出情况</w:t>
      </w:r>
      <w:r>
        <w:rPr>
          <w:rFonts w:hint="eastAsia" w:ascii="楷体_GB2312" w:hAnsi="宋体" w:eastAsia="楷体_GB2312" w:cs="楷体_GB2312"/>
          <w:b w:val="0"/>
          <w:bCs/>
          <w:color w:val="000000"/>
          <w:kern w:val="0"/>
          <w:sz w:val="32"/>
          <w:szCs w:val="32"/>
          <w:lang w:eastAsia="zh-CN"/>
        </w:rPr>
        <w:t>说明</w:t>
      </w:r>
      <w:r>
        <w:rPr>
          <w:rFonts w:hint="eastAsia" w:ascii="楷体_GB2312" w:hAnsi="宋体" w:eastAsia="楷体_GB2312" w:cs="楷体_GB2312"/>
          <w:b w:val="0"/>
          <w:bCs/>
          <w:color w:val="000000"/>
          <w:kern w:val="0"/>
          <w:sz w:val="32"/>
          <w:szCs w:val="32"/>
        </w:rPr>
        <w:t>。</w:t>
      </w:r>
    </w:p>
    <w:p>
      <w:pPr>
        <w:widowControl/>
        <w:numPr>
          <w:ilvl w:val="0"/>
          <w:numId w:val="0"/>
        </w:numPr>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本年度一般公共预算安排</w:t>
      </w:r>
      <w:r>
        <w:rPr>
          <w:rFonts w:hint="eastAsia" w:ascii="仿宋_GB2312" w:hAnsi="宋体" w:eastAsia="仿宋_GB2312" w:cs="仿宋_GB2312"/>
          <w:color w:val="000000"/>
          <w:kern w:val="0"/>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w:t>
      </w:r>
      <w:r>
        <w:rPr>
          <w:rFonts w:hint="eastAsia" w:ascii="楷体" w:hAnsi="楷体" w:eastAsia="楷体" w:cs="楷体"/>
          <w:b w:val="0"/>
          <w:bCs/>
          <w:color w:val="000000"/>
          <w:kern w:val="0"/>
          <w:sz w:val="32"/>
          <w:szCs w:val="32"/>
          <w:lang w:eastAsia="zh-CN"/>
        </w:rPr>
        <w:t>三</w:t>
      </w:r>
      <w:r>
        <w:rPr>
          <w:rFonts w:hint="eastAsia" w:ascii="楷体" w:hAnsi="楷体" w:eastAsia="楷体" w:cs="楷体"/>
          <w:b w:val="0"/>
          <w:bCs/>
          <w:color w:val="000000"/>
          <w:kern w:val="0"/>
          <w:sz w:val="32"/>
          <w:szCs w:val="32"/>
        </w:rPr>
        <w:t>）会议费支出情况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本年度一般公共预算安排会议费预算</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万元，支出决算</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万元。</w:t>
      </w:r>
    </w:p>
    <w:p>
      <w:pPr>
        <w:numPr>
          <w:ilvl w:val="0"/>
          <w:numId w:val="0"/>
        </w:numPr>
        <w:wordWrap/>
        <w:spacing w:line="56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八、</w:t>
      </w:r>
      <w:r>
        <w:rPr>
          <w:rFonts w:hint="eastAsia" w:ascii="黑体" w:hAnsi="黑体" w:eastAsia="黑体"/>
          <w:color w:val="000000"/>
          <w:kern w:val="0"/>
          <w:sz w:val="32"/>
          <w:szCs w:val="32"/>
        </w:rPr>
        <w:t>政府性基金预算财政拨款收入支出情况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eastAsia="zh-CN"/>
        </w:rPr>
        <w:t>本部门无政府性基金预算财政拨款，并已公开空表。</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九、国有资本经营</w:t>
      </w:r>
      <w:r>
        <w:rPr>
          <w:rFonts w:hint="eastAsia" w:ascii="黑体" w:hAnsi="黑体" w:eastAsia="黑体"/>
          <w:color w:val="000000"/>
          <w:kern w:val="0"/>
          <w:sz w:val="32"/>
          <w:szCs w:val="32"/>
          <w:lang w:eastAsia="zh-CN"/>
        </w:rPr>
        <w:t>预算</w:t>
      </w:r>
      <w:r>
        <w:rPr>
          <w:rFonts w:hint="eastAsia" w:ascii="黑体" w:hAnsi="黑体" w:eastAsia="黑体"/>
          <w:color w:val="000000"/>
          <w:kern w:val="0"/>
          <w:sz w:val="32"/>
          <w:szCs w:val="32"/>
        </w:rPr>
        <w:t>财政拨款支</w:t>
      </w:r>
      <w:r>
        <w:rPr>
          <w:rFonts w:hint="eastAsia" w:ascii="黑体" w:hAnsi="黑体" w:eastAsia="黑体"/>
          <w:color w:val="000000"/>
          <w:kern w:val="0"/>
          <w:sz w:val="32"/>
          <w:szCs w:val="32"/>
          <w:lang w:eastAsia="zh-CN"/>
        </w:rPr>
        <w:t>出决算</w:t>
      </w:r>
      <w:r>
        <w:rPr>
          <w:rFonts w:hint="eastAsia" w:ascii="黑体" w:hAnsi="黑体" w:eastAsia="黑体"/>
          <w:color w:val="000000"/>
          <w:kern w:val="0"/>
          <w:sz w:val="32"/>
          <w:szCs w:val="32"/>
        </w:rPr>
        <w:t>情况</w:t>
      </w:r>
      <w:r>
        <w:rPr>
          <w:rFonts w:hint="eastAsia" w:ascii="黑体" w:hAnsi="黑体" w:eastAsia="黑体"/>
          <w:color w:val="000000"/>
          <w:kern w:val="0"/>
          <w:sz w:val="32"/>
          <w:szCs w:val="32"/>
          <w:lang w:eastAsia="zh-CN"/>
        </w:rPr>
        <w:t>说明</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eastAsia="zh-CN"/>
        </w:rPr>
        <w:t>本部门无国有资本经营预算财政拨款，并已公开空表。</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本年度机关运行经费预算685.18万元，支出决算685.18万元，完成预算的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lang w:eastAsia="zh-CN"/>
        </w:rPr>
        <w:t>%。支出决算比上年增加</w:t>
      </w:r>
      <w:r>
        <w:rPr>
          <w:rFonts w:hint="eastAsia" w:ascii="仿宋_GB2312" w:hAnsi="宋体" w:eastAsia="仿宋_GB2312" w:cs="仿宋_GB2312"/>
          <w:color w:val="000000"/>
          <w:kern w:val="0"/>
          <w:sz w:val="32"/>
          <w:szCs w:val="32"/>
          <w:lang w:val="en-US" w:eastAsia="zh-CN"/>
        </w:rPr>
        <w:t>162.99</w:t>
      </w:r>
      <w:r>
        <w:rPr>
          <w:rFonts w:hint="eastAsia" w:ascii="仿宋_GB2312" w:hAnsi="宋体" w:eastAsia="仿宋_GB2312" w:cs="仿宋_GB2312"/>
          <w:color w:val="000000"/>
          <w:kern w:val="0"/>
          <w:sz w:val="32"/>
          <w:szCs w:val="32"/>
          <w:lang w:eastAsia="zh-CN"/>
        </w:rPr>
        <w:t>万元，主要是</w:t>
      </w:r>
      <w:r>
        <w:rPr>
          <w:rFonts w:hint="eastAsia" w:ascii="仿宋_GB2312" w:hAnsi="宋体" w:eastAsia="仿宋_GB2312" w:cs="仿宋_GB2312"/>
          <w:color w:val="000000"/>
          <w:kern w:val="0"/>
          <w:sz w:val="32"/>
          <w:szCs w:val="32"/>
          <w:lang w:val="en-US" w:eastAsia="zh-CN"/>
        </w:rPr>
        <w:t>2021年县财政将以前年度直接转入“一卡通专户”的互助资金小额信贷贴息专项资金131.72万元拨入乡村振兴局；收支乡村振兴专项、电商发展专项资金30万元。</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本年度</w:t>
      </w:r>
      <w:r>
        <w:rPr>
          <w:rFonts w:hint="eastAsia" w:ascii="仿宋_GB2312" w:hAnsi="宋体" w:eastAsia="仿宋_GB2312" w:cs="仿宋_GB2312"/>
          <w:color w:val="000000"/>
          <w:kern w:val="0"/>
          <w:sz w:val="32"/>
          <w:szCs w:val="32"/>
        </w:rPr>
        <w:t>政府采购支出总额共</w:t>
      </w:r>
      <w:r>
        <w:rPr>
          <w:rFonts w:hint="eastAsia" w:ascii="仿宋_GB2312" w:hAnsi="宋体" w:eastAsia="仿宋_GB2312" w:cs="仿宋_GB2312"/>
          <w:color w:val="000000"/>
          <w:kern w:val="0"/>
          <w:sz w:val="32"/>
          <w:szCs w:val="32"/>
          <w:lang w:val="en-US" w:eastAsia="zh-CN"/>
        </w:rPr>
        <w:t>8.25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其中</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政府采购货物类支出</w:t>
      </w:r>
      <w:r>
        <w:rPr>
          <w:rFonts w:hint="eastAsia" w:ascii="仿宋_GB2312" w:hAnsi="宋体" w:eastAsia="仿宋_GB2312" w:cs="仿宋_GB2312"/>
          <w:color w:val="000000"/>
          <w:kern w:val="0"/>
          <w:sz w:val="32"/>
          <w:szCs w:val="32"/>
          <w:lang w:val="en-US" w:eastAsia="zh-CN"/>
        </w:rPr>
        <w:t>8.25</w:t>
      </w:r>
      <w:r>
        <w:rPr>
          <w:rFonts w:hint="eastAsia" w:ascii="仿宋_GB2312" w:hAnsi="宋体" w:eastAsia="仿宋_GB2312" w:cs="仿宋_GB2312"/>
          <w:color w:val="000000"/>
          <w:kern w:val="0"/>
          <w:sz w:val="32"/>
          <w:szCs w:val="32"/>
        </w:rPr>
        <w:t>万元、政府采购工程类支出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万元、政府采购服务类支出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8.25</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8.25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eastAsia="zh-CN"/>
        </w:rPr>
        <w:t>授予中小企业合同金额的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；货物采购授予中小企业合同金额占货物支出的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；工程采购授予中小企业合同金额占工程支出的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；服务采购授予中小企业合同金额占服务支出的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idowControl/>
        <w:numPr>
          <w:ilvl w:val="0"/>
          <w:numId w:val="0"/>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截至202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lang w:eastAsia="zh-CN"/>
        </w:rPr>
        <w:t>年末，本部门机关及所属单位共有车辆</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辆，其中副部（省）级以上领导用车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辆，主要领导干部用车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辆，机要通信用车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辆，应急保障用车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辆，执法执勤用车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辆，特种专业技术用车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辆，离退休干部用车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辆，其他用车</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辆。单价50万元以上的通用设备</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台；单价100万元以上的专用设备</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台。202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lang w:eastAsia="zh-CN"/>
        </w:rPr>
        <w:t>年当年购置车辆</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辆；购置单价50万元以上的通用设备</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台；购置单价100万元以上的专用设备</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台。</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w:t>
      </w:r>
      <w:r>
        <w:rPr>
          <w:rFonts w:hint="eastAsia" w:ascii="黑体" w:hAnsi="黑体" w:eastAsia="黑体"/>
          <w:color w:val="000000"/>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wordWrap/>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eastAsia="zh-CN"/>
        </w:rPr>
        <w:t>本部门积极推进预算绩效管理改革工作，建立了绩效管制度体系，严格按照《中共安康市委</w:t>
      </w:r>
      <w:r>
        <w:rPr>
          <w:rFonts w:hint="eastAsia" w:ascii="仿宋_GB2312" w:hAnsi="宋体" w:eastAsia="仿宋_GB2312" w:cs="仿宋_GB2312"/>
          <w:color w:val="000000"/>
          <w:kern w:val="0"/>
          <w:sz w:val="32"/>
          <w:szCs w:val="32"/>
          <w:lang w:val="en-US" w:eastAsia="zh-CN"/>
        </w:rPr>
        <w:t xml:space="preserve"> 安康市人民政府关于全面实施预算绩效管理的实施意见</w:t>
      </w:r>
      <w:r>
        <w:rPr>
          <w:rFonts w:hint="eastAsia" w:ascii="仿宋_GB2312" w:hAnsi="宋体" w:eastAsia="仿宋_GB2312" w:cs="仿宋_GB2312"/>
          <w:color w:val="000000"/>
          <w:kern w:val="0"/>
          <w:sz w:val="32"/>
          <w:szCs w:val="32"/>
          <w:lang w:eastAsia="zh-CN"/>
        </w:rPr>
        <w:t>》（安</w:t>
      </w:r>
      <w:r>
        <w:rPr>
          <w:rFonts w:hint="eastAsia" w:ascii="仿宋_GB2312" w:hAnsi="宋体" w:eastAsia="仿宋_GB2312" w:cs="仿宋_GB2312"/>
          <w:color w:val="000000"/>
          <w:kern w:val="0"/>
          <w:sz w:val="32"/>
          <w:szCs w:val="32"/>
          <w:lang w:val="en-US" w:eastAsia="zh-CN"/>
        </w:rPr>
        <w:t>发〔2021〕14号） 《中共镇坪县委 镇坪县人民政府关于印发全面实施预算绩效管理工作实施方案》</w:t>
      </w:r>
      <w:r>
        <w:rPr>
          <w:rFonts w:hint="eastAsia" w:ascii="仿宋_GB2312" w:hAnsi="宋体" w:eastAsia="仿宋_GB2312" w:cs="仿宋_GB2312"/>
          <w:color w:val="000000"/>
          <w:kern w:val="0"/>
          <w:sz w:val="32"/>
          <w:szCs w:val="32"/>
          <w:lang w:eastAsia="zh-CN"/>
        </w:rPr>
        <w:t>（镇</w:t>
      </w:r>
      <w:r>
        <w:rPr>
          <w:rFonts w:hint="eastAsia" w:ascii="仿宋_GB2312" w:hAnsi="宋体" w:eastAsia="仿宋_GB2312" w:cs="仿宋_GB2312"/>
          <w:color w:val="000000"/>
          <w:kern w:val="0"/>
          <w:sz w:val="32"/>
          <w:szCs w:val="32"/>
          <w:lang w:val="en-US" w:eastAsia="zh-CN"/>
        </w:rPr>
        <w:t>发〔2022〕7号），</w:t>
      </w:r>
      <w:r>
        <w:rPr>
          <w:rFonts w:hint="eastAsia" w:ascii="仿宋_GB2312" w:hAnsi="宋体" w:eastAsia="仿宋_GB2312" w:cs="仿宋_GB2312"/>
          <w:color w:val="000000"/>
          <w:kern w:val="0"/>
          <w:sz w:val="32"/>
          <w:szCs w:val="32"/>
          <w:lang w:eastAsia="zh-CN"/>
        </w:rPr>
        <w:t>完善了绩效管理工作机制，认真学习《镇坪县财政局关于印发全面实施</w:t>
      </w:r>
      <w:r>
        <w:rPr>
          <w:rFonts w:hint="eastAsia" w:ascii="仿宋_GB2312" w:hAnsi="仿宋_GB2312" w:eastAsia="仿宋_GB2312" w:cs="仿宋_GB2312"/>
          <w:sz w:val="32"/>
          <w:szCs w:val="32"/>
          <w:lang w:eastAsia="zh-CN"/>
        </w:rPr>
        <w:t>预算绩效管理系列制度的通知》（镇财发</w:t>
      </w:r>
      <w:r>
        <w:rPr>
          <w:rFonts w:hint="eastAsia" w:ascii="仿宋_GB2312" w:hAnsi="仿宋_GB2312" w:eastAsia="仿宋_GB2312" w:cs="仿宋_GB2312"/>
          <w:sz w:val="32"/>
          <w:szCs w:val="32"/>
          <w:lang w:val="en-US" w:eastAsia="zh-CN"/>
        </w:rPr>
        <w:t>〔2022〕93号） ，严格按照各项规章制度预、决算，加强单位预算事前绩效评估管理，切实提高资源配置效率和使用效益。全面实施三大预算绩效管理，严格做到收入预算编制必须与经济社会发展水平相适应，与财政政策相衔接；单位预算支出要有保有压，优化支出结构，确保工资运转和基本保运转民生支出，所有收入纳入财务统一管理，全面统筹使用，严格按照预算支出标准和绩效管理等相关规定编制部门预算。预算编制做到科学、合理测算资金需求，同步编制预算绩效计划，报送绩效目标，预算执行结束后及时进行绩效评价。我单位成立绩效管理领导小组，单位主要负责人任组长，班子成员为副组长，项目财务组、办公室、财务室工作人员为成员，办公室设在项目财务组全面负责绩效管理工作。</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根据预算绩效管理要求，本部门组织对2021年度部门预算项目支出进行全面自评，涵盖项目2个，涉及预算资金152.11万元，占部门预算项目支出总额的100%。</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组织开展2021年度部门整体支出绩效自评工作，从评价情况来看，单位工作完成情况以及取得了一定成效。</w:t>
      </w:r>
      <w:r>
        <w:rPr>
          <w:rFonts w:hint="eastAsia" w:ascii="仿宋" w:hAnsi="仿宋" w:eastAsia="仿宋" w:cs="仿宋"/>
          <w:b/>
          <w:bCs/>
          <w:sz w:val="32"/>
          <w:szCs w:val="32"/>
          <w:lang w:val="en-US" w:eastAsia="zh-CN"/>
        </w:rPr>
        <w:t>一是</w:t>
      </w:r>
      <w:r>
        <w:rPr>
          <w:rFonts w:hint="eastAsia" w:ascii="仿宋_GB2312" w:hAnsi="仿宋_GB2312" w:eastAsia="仿宋_GB2312" w:cs="仿宋_GB2312"/>
          <w:sz w:val="32"/>
          <w:szCs w:val="32"/>
          <w:lang w:val="en-US" w:eastAsia="zh-CN"/>
        </w:rPr>
        <w:t>近年国家提倡政府信息化及电子政务的建设，致力于提高政府机关的办公效率，经过几年的努力，现在政府的软、硬件办公设备效率有了明显的改善，而视频会议系统作为电子政务信息化的重要组成部分，承担着各级政府部门内部及相互之间沟通、会商、决策的重要职责视频会议的出现，很好的解决了这一需求，视频会议通过现代化的计算机网络技术、多媒体信息技术、远程视频技术的完美结合实现异地面对面、声对声的交流，达到了节约时间、降低成本、提高效率、打破地域界限进行有效、直观交流和沟通的目的。同时信息的快速传递，为领导的指挥决策提供了可靠的工具。</w:t>
      </w:r>
      <w:r>
        <w:rPr>
          <w:rFonts w:hint="eastAsia" w:ascii="仿宋" w:hAnsi="仿宋" w:eastAsia="仿宋" w:cs="仿宋"/>
          <w:b/>
          <w:bCs/>
          <w:sz w:val="32"/>
          <w:szCs w:val="32"/>
          <w:lang w:val="en-US" w:eastAsia="zh-CN"/>
        </w:rPr>
        <w:t>二是</w:t>
      </w:r>
      <w:r>
        <w:rPr>
          <w:rFonts w:hint="eastAsia" w:ascii="仿宋_GB2312" w:hAnsi="仿宋_GB2312" w:eastAsia="仿宋_GB2312" w:cs="仿宋_GB2312"/>
          <w:sz w:val="32"/>
          <w:szCs w:val="32"/>
          <w:lang w:val="en-US" w:eastAsia="zh-CN"/>
        </w:rPr>
        <w:t>整个大数据管理平台的基础。针对全县农户，脱贫人口，实行 “脱贫销户、返贫挂号”，实现科学化动态管理。瞄准建脱贫人口统一识别标准和统一数据口径，动态掌握基本信息，推行脱贫对象实名制管理。通过实行脱贫销号，加强政策衔接，将返贫人口及时列为扶贫对象，做到有进有出、动态管理，使所有措施与识别结果相衔接，并与相关行业部门数据对接，最终确保对象精准。</w:t>
      </w:r>
      <w:r>
        <w:rPr>
          <w:rFonts w:hint="eastAsia" w:ascii="仿宋" w:hAnsi="仿宋" w:eastAsia="仿宋" w:cs="仿宋"/>
          <w:b/>
          <w:bCs/>
          <w:sz w:val="32"/>
          <w:szCs w:val="32"/>
          <w:lang w:val="en-US" w:eastAsia="zh-CN"/>
        </w:rPr>
        <w:t>三是</w:t>
      </w:r>
      <w:r>
        <w:rPr>
          <w:rFonts w:hint="eastAsia" w:ascii="仿宋_GB2312" w:hAnsi="仿宋_GB2312" w:eastAsia="仿宋_GB2312" w:cs="仿宋_GB2312"/>
          <w:sz w:val="32"/>
          <w:szCs w:val="32"/>
          <w:lang w:val="en-US" w:eastAsia="zh-CN"/>
        </w:rPr>
        <w:t>扶贫措施是整个大数据平台的核心。依据建档立卡确定的扶贫对象，区分因灾、因病、因学和缺项目、缺资金、缺劳力、缺技术等不同致贫原因，准确掌握贫困村、贫困户的脱贫致富需求。明确脱贫措施，找准贫困群众最期盼、经过努力可以解决的问题，因村施策，因户施法，制定详细计划、建立工作台账和实行挂图作业，明确进度，倒排工期，确保项目资金、帮扶力量和监测评估到村到户。</w:t>
      </w:r>
      <w:r>
        <w:rPr>
          <w:rFonts w:hint="eastAsia" w:ascii="仿宋" w:hAnsi="仿宋" w:eastAsia="仿宋" w:cs="仿宋"/>
          <w:b/>
          <w:bCs/>
          <w:sz w:val="32"/>
          <w:szCs w:val="32"/>
          <w:lang w:val="en-US" w:eastAsia="zh-CN"/>
        </w:rPr>
        <w:t>四是</w:t>
      </w:r>
      <w:r>
        <w:rPr>
          <w:rFonts w:hint="eastAsia" w:ascii="仿宋_GB2312" w:hAnsi="仿宋_GB2312" w:eastAsia="仿宋_GB2312" w:cs="仿宋_GB2312"/>
          <w:sz w:val="32"/>
          <w:szCs w:val="32"/>
          <w:lang w:val="en-US" w:eastAsia="zh-CN"/>
        </w:rPr>
        <w:t>针对精准扶贫对象的全方面进行分析，全面掌握全县人口分布情况及人口结构情况。其中主要包括：贫困人口偏差、预脱贫人口偏差、预脱贫人口占比、整村推进预脱贫人口占比、贫困人口年龄段、贫困人口劳动力、贫困人口学历、贫困人口健康状况、贫困户致贫原因、贫困户人均收入、贫困人口返贫、贫困人口脱贫、小康指数、贫困县人均纯收入、贫困村分布、贫困村脱贫、贫困村对比、贫困县脱贫、贫困县人均纯收入等各项指标分析。</w:t>
      </w:r>
      <w:r>
        <w:rPr>
          <w:rFonts w:hint="eastAsia" w:ascii="仿宋" w:hAnsi="仿宋" w:eastAsia="仿宋" w:cs="仿宋"/>
          <w:b/>
          <w:bCs/>
          <w:sz w:val="32"/>
          <w:szCs w:val="32"/>
          <w:lang w:val="en-US" w:eastAsia="zh-CN"/>
        </w:rPr>
        <w:t>五是</w:t>
      </w:r>
      <w:r>
        <w:rPr>
          <w:rFonts w:hint="eastAsia" w:ascii="仿宋_GB2312" w:hAnsi="仿宋_GB2312" w:eastAsia="仿宋_GB2312" w:cs="仿宋_GB2312"/>
          <w:sz w:val="32"/>
          <w:szCs w:val="32"/>
          <w:lang w:val="en-US" w:eastAsia="zh-CN"/>
        </w:rPr>
        <w:t>精准移动应用是大数据管理平台最便捷的入口，通过为数据采集人员提供定制移动终端，而使实现便捷、灵活的数据采集。</w:t>
      </w:r>
      <w:r>
        <w:rPr>
          <w:rFonts w:hint="eastAsia" w:ascii="仿宋" w:hAnsi="仿宋" w:eastAsia="仿宋" w:cs="仿宋"/>
          <w:b/>
          <w:bCs/>
          <w:sz w:val="32"/>
          <w:szCs w:val="32"/>
          <w:lang w:val="en-US" w:eastAsia="zh-CN"/>
        </w:rPr>
        <w:t>六是</w:t>
      </w:r>
      <w:r>
        <w:rPr>
          <w:rFonts w:hint="eastAsia" w:ascii="仿宋_GB2312" w:hAnsi="仿宋_GB2312" w:eastAsia="仿宋_GB2312" w:cs="仿宋_GB2312"/>
          <w:sz w:val="32"/>
          <w:szCs w:val="32"/>
          <w:lang w:val="en-US" w:eastAsia="zh-CN"/>
        </w:rPr>
        <w:t>信息员顺利完成全县精准扶贫、精准脱贫（避灾扶贫搬迁）信息平台数据的录入、核对、更新、动态管理和信息系统日常维护等工作。</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（二）</w:t>
      </w:r>
      <w:r>
        <w:rPr>
          <w:rFonts w:ascii="楷体_GB2312" w:hAnsi="宋体" w:eastAsia="楷体_GB2312" w:cs="楷体_GB2312"/>
          <w:b w:val="0"/>
          <w:bCs/>
          <w:color w:val="000000"/>
          <w:kern w:val="0"/>
          <w:sz w:val="32"/>
          <w:szCs w:val="32"/>
        </w:rPr>
        <w:t>部门决算中项目绩效自评结果。</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本部门在部门决算中反映镇坪县脱贫攻坚大数据平台及高清视频会议系统服务项目、镇坪县精准扶贫信息员工资2个一级项目绩效自评结果。</w:t>
      </w:r>
    </w:p>
    <w:p>
      <w:pPr>
        <w:widowControl w:val="0"/>
        <w:numPr>
          <w:ilvl w:val="0"/>
          <w:numId w:val="0"/>
        </w:num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1.镇坪县脱贫攻坚大数据平台及高清视频会议系统服务项目</w:t>
      </w:r>
      <w:r>
        <w:rPr>
          <w:rFonts w:hint="eastAsia" w:ascii="仿宋_GB2312" w:hAnsi="仿宋_GB2312" w:eastAsia="仿宋_GB2312" w:cs="仿宋_GB2312"/>
          <w:b/>
          <w:bCs/>
          <w:sz w:val="32"/>
          <w:szCs w:val="32"/>
          <w:lang w:eastAsia="zh-CN"/>
        </w:rPr>
        <w:t>绩效自评综述</w:t>
      </w:r>
      <w:r>
        <w:rPr>
          <w:rFonts w:hint="eastAsia" w:ascii="仿宋_GB2312" w:hAnsi="仿宋_GB2312" w:eastAsia="仿宋_GB2312" w:cs="仿宋_GB2312"/>
          <w:sz w:val="32"/>
          <w:szCs w:val="32"/>
          <w:lang w:eastAsia="zh-CN"/>
        </w:rPr>
        <w:t>：全年预算数</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eastAsia="zh-CN"/>
        </w:rPr>
        <w:t>万元，执行数</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项目绩效目标完成情况：</w:t>
      </w:r>
      <w:r>
        <w:rPr>
          <w:rFonts w:hint="eastAsia" w:ascii="仿宋_GB2312" w:hAnsi="仿宋_GB2312" w:eastAsia="仿宋_GB2312" w:cs="仿宋_GB2312"/>
          <w:sz w:val="32"/>
          <w:szCs w:val="32"/>
          <w:lang w:eastAsia="zh-CN"/>
        </w:rPr>
        <w:t>提供全县的扶贫对象信息采集、动态管理、资金信息管理、工作队的签到就日志上传等功能；高清视频会议系统是根据省市扶贫部门的“月通报、季点评”的工作以及夜校学习安排的需要而决定建设，主要涉及县乡村振兴局、政府的视频会议系统建设，镇一级共享现有县镇视频会议系统，村一级通过软件系统参会，会议系统要求同全国的电视电话会议系统进行对接。</w:t>
      </w:r>
      <w:r>
        <w:rPr>
          <w:rFonts w:hint="eastAsia" w:ascii="仿宋_GB2312" w:hAnsi="仿宋_GB2312" w:eastAsia="仿宋_GB2312" w:cs="仿宋_GB2312"/>
          <w:b/>
          <w:bCs/>
          <w:sz w:val="32"/>
          <w:szCs w:val="32"/>
          <w:lang w:eastAsia="zh-CN"/>
        </w:rPr>
        <w:t>发现的问题及原因：</w:t>
      </w:r>
      <w:r>
        <w:rPr>
          <w:rFonts w:hint="eastAsia" w:ascii="仿宋_GB2312" w:hAnsi="仿宋_GB2312" w:eastAsia="仿宋_GB2312" w:cs="仿宋_GB2312"/>
          <w:sz w:val="32"/>
          <w:szCs w:val="32"/>
          <w:lang w:val="en-US" w:eastAsia="zh-CN" w:bidi="ar"/>
        </w:rPr>
        <w:t>脱贫攻坚大数据平台及高清视频会议系统服务项目属于保运转业务范畴，需每年定期纳入预算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下一步改进措施：</w:t>
      </w:r>
      <w:r>
        <w:rPr>
          <w:rFonts w:hint="eastAsia" w:ascii="仿宋_GB2312" w:hAnsi="仿宋_GB2312" w:eastAsia="仿宋_GB2312" w:cs="仿宋_GB2312"/>
          <w:sz w:val="32"/>
          <w:szCs w:val="32"/>
          <w:lang w:val="en-US" w:eastAsia="zh-CN"/>
        </w:rPr>
        <w:t>下一步我们将进一步加强专项项目管理，规范县乡村振兴局终端、7镇58个行政村的视频会议系统的维护维修，维护全县扶贫后台数据，确保国家、省市县扶贫数据的互联互通，同</w:t>
      </w:r>
      <w:r>
        <w:rPr>
          <w:rFonts w:hint="eastAsia" w:ascii="仿宋_GB2312" w:hAnsi="仿宋_GB2312" w:eastAsia="仿宋_GB2312" w:cs="仿宋_GB2312"/>
          <w:sz w:val="32"/>
          <w:szCs w:val="32"/>
          <w:lang w:eastAsia="zh-CN"/>
        </w:rPr>
        <w:t>全国的电视电话会议系统进行对接。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2.镇坪县精准扶贫信息员工资项目</w:t>
      </w:r>
      <w:r>
        <w:rPr>
          <w:rFonts w:hint="eastAsia" w:ascii="仿宋_GB2312" w:hAnsi="仿宋_GB2312" w:eastAsia="仿宋_GB2312" w:cs="仿宋_GB2312"/>
          <w:b/>
          <w:bCs/>
          <w:sz w:val="32"/>
          <w:szCs w:val="32"/>
          <w:lang w:eastAsia="zh-CN"/>
        </w:rPr>
        <w:t>绩效自评综述</w:t>
      </w:r>
      <w:r>
        <w:rPr>
          <w:rFonts w:hint="eastAsia" w:ascii="仿宋_GB2312" w:hAnsi="仿宋_GB2312" w:eastAsia="仿宋_GB2312" w:cs="仿宋_GB2312"/>
          <w:sz w:val="32"/>
          <w:szCs w:val="32"/>
          <w:lang w:eastAsia="zh-CN"/>
        </w:rPr>
        <w:t>：全年预算数</w:t>
      </w:r>
      <w:r>
        <w:rPr>
          <w:rFonts w:hint="eastAsia" w:ascii="仿宋_GB2312" w:hAnsi="仿宋_GB2312" w:eastAsia="仿宋_GB2312" w:cs="仿宋_GB2312"/>
          <w:sz w:val="32"/>
          <w:szCs w:val="32"/>
          <w:lang w:val="en-US" w:eastAsia="zh-CN"/>
        </w:rPr>
        <w:t>89.11</w:t>
      </w:r>
      <w:r>
        <w:rPr>
          <w:rFonts w:hint="eastAsia" w:ascii="仿宋_GB2312" w:hAnsi="仿宋_GB2312" w:eastAsia="仿宋_GB2312" w:cs="仿宋_GB2312"/>
          <w:sz w:val="32"/>
          <w:szCs w:val="32"/>
          <w:lang w:eastAsia="zh-CN"/>
        </w:rPr>
        <w:t>万元，执行数</w:t>
      </w:r>
      <w:r>
        <w:rPr>
          <w:rFonts w:hint="eastAsia" w:ascii="仿宋_GB2312" w:hAnsi="仿宋_GB2312" w:eastAsia="仿宋_GB2312" w:cs="仿宋_GB2312"/>
          <w:sz w:val="32"/>
          <w:szCs w:val="32"/>
          <w:lang w:val="en-US" w:eastAsia="zh-CN"/>
        </w:rPr>
        <w:t>89.11</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项目绩效目标完成情况：</w:t>
      </w:r>
      <w:r>
        <w:rPr>
          <w:rFonts w:hint="eastAsia" w:ascii="仿宋_GB2312" w:hAnsi="仿宋_GB2312" w:eastAsia="仿宋_GB2312" w:cs="仿宋_GB2312"/>
          <w:sz w:val="32"/>
          <w:szCs w:val="32"/>
          <w:lang w:eastAsia="zh-CN"/>
        </w:rPr>
        <w:t>信息员顺利完成全县精准扶贫、精准脱贫（避灾扶贫搬迁）信息平台数据的录入、核对、更新、动态管理和信息系统日常维护等工作。</w:t>
      </w:r>
      <w:r>
        <w:rPr>
          <w:rFonts w:hint="eastAsia" w:ascii="仿宋_GB2312" w:hAnsi="仿宋_GB2312" w:eastAsia="仿宋_GB2312" w:cs="仿宋_GB2312"/>
          <w:b/>
          <w:bCs/>
          <w:sz w:val="32"/>
          <w:szCs w:val="32"/>
          <w:lang w:eastAsia="zh-CN"/>
        </w:rPr>
        <w:t>发现的问题及原因：</w:t>
      </w:r>
      <w:r>
        <w:rPr>
          <w:rFonts w:hint="eastAsia" w:ascii="仿宋_GB2312" w:hAnsi="仿宋_GB2312" w:eastAsia="仿宋_GB2312" w:cs="仿宋_GB2312"/>
          <w:sz w:val="32"/>
          <w:szCs w:val="32"/>
          <w:lang w:val="en-US" w:eastAsia="zh-CN" w:bidi="ar"/>
        </w:rPr>
        <w:t>镇坪县精准扶贫信息员工资项目属于保运转业务范畴，需每年定期纳入预算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下一步改进措施：</w:t>
      </w:r>
      <w:r>
        <w:rPr>
          <w:rFonts w:hint="eastAsia" w:ascii="仿宋_GB2312" w:hAnsi="仿宋_GB2312" w:eastAsia="仿宋_GB2312" w:cs="仿宋_GB2312"/>
          <w:sz w:val="32"/>
          <w:szCs w:val="32"/>
          <w:lang w:val="en-US" w:eastAsia="zh-CN"/>
        </w:rPr>
        <w:t>进一步加强专项项目管理，规范精准扶贫信息员聘用、上岗培训、日常管理和考核工作，在工作、学习、生活等方面予以指导帮助，确保招的来、呆得住、用得好、能成长，切实发挥本地人才在乡村振兴中的应有作用。</w:t>
      </w:r>
    </w:p>
    <w:p>
      <w:pPr>
        <w:pStyle w:val="2"/>
        <w:numPr>
          <w:ilvl w:val="0"/>
          <w:numId w:val="0"/>
        </w:numPr>
        <w:rPr>
          <w:rFonts w:hint="eastAsia"/>
          <w:lang w:eastAsia="zh-CN"/>
        </w:rPr>
      </w:pP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p>
    <w:p>
      <w:pPr>
        <w:rPr>
          <w:rFonts w:hint="eastAsia" w:ascii="楷体" w:hAnsi="楷体" w:eastAsia="楷体" w:cs="楷体"/>
          <w:b w:val="0"/>
          <w:bCs w:val="0"/>
          <w:sz w:val="32"/>
          <w:szCs w:val="40"/>
          <w:lang w:val="en-US" w:eastAsia="zh-CN"/>
        </w:rPr>
      </w:pPr>
    </w:p>
    <w:p>
      <w:pPr>
        <w:pStyle w:val="2"/>
        <w:rPr>
          <w:rFonts w:hint="eastAsia" w:ascii="楷体" w:hAnsi="楷体" w:eastAsia="楷体" w:cs="楷体"/>
          <w:b w:val="0"/>
          <w:bCs w:val="0"/>
          <w:sz w:val="32"/>
          <w:szCs w:val="40"/>
          <w:lang w:val="en-US" w:eastAsia="zh-CN"/>
        </w:rPr>
      </w:pPr>
    </w:p>
    <w:p>
      <w:pPr>
        <w:rPr>
          <w:rFonts w:hint="eastAsia" w:ascii="楷体" w:hAnsi="楷体" w:eastAsia="楷体" w:cs="楷体"/>
          <w:b w:val="0"/>
          <w:bCs w:val="0"/>
          <w:sz w:val="32"/>
          <w:szCs w:val="40"/>
          <w:lang w:val="en-US" w:eastAsia="zh-CN"/>
        </w:rPr>
      </w:pPr>
    </w:p>
    <w:p>
      <w:pPr>
        <w:pStyle w:val="2"/>
        <w:rPr>
          <w:rFonts w:hint="eastAsia" w:ascii="楷体" w:hAnsi="楷体" w:eastAsia="楷体" w:cs="楷体"/>
          <w:b w:val="0"/>
          <w:bCs w:val="0"/>
          <w:sz w:val="32"/>
          <w:szCs w:val="40"/>
          <w:lang w:val="en-US" w:eastAsia="zh-CN"/>
        </w:rPr>
      </w:pPr>
    </w:p>
    <w:p>
      <w:pPr>
        <w:rPr>
          <w:rFonts w:hint="eastAsia" w:ascii="楷体" w:hAnsi="楷体" w:eastAsia="楷体" w:cs="楷体"/>
          <w:b w:val="0"/>
          <w:bCs w:val="0"/>
          <w:sz w:val="32"/>
          <w:szCs w:val="40"/>
          <w:lang w:val="en-US" w:eastAsia="zh-CN"/>
        </w:rPr>
      </w:pPr>
    </w:p>
    <w:p>
      <w:pPr>
        <w:pStyle w:val="2"/>
        <w:rPr>
          <w:rFonts w:hint="eastAsia" w:ascii="楷体" w:hAnsi="楷体" w:eastAsia="楷体" w:cs="楷体"/>
          <w:b w:val="0"/>
          <w:bCs w:val="0"/>
          <w:sz w:val="32"/>
          <w:szCs w:val="40"/>
          <w:lang w:val="en-US" w:eastAsia="zh-CN"/>
        </w:rPr>
      </w:pPr>
    </w:p>
    <w:p>
      <w:pPr>
        <w:rPr>
          <w:rFonts w:hint="eastAsia" w:ascii="楷体" w:hAnsi="楷体" w:eastAsia="楷体" w:cs="楷体"/>
          <w:b w:val="0"/>
          <w:bCs w:val="0"/>
          <w:sz w:val="32"/>
          <w:szCs w:val="40"/>
          <w:lang w:val="en-US" w:eastAsia="zh-CN"/>
        </w:rPr>
      </w:pPr>
    </w:p>
    <w:p>
      <w:pPr>
        <w:pStyle w:val="2"/>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object>
          <v:shape id="_x0000_i1035" o:spt="75" type="#_x0000_t75" style="height:647.05pt;width:460.05pt;" o:ole="t" filled="f" o:preferrelative="t" stroked="f" coordsize="21600,21600">
            <v:path/>
            <v:fill on="f" focussize="0,0"/>
            <v:stroke on="f"/>
            <v:imagedata r:id="rId36" o:title=""/>
            <o:lock v:ext="edit" aspectratio="f"/>
            <w10:wrap type="none"/>
            <w10:anchorlock/>
          </v:shape>
          <o:OLEObject Type="Embed" ProgID="Excel.Sheet.12" ShapeID="_x0000_i1035" DrawAspect="Content" ObjectID="_1468075735" r:id="rId35">
            <o:LockedField>false</o:LockedField>
          </o:OLEObject>
        </w:object>
      </w:r>
    </w:p>
    <w:p>
      <w:pPr>
        <w:rPr>
          <w:rFonts w:hint="eastAsia"/>
          <w:lang w:val="en-US" w:eastAsia="zh-CN"/>
        </w:rPr>
      </w:pPr>
    </w:p>
    <w:p>
      <w:pPr>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object>
          <v:shape id="_x0000_i1036" o:spt="75" type="#_x0000_t75" style="height:632.7pt;width:456.35pt;" o:ole="t" filled="f" o:preferrelative="t" stroked="f" coordsize="21600,21600">
            <v:path/>
            <v:fill on="f" focussize="0,0"/>
            <v:stroke on="f"/>
            <v:imagedata r:id="rId38" o:title=""/>
            <o:lock v:ext="edit" aspectratio="f"/>
            <w10:wrap type="none"/>
            <w10:anchorlock/>
          </v:shape>
          <o:OLEObject Type="Embed" ProgID="Excel.Sheet.12" ShapeID="_x0000_i1036" DrawAspect="Content" ObjectID="_1468075736" r:id="rId37">
            <o:LockedField>false</o:LockedField>
          </o:OLEObject>
        </w:object>
      </w:r>
    </w:p>
    <w:p>
      <w:pPr>
        <w:ind w:firstLine="640" w:firstLineChars="200"/>
        <w:rPr>
          <w:rFonts w:hint="eastAsia" w:ascii="楷体" w:hAnsi="楷体" w:eastAsia="楷体" w:cs="楷体"/>
          <w:b/>
          <w:bCs/>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根据年度设定的绩效目标，部门整体支出自评得分98，综合评价等级为“优</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，全年预算数</w:t>
      </w:r>
      <w:r>
        <w:rPr>
          <w:rFonts w:hint="eastAsia" w:ascii="仿宋_GB2312" w:hAnsi="宋体" w:eastAsia="仿宋_GB2312" w:cs="仿宋_GB2312"/>
          <w:color w:val="000000"/>
          <w:kern w:val="0"/>
          <w:sz w:val="32"/>
          <w:szCs w:val="32"/>
          <w:lang w:eastAsia="zh-CN"/>
        </w:rPr>
        <w:t>685.18</w:t>
      </w:r>
      <w:r>
        <w:rPr>
          <w:rFonts w:hint="eastAsia" w:ascii="仿宋" w:hAnsi="仿宋" w:eastAsia="仿宋" w:cs="仿宋"/>
          <w:sz w:val="32"/>
          <w:szCs w:val="40"/>
          <w:lang w:val="en-US" w:eastAsia="zh-CN"/>
        </w:rPr>
        <w:t>万元，执行数</w:t>
      </w:r>
      <w:r>
        <w:rPr>
          <w:rFonts w:hint="eastAsia" w:ascii="仿宋_GB2312" w:hAnsi="宋体" w:eastAsia="仿宋_GB2312" w:cs="仿宋_GB2312"/>
          <w:color w:val="000000"/>
          <w:kern w:val="0"/>
          <w:sz w:val="32"/>
          <w:szCs w:val="32"/>
          <w:lang w:eastAsia="zh-CN"/>
        </w:rPr>
        <w:t>685.18</w:t>
      </w:r>
      <w:r>
        <w:rPr>
          <w:rFonts w:hint="eastAsia" w:ascii="仿宋" w:hAnsi="仿宋" w:eastAsia="仿宋" w:cs="仿宋"/>
          <w:sz w:val="32"/>
          <w:szCs w:val="40"/>
          <w:lang w:val="en-US" w:eastAsia="zh-CN"/>
        </w:rPr>
        <w:t>万元，完成预算的100%。</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1.本年度本部门总体运行情况及取得的成绩</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财政部门牵头围绕预算管理的主要内容和环节，指导部门建立完善绩效目标管理、绩效运行监控、绩效评价管理、评价结果应各环节的管理流程，健全预算绩效管理制度和实施细则，县财政建立健全定量和定性相结合的共性绩效指标框架。部门构建分行业、分领域、分层次的核心绩效指标和标准体系。</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2.发现的问题及下一步改进措施</w:t>
      </w:r>
    </w:p>
    <w:p>
      <w:pPr>
        <w:widowControl w:val="0"/>
        <w:numPr>
          <w:ilvl w:val="0"/>
          <w:numId w:val="0"/>
        </w:numPr>
        <w:wordWrap/>
        <w:adjustRightInd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仿宋" w:hAnsi="仿宋" w:eastAsia="仿宋" w:cs="仿宋"/>
          <w:sz w:val="32"/>
          <w:szCs w:val="40"/>
          <w:lang w:val="en-US" w:eastAsia="zh-CN"/>
        </w:rPr>
        <w:t>我单位业务经费全部属于对公转账支出，不存在偏离绩效目标。下一步继续做好本单位预算管理工作，按照《预算法》等规定要求，在县财政局的业务指导下，做好了本单位的预算，并做好了预算的执行管理，确保年度预算的贯彻执行。严格做好内控管理工作。为了做好内控管理，本单位制定了内部控制制度，在公务活动等费用支出中严格执行“3+X”制度；在设立的财务岗位中，严把不相容财务岗位相互分离，确保了内控质量。进一步加强项目绩效管理，规范精准扶贫信息员聘用、上岗培训、日常管理和考核工作，在工作、学习、生活等方面予以指导帮助，确保招的来、呆得住、用得好、能成长，切实发挥本地人才在乡村振兴中的应有作用。</w:t>
      </w:r>
    </w:p>
    <w:p>
      <w:pPr>
        <w:numPr>
          <w:ilvl w:val="0"/>
          <w:numId w:val="0"/>
        </w:numPr>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object>
          <v:shape id="_x0000_i1037" o:spt="75" type="#_x0000_t75" style="height:741.65pt;width:459.75pt;" o:ole="t" filled="f" o:preferrelative="t" stroked="f" coordsize="21600,21600">
            <v:path/>
            <v:fill on="f" focussize="0,0"/>
            <v:stroke on="f"/>
            <v:imagedata r:id="rId40" o:title=""/>
            <o:lock v:ext="edit" aspectratio="f"/>
            <w10:wrap type="none"/>
            <w10:anchorlock/>
          </v:shape>
          <o:OLEObject Type="Embed" ProgID="Excel.Sheet.12" ShapeID="_x0000_i1037" DrawAspect="Content" ObjectID="_1468075737" r:id="rId39">
            <o:LockedField>false</o:LockedField>
          </o:OLEObject>
        </w:object>
      </w:r>
    </w:p>
    <w:p>
      <w:pPr>
        <w:numPr>
          <w:ilvl w:val="0"/>
          <w:numId w:val="0"/>
        </w:numPr>
        <w:ind w:firstLine="640" w:firstLineChars="200"/>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（四）部门重点评价项目绩效评价结果。</w:t>
      </w:r>
    </w:p>
    <w:p>
      <w:pPr>
        <w:ind w:firstLine="640" w:firstLineChars="200"/>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“本部门2021年度未开展部门重点绩效评价。</w:t>
      </w:r>
    </w:p>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sectPr>
      <w:footerReference r:id="rId4" w:type="default"/>
      <w:pgSz w:w="11906" w:h="16838"/>
      <w:pgMar w:top="1440" w:right="1800" w:bottom="1440" w:left="1800" w:header="851" w:footer="992"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7A"/>
    <w:family w:val="auto"/>
    <w:pitch w:val="default"/>
    <w:sig w:usb0="A00002BF" w:usb1="184F6CFA" w:usb2="00000012" w:usb3="00000000" w:csb0="00040001" w:csb1="00000000"/>
  </w:font>
  <w:font w:name="仿宋">
    <w:altName w:val="微软雅黑"/>
    <w:panose1 w:val="02010609060101010101"/>
    <w:charset w:val="7A"/>
    <w:family w:val="auto"/>
    <w:pitch w:val="default"/>
    <w:sig w:usb0="00000000" w:usb1="00000000" w:usb2="00000016" w:usb3="00000000" w:csb0="00040001" w:csb1="00000000"/>
  </w:font>
  <w:font w:name="楷体">
    <w:altName w:val="方正楷体_GBK"/>
    <w:panose1 w:val="02010609060101010101"/>
    <w:charset w:val="7A"/>
    <w:family w:val="auto"/>
    <w:pitch w:val="default"/>
    <w:sig w:usb0="00000000" w:usb1="00000000" w:usb2="00000016" w:usb3="00000000" w:csb0="00040001" w:csb1="00000000"/>
  </w:font>
  <w:font w:name="仿宋_GB2312">
    <w:panose1 w:val="02010609030101010101"/>
    <w:charset w:val="7A"/>
    <w:family w:val="auto"/>
    <w:pitch w:val="default"/>
    <w:sig w:usb0="00000001" w:usb1="080E0000" w:usb2="00000000" w:usb3="00000000" w:csb0="00040000" w:csb1="00000000"/>
  </w:font>
  <w:font w:name="楷体_GB2312">
    <w:panose1 w:val="02010609030101010101"/>
    <w:charset w:val="7A"/>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
                            <w:tabs>
                              <w:tab w:val="clear" w:pos="4153"/>
                              <w:tab w:val="clear" w:pos="8306"/>
                            </w:tabs>
                          </w:pPr>
                        </w:p>
                      </w:txbxContent>
                    </wps:txbx>
                    <wps:bodyPr wrap="none" lIns="0" tIns="0" rIns="0" bIns="0" upright="true">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5dblS0AAAAAUBAAAPAAAAAAAAAAEAIAAA&#10;ADgAAABkcnMvZG93bnJldi54bWxQSwECFAAUAAAACACHTuJAPopAaYwBAAAfAwAADgAAAAAAAAAB&#10;ACAAAAA1AQAAZHJzL2Uyb0RvYy54bWxQSwUGAAAAAAYABgBZAQAAMwUAAAAA&#10;">
              <v:fill on="f" focussize="0,0"/>
              <v:stroke on="f"/>
              <v:imagedata o:title=""/>
              <o:lock v:ext="edit" aspectratio="f"/>
              <v:textbox inset="0mm,0mm,0mm,0mm" style="mso-fit-shape-to-text:t;">
                <w:txbxContent>
                  <w:p>
                    <w:pPr>
                      <w:pStyle w:val="6"/>
                      <w:tabs>
                        <w:tab w:val="clear" w:pos="4153"/>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251659264" behindDoc="0" locked="0" layoutInCell="1" allowOverlap="1">
              <wp:simplePos x="0" y="0"/>
              <wp:positionH relativeFrom="margin">
                <wp:posOffset>2434590</wp:posOffset>
              </wp:positionH>
              <wp:positionV relativeFrom="paragraph">
                <wp:posOffset>0</wp:posOffset>
              </wp:positionV>
              <wp:extent cx="669290" cy="168275"/>
              <wp:effectExtent l="0" t="0" r="0" b="0"/>
              <wp:wrapNone/>
              <wp:docPr id="2050" name="Image1"/>
              <wp:cNvGraphicFramePr/>
              <a:graphic xmlns:a="http://schemas.openxmlformats.org/drawingml/2006/main">
                <a:graphicData uri="http://schemas.microsoft.com/office/word/2010/wordprocessingShape">
                  <wps:wsp>
                    <wps:cNvSpPr/>
                    <wps:spPr>
                      <a:xfrm>
                        <a:off x="0" y="0"/>
                        <a:ext cx="669289" cy="168275"/>
                      </a:xfrm>
                      <a:prstGeom prst="rect">
                        <a:avLst/>
                      </a:prstGeom>
                    </wps:spPr>
                    <wps:txbx>
                      <w:txbxContent>
                        <w:p>
                          <w:pPr>
                            <w:pStyle w:val="6"/>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wrap="square" lIns="0" tIns="0" rIns="0" bIns="0" upright="true"/>
                  </wps:wsp>
                </a:graphicData>
              </a:graphic>
            </wp:anchor>
          </w:drawing>
        </mc:Choice>
        <mc:Fallback>
          <w:pict>
            <v:rect id="Image1" o:spid="_x0000_s1026" o:spt="1" style="position:absolute;left:0pt;margin-left:191.7pt;margin-top:0pt;height:13.25pt;width:52.7pt;mso-position-horizontal-relative:margin;z-index:251659264;mso-width-relative:page;mso-height-relative:page;" filled="f" stroked="f" coordsize="21600,21600" o:gfxdata="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rJzhjYAAAABwEAAA8AAAAAAAAAAQAg&#10;AAAAOAAAAGRycy9kb3ducmV2LnhtbFBLAQIUABQAAAAIAIdO4kCulEIOhgEAAAUDAAAOAAAAAAAA&#10;AAEAIAAAAD0BAABkcnMvZTJvRG9jLnhtbFBLBQYAAAAABgAGAFkBAAA1BQAAAAA=&#10;">
              <v:fill on="f" focussize="0,0"/>
              <v:stroke on="f"/>
              <v:imagedata o:title=""/>
              <o:lock v:ext="edit" aspectratio="f"/>
              <v:textbox inset="0mm,0mm,0mm,0mm">
                <w:txbxContent>
                  <w:p>
                    <w:pPr>
                      <w:pStyle w:val="6"/>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NotTrackMoves/>
  <w:doNotTrackFormatting/>
  <w:documentProtection w:enforcement="0"/>
  <w:defaultTabStop w:val="420"/>
  <w:drawingGridHorizontalSpacing w:val="105"/>
  <w:drawingGridVerticalSpacing w:val="31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ThiYWQ3N2NiZGZmMTA4OWE4YjQ5NGViNmU3ZjE1MWUifQ=="/>
  </w:docVars>
  <w:rsids>
    <w:rsidRoot w:val="00172A27"/>
    <w:rsid w:val="00CF5500"/>
    <w:rsid w:val="016D6AC7"/>
    <w:rsid w:val="023F0464"/>
    <w:rsid w:val="029A1B3E"/>
    <w:rsid w:val="05A21435"/>
    <w:rsid w:val="07525F67"/>
    <w:rsid w:val="078A2181"/>
    <w:rsid w:val="07D21D7A"/>
    <w:rsid w:val="0B732F2C"/>
    <w:rsid w:val="0F4F723E"/>
    <w:rsid w:val="10A87B1C"/>
    <w:rsid w:val="10C304B2"/>
    <w:rsid w:val="121865DB"/>
    <w:rsid w:val="121A67F7"/>
    <w:rsid w:val="13983B2B"/>
    <w:rsid w:val="14CD7B51"/>
    <w:rsid w:val="15155054"/>
    <w:rsid w:val="164C2CF7"/>
    <w:rsid w:val="181141F9"/>
    <w:rsid w:val="1C502276"/>
    <w:rsid w:val="1CAC2742"/>
    <w:rsid w:val="209E23A2"/>
    <w:rsid w:val="20F546B7"/>
    <w:rsid w:val="236F25AE"/>
    <w:rsid w:val="23D20CE0"/>
    <w:rsid w:val="241035B6"/>
    <w:rsid w:val="25C1100C"/>
    <w:rsid w:val="264D0AF2"/>
    <w:rsid w:val="26502390"/>
    <w:rsid w:val="26CF7759"/>
    <w:rsid w:val="29E67293"/>
    <w:rsid w:val="2AC1154D"/>
    <w:rsid w:val="2E620EB2"/>
    <w:rsid w:val="2ECD0A22"/>
    <w:rsid w:val="31921AAF"/>
    <w:rsid w:val="31FB58A6"/>
    <w:rsid w:val="37773C20"/>
    <w:rsid w:val="37DF17C6"/>
    <w:rsid w:val="389B56ED"/>
    <w:rsid w:val="3A2A4F7A"/>
    <w:rsid w:val="3A742699"/>
    <w:rsid w:val="3C1E2843"/>
    <w:rsid w:val="3EDF71CC"/>
    <w:rsid w:val="3F424B14"/>
    <w:rsid w:val="41110C42"/>
    <w:rsid w:val="41FB71FC"/>
    <w:rsid w:val="44B00772"/>
    <w:rsid w:val="44BC0EC5"/>
    <w:rsid w:val="45350C77"/>
    <w:rsid w:val="477C493B"/>
    <w:rsid w:val="48B9571B"/>
    <w:rsid w:val="4A1C41B3"/>
    <w:rsid w:val="4BC845F3"/>
    <w:rsid w:val="4D040D7C"/>
    <w:rsid w:val="4EFD0A57"/>
    <w:rsid w:val="4FDF015D"/>
    <w:rsid w:val="4FEE5DDD"/>
    <w:rsid w:val="50334A9E"/>
    <w:rsid w:val="50BE4216"/>
    <w:rsid w:val="51F37EF0"/>
    <w:rsid w:val="523F4EE3"/>
    <w:rsid w:val="59C46682"/>
    <w:rsid w:val="59CF5D9E"/>
    <w:rsid w:val="59E06FAB"/>
    <w:rsid w:val="5C4001D5"/>
    <w:rsid w:val="5E39312E"/>
    <w:rsid w:val="5FFC4413"/>
    <w:rsid w:val="61321FAE"/>
    <w:rsid w:val="61AD00BB"/>
    <w:rsid w:val="64C55D5F"/>
    <w:rsid w:val="68295FC1"/>
    <w:rsid w:val="684D1CB0"/>
    <w:rsid w:val="6BF863D7"/>
    <w:rsid w:val="6DA560EA"/>
    <w:rsid w:val="6FE302A0"/>
    <w:rsid w:val="729B08E4"/>
    <w:rsid w:val="73441F01"/>
    <w:rsid w:val="73E7745D"/>
    <w:rsid w:val="749A44CF"/>
    <w:rsid w:val="749E3893"/>
    <w:rsid w:val="74A40EAA"/>
    <w:rsid w:val="74FD4A5E"/>
    <w:rsid w:val="75482501"/>
    <w:rsid w:val="764741E2"/>
    <w:rsid w:val="77447F9F"/>
    <w:rsid w:val="77CB0269"/>
    <w:rsid w:val="77D93560"/>
    <w:rsid w:val="793547C6"/>
    <w:rsid w:val="795F7A95"/>
    <w:rsid w:val="7B6F1AE6"/>
    <w:rsid w:val="7BE95D3C"/>
    <w:rsid w:val="AFDEA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kern w:val="2"/>
      <w:sz w:val="21"/>
      <w:szCs w:val="28"/>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ody Text 3"/>
    <w:basedOn w:val="1"/>
    <w:qFormat/>
    <w:uiPriority w:val="99"/>
    <w:pPr>
      <w:spacing w:after="120"/>
    </w:pPr>
    <w:rPr>
      <w:sz w:val="16"/>
      <w:szCs w:val="16"/>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批注文字 字符"/>
    <w:basedOn w:val="11"/>
    <w:link w:val="3"/>
    <w:qFormat/>
    <w:uiPriority w:val="0"/>
    <w:rPr>
      <w:rFonts w:ascii="Calibri" w:hAnsi="Calibri" w:cs="黑体"/>
      <w:kern w:val="2"/>
      <w:sz w:val="21"/>
      <w:szCs w:val="24"/>
    </w:rPr>
  </w:style>
  <w:style w:type="character" w:customStyle="1" w:styleId="14">
    <w:name w:val="批注框文本 字符"/>
    <w:basedOn w:val="11"/>
    <w:link w:val="5"/>
    <w:qFormat/>
    <w:uiPriority w:val="0"/>
    <w:rPr>
      <w:rFonts w:ascii="Calibri" w:hAnsi="Calibri" w:cs="黑体"/>
      <w:kern w:val="2"/>
      <w:sz w:val="18"/>
      <w:szCs w:val="18"/>
    </w:rPr>
  </w:style>
  <w:style w:type="character" w:customStyle="1" w:styleId="15">
    <w:name w:val="批注主题 字符"/>
    <w:basedOn w:val="13"/>
    <w:link w:val="8"/>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5.emf"/><Relationship Id="rId4" Type="http://schemas.openxmlformats.org/officeDocument/2006/relationships/footer" Target="footer2.xml"/><Relationship Id="rId39" Type="http://schemas.openxmlformats.org/officeDocument/2006/relationships/oleObject" Target="embeddings/oleObject13.bin"/><Relationship Id="rId38" Type="http://schemas.openxmlformats.org/officeDocument/2006/relationships/image" Target="media/image14.emf"/><Relationship Id="rId37" Type="http://schemas.openxmlformats.org/officeDocument/2006/relationships/oleObject" Target="embeddings/oleObject12.bin"/><Relationship Id="rId36" Type="http://schemas.openxmlformats.org/officeDocument/2006/relationships/image" Target="media/image13.emf"/><Relationship Id="rId35" Type="http://schemas.openxmlformats.org/officeDocument/2006/relationships/oleObject" Target="embeddings/oleObject11.bin"/><Relationship Id="rId34" Type="http://schemas.openxmlformats.org/officeDocument/2006/relationships/chart" Target="charts/chart7.xml"/><Relationship Id="rId33" Type="http://schemas.openxmlformats.org/officeDocument/2006/relationships/chart" Target="charts/chart6.xml"/><Relationship Id="rId32" Type="http://schemas.openxmlformats.org/officeDocument/2006/relationships/chart" Target="charts/chart5.xml"/><Relationship Id="rId31" Type="http://schemas.openxmlformats.org/officeDocument/2006/relationships/chart" Target="charts/chart4.xml"/><Relationship Id="rId30" Type="http://schemas.openxmlformats.org/officeDocument/2006/relationships/chart" Target="charts/chart3.xml"/><Relationship Id="rId3" Type="http://schemas.openxmlformats.org/officeDocument/2006/relationships/footer" Target="footer1.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12.emf"/><Relationship Id="rId26" Type="http://schemas.openxmlformats.org/officeDocument/2006/relationships/oleObject" Target="embeddings/oleObject10.bin"/><Relationship Id="rId25" Type="http://schemas.openxmlformats.org/officeDocument/2006/relationships/image" Target="media/image11.emf"/><Relationship Id="rId24" Type="http://schemas.openxmlformats.org/officeDocument/2006/relationships/oleObject" Target="embeddings/oleObject9.bin"/><Relationship Id="rId23" Type="http://schemas.openxmlformats.org/officeDocument/2006/relationships/image" Target="media/image10.emf"/><Relationship Id="rId22" Type="http://schemas.openxmlformats.org/officeDocument/2006/relationships/oleObject" Target="embeddings/oleObject8.bin"/><Relationship Id="rId21" Type="http://schemas.openxmlformats.org/officeDocument/2006/relationships/image" Target="media/image9.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6.bin"/><Relationship Id="rId17" Type="http://schemas.openxmlformats.org/officeDocument/2006/relationships/image" Target="media/image7.emf"/><Relationship Id="rId16" Type="http://schemas.openxmlformats.org/officeDocument/2006/relationships/oleObject" Target="embeddings/oleObject5.bin"/><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My%20Documents\Desktop\2021&#24180;&#20915;&#31639;&#20844;&#24320;\&#20915;&#31639;&#25968;&#25454;&#21450;&#20844;&#24320;&#27169;&#26495;\&#38215;&#22378;&#21439;&#20065;&#26449;&#25391;&#20852;&#23616;&#65288;&#27719;&#24635;&#6528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My%20Documents\Desktop\2021&#24180;&#20915;&#31639;&#20844;&#24320;\&#20915;&#31639;&#25968;&#25454;&#21450;&#20844;&#24320;&#27169;&#26495;\&#38215;&#22378;&#21439;&#20065;&#26449;&#25391;&#20852;&#23616;&#65288;&#27719;&#24635;&#65289;.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My%20Documents\Desktop\2021&#24180;&#20915;&#31639;&#20844;&#24320;\&#20915;&#31639;&#25968;&#25454;&#21450;&#20844;&#24320;&#27169;&#26495;\&#38215;&#22378;&#21439;&#20065;&#26449;&#25391;&#20852;&#23616;&#65288;&#27719;&#24635;&#65289;.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My%20Documents\Desktop\2021&#24180;&#20915;&#31639;&#20844;&#24320;\&#20915;&#31639;&#25968;&#25454;&#21450;&#20844;&#24320;&#27169;&#26495;\&#38215;&#22378;&#21439;&#20065;&#26449;&#25391;&#20852;&#23616;&#65288;&#27719;&#24635;&#65289;.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My%20Documents\Desktop\2021&#24180;&#20915;&#31639;&#20844;&#24320;\&#20915;&#31639;&#25968;&#25454;&#21450;&#20844;&#24320;&#27169;&#26495;\&#38215;&#22378;&#21439;&#20065;&#26449;&#25391;&#20852;&#23616;&#65288;&#27719;&#24635;&#65289;.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My%20Documents\Desktop\2021&#24180;&#20915;&#31639;&#20844;&#24320;\&#20915;&#31639;&#25968;&#25454;&#21450;&#20844;&#24320;&#27169;&#26495;\&#38215;&#22378;&#21439;&#20065;&#26449;&#25391;&#20852;&#23616;&#65288;&#27719;&#24635;&#65289;.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My%20Documents\Desktop\2021&#24180;&#20915;&#31639;&#20844;&#24320;\&#20915;&#31639;&#25968;&#25454;&#21450;&#20844;&#24320;&#27169;&#26495;\&#38215;&#22378;&#21439;&#20065;&#26449;&#25391;&#20852;&#23616;&#65288;&#27719;&#2463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2020-2021</a:t>
            </a:r>
            <a:r>
              <a:rPr altLang="en-US"/>
              <a:t>年收支变化图</a:t>
            </a:r>
            <a:endParaRPr altLang="en-US"/>
          </a:p>
        </c:rich>
      </c:tx>
      <c:layout/>
      <c:overlay val="false"/>
      <c:spPr>
        <a:noFill/>
        <a:ln>
          <a:noFill/>
        </a:ln>
        <a:effectLst/>
      </c:spPr>
    </c:title>
    <c:autoTitleDeleted val="false"/>
    <c:plotArea>
      <c:layout>
        <c:manualLayout>
          <c:layoutTarget val="inner"/>
          <c:xMode val="edge"/>
          <c:yMode val="edge"/>
          <c:x val="0.0664610069101678"/>
          <c:y val="0.154296087131908"/>
          <c:w val="0.929837117472853"/>
          <c:h val="0.680597014925373"/>
        </c:manualLayout>
      </c:layout>
      <c:barChart>
        <c:barDir val="col"/>
        <c:grouping val="stacked"/>
        <c:varyColors val="false"/>
        <c:ser>
          <c:idx val="0"/>
          <c:order val="0"/>
          <c:spPr>
            <a:solidFill>
              <a:schemeClr val="accent1"/>
            </a:solidFill>
            <a:ln>
              <a:noFill/>
            </a:ln>
            <a:effectLst/>
          </c:spPr>
          <c:invertIfNegative val="false"/>
          <c:dLbls>
            <c:delete val="true"/>
          </c:dLbls>
          <c:cat>
            <c:multiLvlStrRef>
              <c:f>'[镇坪县乡村振兴局（汇总）.XLS]PF01 收入支出决算总表(批复01表)'!$H$22:$I$23</c:f>
              <c:multiLvlStrCache>
                <c:ptCount val="2"/>
                <c:lvl>
                  <c:pt idx="0">
                    <c:v>支出522.19万元</c:v>
                  </c:pt>
                  <c:pt idx="1">
                    <c:v>支出685.18万元</c:v>
                  </c:pt>
                </c:lvl>
                <c:lvl>
                  <c:pt idx="0">
                    <c:v>2020年</c:v>
                  </c:pt>
                  <c:pt idx="1">
                    <c:v>2021年</c:v>
                  </c:pt>
                </c:lvl>
              </c:multiLvlStrCache>
            </c:multiLvlStrRef>
          </c:cat>
          <c:val>
            <c:numRef>
              <c:f>'[镇坪县乡村振兴局（汇总）.XLS]PF01 收入支出决算总表(批复01表)'!$H$24:$I$24</c:f>
              <c:numCache>
                <c:formatCode>General</c:formatCode>
                <c:ptCount val="2"/>
                <c:pt idx="0">
                  <c:v>522.19</c:v>
                </c:pt>
                <c:pt idx="1">
                  <c:v>685.18</c:v>
                </c:pt>
              </c:numCache>
            </c:numRef>
          </c:val>
        </c:ser>
        <c:dLbls>
          <c:showLegendKey val="false"/>
          <c:showVal val="false"/>
          <c:showCatName val="false"/>
          <c:showSerName val="false"/>
          <c:showPercent val="false"/>
          <c:showBubbleSize val="false"/>
        </c:dLbls>
        <c:gapWidth val="150"/>
        <c:overlap val="100"/>
        <c:axId val="950855937"/>
        <c:axId val="961455491"/>
      </c:barChart>
      <c:catAx>
        <c:axId val="95085593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1455491"/>
        <c:crosses val="autoZero"/>
        <c:auto val="true"/>
        <c:lblAlgn val="ctr"/>
        <c:lblOffset val="100"/>
        <c:noMultiLvlLbl val="false"/>
      </c:catAx>
      <c:valAx>
        <c:axId val="9614554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085593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manualLayout>
          <c:xMode val="edge"/>
          <c:yMode val="edge"/>
          <c:x val="0.387193780255244"/>
          <c:y val="0.00838457238680827"/>
        </c:manualLayout>
      </c:layout>
      <c:overlay val="false"/>
      <c:spPr>
        <a:noFill/>
        <a:ln>
          <a:noFill/>
        </a:ln>
        <a:effectLst/>
      </c:spPr>
    </c:title>
    <c:autoTitleDeleted val="false"/>
    <c:plotArea>
      <c:layout/>
      <c:pieChart>
        <c:varyColors val="true"/>
        <c:ser>
          <c:idx val="0"/>
          <c:order val="0"/>
          <c:spPr/>
          <c:explosion val="4"/>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dLbl>
              <c:idx val="1"/>
              <c:layout>
                <c:manualLayout>
                  <c:x val="-0.270645385149202"/>
                  <c:y val="0.21141404805915"/>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'[镇坪县乡村振兴局（汇总）.XLS]PF01 收入支出决算总表(批复01表)'!$G$35:$H$35</c:f>
              <c:strCache>
                <c:ptCount val="2"/>
                <c:pt idx="0">
                  <c:v>政拨款收入685.18万元</c:v>
                </c:pt>
                <c:pt idx="1">
                  <c:v>其他收入0万元</c:v>
                </c:pt>
              </c:strCache>
            </c:strRef>
          </c:cat>
          <c:val>
            <c:numRef>
              <c:f>'[镇坪县乡村振兴局（汇总）.XLS]PF01 收入支出决算总表(批复01表)'!$G$36:$H$36</c:f>
              <c:numCache>
                <c:formatCode>General</c:formatCode>
                <c:ptCount val="2"/>
                <c:pt idx="0">
                  <c:v>685.18</c:v>
                </c:pt>
                <c:pt idx="1">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支出结构图</a:t>
            </a:r>
          </a:p>
        </c:rich>
      </c:tx>
      <c:layout/>
      <c:overlay val="false"/>
      <c:spPr>
        <a:noFill/>
        <a:ln>
          <a:noFill/>
        </a:ln>
        <a:effectLst/>
      </c:spPr>
    </c:title>
    <c:autoTitleDeleted val="false"/>
    <c:plotArea>
      <c:layout/>
      <c:pieChart>
        <c:varyColors val="true"/>
        <c:ser>
          <c:idx val="0"/>
          <c:order val="0"/>
          <c:spPr/>
          <c:explosion val="4"/>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'[镇坪县乡村振兴局（汇总）.XLS]PF03 支出决算表(批复03表)'!$H$23:$I$23</c:f>
              <c:strCache>
                <c:ptCount val="2"/>
                <c:pt idx="0">
                  <c:v>基本支出216.72万元</c:v>
                </c:pt>
                <c:pt idx="1">
                  <c:v>项目支出468.47万元</c:v>
                </c:pt>
              </c:strCache>
            </c:strRef>
          </c:cat>
          <c:val>
            <c:numRef>
              <c:f>'[镇坪县乡村振兴局（汇总）.XLS]PF03 支出决算表(批复03表)'!$H$24:$I$24</c:f>
              <c:numCache>
                <c:formatCode>General</c:formatCode>
                <c:ptCount val="2"/>
                <c:pt idx="0">
                  <c:v>216.72</c:v>
                </c:pt>
                <c:pt idx="1">
                  <c:v>468.48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2020-2021</a:t>
            </a:r>
            <a:r>
              <a:rPr altLang="en-US"/>
              <a:t>年财政拨款收支变化图</a:t>
            </a:r>
            <a:endParaRPr altLang="en-US"/>
          </a:p>
        </c:rich>
      </c:tx>
      <c:layout/>
      <c:overlay val="false"/>
      <c:spPr>
        <a:noFill/>
        <a:ln>
          <a:noFill/>
        </a:ln>
        <a:effectLst/>
      </c:spPr>
    </c:title>
    <c:autoTitleDeleted val="false"/>
    <c:plotArea>
      <c:layout>
        <c:manualLayout>
          <c:layoutTarget val="inner"/>
          <c:xMode val="edge"/>
          <c:yMode val="edge"/>
          <c:x val="0.0664610069101678"/>
          <c:y val="0.154296087131908"/>
          <c:w val="0.929837117472853"/>
          <c:h val="0.680597014925373"/>
        </c:manualLayout>
      </c:layout>
      <c:barChart>
        <c:barDir val="col"/>
        <c:grouping val="stacked"/>
        <c:varyColors val="false"/>
        <c:ser>
          <c:idx val="0"/>
          <c:order val="0"/>
          <c:spPr>
            <a:solidFill>
              <a:schemeClr val="accent1"/>
            </a:solidFill>
            <a:ln>
              <a:noFill/>
            </a:ln>
            <a:effectLst/>
          </c:spPr>
          <c:invertIfNegative val="false"/>
          <c:dLbls>
            <c:delete val="true"/>
          </c:dLbls>
          <c:cat>
            <c:multiLvlStrRef>
              <c:f>'[镇坪县乡村振兴局（汇总）.XLS]PF01 收入支出决算总表(批复01表)'!$H$22:$I$23</c:f>
              <c:multiLvlStrCache>
                <c:ptCount val="2"/>
                <c:lvl>
                  <c:pt idx="0">
                    <c:v>支出522.19万元</c:v>
                  </c:pt>
                  <c:pt idx="1">
                    <c:v>支出685.18万元</c:v>
                  </c:pt>
                </c:lvl>
                <c:lvl>
                  <c:pt idx="0">
                    <c:v>2020年</c:v>
                  </c:pt>
                  <c:pt idx="1">
                    <c:v>2021年</c:v>
                  </c:pt>
                </c:lvl>
              </c:multiLvlStrCache>
            </c:multiLvlStrRef>
          </c:cat>
          <c:val>
            <c:numRef>
              <c:f>'[镇坪县乡村振兴局（汇总）.XLS]PF01 收入支出决算总表(批复01表)'!$H$24:$I$24</c:f>
              <c:numCache>
                <c:formatCode>General</c:formatCode>
                <c:ptCount val="2"/>
                <c:pt idx="0">
                  <c:v>522.19</c:v>
                </c:pt>
                <c:pt idx="1">
                  <c:v>685.18</c:v>
                </c:pt>
              </c:numCache>
            </c:numRef>
          </c:val>
        </c:ser>
        <c:dLbls>
          <c:showLegendKey val="false"/>
          <c:showVal val="false"/>
          <c:showCatName val="false"/>
          <c:showSerName val="false"/>
          <c:showPercent val="false"/>
          <c:showBubbleSize val="false"/>
        </c:dLbls>
        <c:gapWidth val="150"/>
        <c:overlap val="100"/>
        <c:axId val="950855937"/>
        <c:axId val="961455491"/>
      </c:barChart>
      <c:catAx>
        <c:axId val="95085593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1455491"/>
        <c:crosses val="autoZero"/>
        <c:auto val="true"/>
        <c:lblAlgn val="ctr"/>
        <c:lblOffset val="100"/>
        <c:noMultiLvlLbl val="false"/>
      </c:catAx>
      <c:valAx>
        <c:axId val="9614554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085593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2020-2021</a:t>
            </a:r>
            <a:r>
              <a:rPr altLang="en-US"/>
              <a:t>一般公共预算财政拨款支出变化图</a:t>
            </a:r>
            <a:endParaRPr altLang="en-US"/>
          </a:p>
        </c:rich>
      </c:tx>
      <c:layout/>
      <c:overlay val="false"/>
      <c:spPr>
        <a:noFill/>
        <a:ln>
          <a:noFill/>
        </a:ln>
        <a:effectLst/>
      </c:spPr>
    </c:title>
    <c:autoTitleDeleted val="false"/>
    <c:plotArea>
      <c:layout>
        <c:manualLayout>
          <c:layoutTarget val="inner"/>
          <c:xMode val="edge"/>
          <c:yMode val="edge"/>
          <c:x val="0.0664196054991034"/>
          <c:y val="0.126161755981807"/>
          <c:w val="0.929994022713688"/>
          <c:h val="0.680522048645442"/>
        </c:manualLayout>
      </c:layout>
      <c:barChart>
        <c:barDir val="col"/>
        <c:grouping val="stacked"/>
        <c:varyColors val="false"/>
        <c:ser>
          <c:idx val="0"/>
          <c:order val="0"/>
          <c:spPr>
            <a:solidFill>
              <a:schemeClr val="accent1"/>
            </a:solidFill>
            <a:ln>
              <a:noFill/>
            </a:ln>
            <a:effectLst/>
          </c:spPr>
          <c:invertIfNegative val="false"/>
          <c:dLbls>
            <c:delete val="true"/>
          </c:dLbls>
          <c:cat>
            <c:multiLvlStrRef>
              <c:f>'[镇坪县乡村振兴局（汇总）.XLS]PF01 收入支出决算总表(批复01表)'!$H$22:$I$23</c:f>
              <c:multiLvlStrCache>
                <c:ptCount val="2"/>
                <c:lvl>
                  <c:pt idx="0">
                    <c:v>支出522.19万元</c:v>
                  </c:pt>
                  <c:pt idx="1">
                    <c:v>支出685.18万元</c:v>
                  </c:pt>
                </c:lvl>
                <c:lvl>
                  <c:pt idx="0">
                    <c:v>2020年</c:v>
                  </c:pt>
                  <c:pt idx="1">
                    <c:v>2021年</c:v>
                  </c:pt>
                </c:lvl>
              </c:multiLvlStrCache>
            </c:multiLvlStrRef>
          </c:cat>
          <c:val>
            <c:numRef>
              <c:f>'[镇坪县乡村振兴局（汇总）.XLS]PF01 收入支出决算总表(批复01表)'!$H$24:$I$24</c:f>
              <c:numCache>
                <c:formatCode>General</c:formatCode>
                <c:ptCount val="2"/>
                <c:pt idx="0">
                  <c:v>522.19</c:v>
                </c:pt>
                <c:pt idx="1">
                  <c:v>685.18</c:v>
                </c:pt>
              </c:numCache>
            </c:numRef>
          </c:val>
        </c:ser>
        <c:dLbls>
          <c:showLegendKey val="false"/>
          <c:showVal val="false"/>
          <c:showCatName val="false"/>
          <c:showSerName val="false"/>
          <c:showPercent val="false"/>
          <c:showBubbleSize val="false"/>
        </c:dLbls>
        <c:gapWidth val="150"/>
        <c:overlap val="100"/>
        <c:axId val="950855937"/>
        <c:axId val="961455491"/>
      </c:barChart>
      <c:catAx>
        <c:axId val="95085593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1455491"/>
        <c:crosses val="autoZero"/>
        <c:auto val="true"/>
        <c:lblAlgn val="ctr"/>
        <c:lblOffset val="100"/>
        <c:noMultiLvlLbl val="false"/>
      </c:catAx>
      <c:valAx>
        <c:axId val="9614554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085593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一般公共预算财政拨款支出（功能科目分类）</a:t>
            </a:r>
          </a:p>
        </c:rich>
      </c:tx>
      <c:layout>
        <c:manualLayout>
          <c:xMode val="edge"/>
          <c:yMode val="edge"/>
          <c:x val="0.108404078957514"/>
          <c:y val="0.0243055555555556"/>
        </c:manualLayout>
      </c:layout>
      <c:overlay val="false"/>
      <c:spPr>
        <a:noFill/>
        <a:ln>
          <a:noFill/>
        </a:ln>
        <a:effectLst/>
      </c:spPr>
    </c:title>
    <c:autoTitleDeleted val="false"/>
    <c:plotArea>
      <c:layout/>
      <c:pieChart>
        <c:varyColors val="true"/>
        <c:ser>
          <c:idx val="0"/>
          <c:order val="0"/>
          <c:spPr/>
          <c:explosion val="4"/>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dLbl>
              <c:idx val="0"/>
              <c:layout>
                <c:manualLayout>
                  <c:x val="-0.0645385149201943"/>
                  <c:y val="0.107838589981447"/>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0166551006245663"/>
                  <c:y val="-0.100881261595547"/>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43650242886884"/>
                  <c:y val="0.0417439703153989"/>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'[镇坪县乡村振兴局（汇总）.XLS]PF05 一般公共预算财政拨款支出决算表（按功能分类科目）(批'!$A$11:$D$13</c:f>
              <c:multiLvlStrCache>
                <c:ptCount val="3"/>
                <c:lvl>
                  <c:pt idx="0">
                    <c:v>  行政运行（185.07万元）</c:v>
                  </c:pt>
                  <c:pt idx="1">
                    <c:v>  生产发展（208.42万元）</c:v>
                  </c:pt>
                  <c:pt idx="2">
                    <c:v>  其他扶贫支出（291.70万元）</c:v>
                  </c:pt>
                </c:lvl>
                <c:lvl/>
                <c:lvl/>
                <c:lvl>
                  <c:pt idx="0">
                    <c:v>2130501</c:v>
                  </c:pt>
                  <c:pt idx="1">
                    <c:v>2130505</c:v>
                  </c:pt>
                  <c:pt idx="2">
                    <c:v>2130599</c:v>
                  </c:pt>
                </c:lvl>
              </c:multiLvlStrCache>
            </c:multiLvlStrRef>
          </c:cat>
          <c:val>
            <c:numRef>
              <c:f>'[镇坪县乡村振兴局（汇总）.XLS]PF05 一般公共预算财政拨款支出决算表（按功能分类科目）(批'!$E$11:$E$13</c:f>
              <c:numCache>
                <c:formatCode>#,##0.00</c:formatCode>
                <c:ptCount val="3"/>
                <c:pt idx="0">
                  <c:v>185.07</c:v>
                </c:pt>
                <c:pt idx="1">
                  <c:v>208.42</c:v>
                </c:pt>
                <c:pt idx="2">
                  <c:v>291.7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一般公共预算财政拨款基本支出（按经济分类科目）</a:t>
            </a:r>
          </a:p>
        </c:rich>
      </c:tx>
      <c:layout/>
      <c:overlay val="false"/>
      <c:spPr>
        <a:noFill/>
        <a:ln>
          <a:noFill/>
        </a:ln>
        <a:effectLst/>
      </c:spPr>
    </c:title>
    <c:autoTitleDeleted val="false"/>
    <c:plotArea>
      <c:layout/>
      <c:pieChart>
        <c:varyColors val="true"/>
        <c:ser>
          <c:idx val="0"/>
          <c:order val="0"/>
          <c:spPr/>
          <c:explosion val="4"/>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dLbl>
              <c:idx val="0"/>
              <c:layout>
                <c:manualLayout>
                  <c:x val="-0.103390221402214"/>
                  <c:y val="-0.096988511735911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人员经费142.23万元66%</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0953720787207869"/>
                  <c:y val="0.068133804920049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公用经费 74.49万元34%</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'[镇坪县乡村振兴局（汇总）.XLS]PF06_1 一般公共预算财政拨款基本支出决算表（按经济分类科'!$F$4:$G$7</c:f>
              <c:multiLvlStrCache>
                <c:ptCount val="2"/>
                <c:lvl/>
                <c:lvl>
                  <c:pt idx="0">
                    <c:v>人员经费</c:v>
                  </c:pt>
                  <c:pt idx="1">
                    <c:v>日常公用经费</c:v>
                  </c:pt>
                </c:lvl>
                <c:lvl/>
                <c:lvl>
                  <c:pt idx="0">
                    <c:v>人员经费</c:v>
                  </c:pt>
                  <c:pt idx="1">
                    <c:v>公用经费</c:v>
                  </c:pt>
                </c:lvl>
              </c:multiLvlStrCache>
            </c:multiLvlStrRef>
          </c:cat>
          <c:val>
            <c:numRef>
              <c:f>'[镇坪县乡村振兴局（汇总）.XLS]PF06_1 一般公共预算财政拨款基本支出决算表（按经济分类科'!$F$8:$G$8</c:f>
              <c:numCache>
                <c:formatCode>#,##0.00</c:formatCode>
                <c:ptCount val="2"/>
                <c:pt idx="0">
                  <c:v>142.23</c:v>
                </c:pt>
                <c:pt idx="1">
                  <c:v>74.49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8349</Words>
  <Characters>8748</Characters>
  <Paragraphs>228</Paragraphs>
  <TotalTime>5</TotalTime>
  <ScaleCrop>false</ScaleCrop>
  <LinksUpToDate>false</LinksUpToDate>
  <CharactersWithSpaces>8893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ankang</cp:lastModifiedBy>
  <cp:lastPrinted>2022-09-30T09:03:00Z</cp:lastPrinted>
  <dcterms:modified xsi:type="dcterms:W3CDTF">2023-03-17T11:13:04Z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9A12013AD27A4DB4B2B93ADD2B4AE959</vt:lpwstr>
  </property>
</Properties>
</file>