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53" w:line="230" w:lineRule="auto"/>
        <w:ind w:left="185" w:right="1542"/>
        <w:jc w:val="both"/>
        <w:rPr>
          <w:rFonts w:ascii="宋体" w:hAnsi="宋体" w:eastAsia="宋体" w:cs="宋体"/>
          <w:sz w:val="47"/>
          <w:szCs w:val="47"/>
        </w:rPr>
      </w:pPr>
      <w:r>
        <w:pict>
          <v:shape id="_x0000_s1026" o:spid="_x0000_s1026" o:spt="202" type="#_x0000_t202" style="position:absolute;left:0pt;margin-left:379.4pt;margin-top:134.35pt;height:40.05pt;width:57.9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1" w:line="219" w:lineRule="auto"/>
                    <w:ind w:left="20"/>
                    <w:rPr>
                      <w:rFonts w:ascii="宋体" w:hAnsi="宋体" w:eastAsia="宋体" w:cs="宋体"/>
                      <w:sz w:val="64"/>
                      <w:szCs w:val="6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D50E00"/>
                      <w:spacing w:val="-48"/>
                      <w:w w:val="93"/>
                      <w:sz w:val="64"/>
                      <w:szCs w:val="64"/>
                    </w:rPr>
                    <w:t>文件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color w:val="D50E00"/>
          <w:spacing w:val="-38"/>
          <w:sz w:val="47"/>
          <w:szCs w:val="47"/>
        </w:rPr>
        <w:t>陕</w:t>
      </w:r>
      <w:r>
        <w:rPr>
          <w:rFonts w:ascii="宋体" w:hAnsi="宋体" w:eastAsia="宋体" w:cs="宋体"/>
          <w:color w:val="D50E00"/>
          <w:spacing w:val="70"/>
          <w:sz w:val="47"/>
          <w:szCs w:val="47"/>
        </w:rPr>
        <w:t xml:space="preserve">   </w:t>
      </w:r>
      <w:r>
        <w:rPr>
          <w:rFonts w:ascii="宋体" w:hAnsi="宋体" w:eastAsia="宋体" w:cs="宋体"/>
          <w:b/>
          <w:bCs/>
          <w:color w:val="D50E00"/>
          <w:spacing w:val="-38"/>
          <w:sz w:val="47"/>
          <w:szCs w:val="47"/>
        </w:rPr>
        <w:t>西</w:t>
      </w:r>
      <w:r>
        <w:rPr>
          <w:rFonts w:ascii="宋体" w:hAnsi="宋体" w:eastAsia="宋体" w:cs="宋体"/>
          <w:color w:val="D50E00"/>
          <w:spacing w:val="58"/>
          <w:sz w:val="47"/>
          <w:szCs w:val="47"/>
        </w:rPr>
        <w:t xml:space="preserve">   </w:t>
      </w:r>
      <w:r>
        <w:rPr>
          <w:rFonts w:ascii="宋体" w:hAnsi="宋体" w:eastAsia="宋体" w:cs="宋体"/>
          <w:b/>
          <w:bCs/>
          <w:color w:val="D50E00"/>
          <w:spacing w:val="-38"/>
          <w:sz w:val="47"/>
          <w:szCs w:val="47"/>
        </w:rPr>
        <w:t>省</w:t>
      </w:r>
      <w:r>
        <w:rPr>
          <w:rFonts w:ascii="宋体" w:hAnsi="宋体" w:eastAsia="宋体" w:cs="宋体"/>
          <w:color w:val="D50E00"/>
          <w:spacing w:val="73"/>
          <w:sz w:val="47"/>
          <w:szCs w:val="47"/>
        </w:rPr>
        <w:t xml:space="preserve">   </w:t>
      </w:r>
      <w:r>
        <w:rPr>
          <w:rFonts w:ascii="宋体" w:hAnsi="宋体" w:eastAsia="宋体" w:cs="宋体"/>
          <w:b/>
          <w:bCs/>
          <w:color w:val="D50E00"/>
          <w:spacing w:val="-38"/>
          <w:sz w:val="47"/>
          <w:szCs w:val="47"/>
        </w:rPr>
        <w:t>教</w:t>
      </w:r>
      <w:r>
        <w:rPr>
          <w:rFonts w:ascii="宋体" w:hAnsi="宋体" w:eastAsia="宋体" w:cs="宋体"/>
          <w:color w:val="D50E00"/>
          <w:spacing w:val="63"/>
          <w:sz w:val="47"/>
          <w:szCs w:val="47"/>
        </w:rPr>
        <w:t xml:space="preserve">   </w:t>
      </w:r>
      <w:r>
        <w:rPr>
          <w:rFonts w:ascii="宋体" w:hAnsi="宋体" w:eastAsia="宋体" w:cs="宋体"/>
          <w:b/>
          <w:bCs/>
          <w:color w:val="D50E00"/>
          <w:spacing w:val="-38"/>
          <w:sz w:val="47"/>
          <w:szCs w:val="47"/>
        </w:rPr>
        <w:t>育</w:t>
      </w:r>
      <w:r>
        <w:rPr>
          <w:rFonts w:ascii="宋体" w:hAnsi="宋体" w:eastAsia="宋体" w:cs="宋体"/>
          <w:color w:val="D50E00"/>
          <w:spacing w:val="71"/>
          <w:sz w:val="47"/>
          <w:szCs w:val="47"/>
        </w:rPr>
        <w:t xml:space="preserve">   </w:t>
      </w:r>
      <w:r>
        <w:rPr>
          <w:rFonts w:ascii="宋体" w:hAnsi="宋体" w:eastAsia="宋体" w:cs="宋体"/>
          <w:b/>
          <w:bCs/>
          <w:color w:val="D50E00"/>
          <w:spacing w:val="-38"/>
          <w:sz w:val="47"/>
          <w:szCs w:val="47"/>
        </w:rPr>
        <w:t>厅</w:t>
      </w:r>
      <w:r>
        <w:rPr>
          <w:rFonts w:ascii="宋体" w:hAnsi="宋体" w:eastAsia="宋体" w:cs="宋体"/>
          <w:color w:val="D50E00"/>
          <w:spacing w:val="1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陕</w:t>
      </w:r>
      <w:r>
        <w:rPr>
          <w:rFonts w:ascii="宋体" w:hAnsi="宋体" w:eastAsia="宋体" w:cs="宋体"/>
          <w:color w:val="D50E00"/>
          <w:spacing w:val="7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西</w:t>
      </w:r>
      <w:r>
        <w:rPr>
          <w:rFonts w:ascii="宋体" w:hAnsi="宋体" w:eastAsia="宋体" w:cs="宋体"/>
          <w:color w:val="D50E00"/>
          <w:spacing w:val="-3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省</w:t>
      </w:r>
      <w:r>
        <w:rPr>
          <w:rFonts w:ascii="宋体" w:hAnsi="宋体" w:eastAsia="宋体" w:cs="宋体"/>
          <w:color w:val="D50E00"/>
          <w:spacing w:val="-3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发</w:t>
      </w:r>
      <w:r>
        <w:rPr>
          <w:rFonts w:ascii="宋体" w:hAnsi="宋体" w:eastAsia="宋体" w:cs="宋体"/>
          <w:color w:val="D50E00"/>
          <w:spacing w:val="-7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展</w:t>
      </w:r>
      <w:r>
        <w:rPr>
          <w:rFonts w:ascii="宋体" w:hAnsi="宋体" w:eastAsia="宋体" w:cs="宋体"/>
          <w:color w:val="D50E00"/>
          <w:spacing w:val="-9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和</w:t>
      </w:r>
      <w:r>
        <w:rPr>
          <w:rFonts w:ascii="宋体" w:hAnsi="宋体" w:eastAsia="宋体" w:cs="宋体"/>
          <w:color w:val="D50E00"/>
          <w:spacing w:val="6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改</w:t>
      </w:r>
      <w:r>
        <w:rPr>
          <w:rFonts w:ascii="宋体" w:hAnsi="宋体" w:eastAsia="宋体" w:cs="宋体"/>
          <w:color w:val="D50E00"/>
          <w:spacing w:val="-9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革</w:t>
      </w:r>
      <w:r>
        <w:rPr>
          <w:rFonts w:ascii="宋体" w:hAnsi="宋体" w:eastAsia="宋体" w:cs="宋体"/>
          <w:color w:val="D50E00"/>
          <w:spacing w:val="-12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委</w:t>
      </w:r>
      <w:r>
        <w:rPr>
          <w:rFonts w:ascii="宋体" w:hAnsi="宋体" w:eastAsia="宋体" w:cs="宋体"/>
          <w:color w:val="D50E00"/>
          <w:spacing w:val="7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员</w:t>
      </w:r>
      <w:r>
        <w:rPr>
          <w:rFonts w:ascii="宋体" w:hAnsi="宋体" w:eastAsia="宋体" w:cs="宋体"/>
          <w:color w:val="D50E00"/>
          <w:spacing w:val="-12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会</w:t>
      </w:r>
      <w:r>
        <w:rPr>
          <w:rFonts w:ascii="宋体" w:hAnsi="宋体" w:eastAsia="宋体" w:cs="宋体"/>
          <w:color w:val="D50E00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陕</w:t>
      </w:r>
      <w:r>
        <w:rPr>
          <w:rFonts w:ascii="宋体" w:hAnsi="宋体" w:eastAsia="宋体" w:cs="宋体"/>
          <w:color w:val="D50E00"/>
          <w:spacing w:val="32"/>
          <w:sz w:val="47"/>
          <w:szCs w:val="47"/>
        </w:rPr>
        <w:t xml:space="preserve"> 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西</w:t>
      </w:r>
      <w:r>
        <w:rPr>
          <w:rFonts w:ascii="宋体" w:hAnsi="宋体" w:eastAsia="宋体" w:cs="宋体"/>
          <w:color w:val="D50E00"/>
          <w:spacing w:val="5"/>
          <w:sz w:val="47"/>
          <w:szCs w:val="47"/>
        </w:rPr>
        <w:t xml:space="preserve"> 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省</w:t>
      </w:r>
      <w:r>
        <w:rPr>
          <w:rFonts w:ascii="宋体" w:hAnsi="宋体" w:eastAsia="宋体" w:cs="宋体"/>
          <w:color w:val="D50E00"/>
          <w:spacing w:val="38"/>
          <w:sz w:val="47"/>
          <w:szCs w:val="47"/>
        </w:rPr>
        <w:t xml:space="preserve"> 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科</w:t>
      </w:r>
      <w:r>
        <w:rPr>
          <w:rFonts w:ascii="宋体" w:hAnsi="宋体" w:eastAsia="宋体" w:cs="宋体"/>
          <w:color w:val="D50E00"/>
          <w:spacing w:val="19"/>
          <w:sz w:val="47"/>
          <w:szCs w:val="47"/>
        </w:rPr>
        <w:t xml:space="preserve"> 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学</w:t>
      </w:r>
      <w:r>
        <w:rPr>
          <w:rFonts w:ascii="宋体" w:hAnsi="宋体" w:eastAsia="宋体" w:cs="宋体"/>
          <w:color w:val="D50E00"/>
          <w:spacing w:val="24"/>
          <w:sz w:val="47"/>
          <w:szCs w:val="47"/>
        </w:rPr>
        <w:t xml:space="preserve"> 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技</w:t>
      </w:r>
      <w:r>
        <w:rPr>
          <w:rFonts w:ascii="宋体" w:hAnsi="宋体" w:eastAsia="宋体" w:cs="宋体"/>
          <w:color w:val="D50E00"/>
          <w:spacing w:val="10"/>
          <w:sz w:val="47"/>
          <w:szCs w:val="47"/>
        </w:rPr>
        <w:t xml:space="preserve"> 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术</w:t>
      </w:r>
      <w:r>
        <w:rPr>
          <w:rFonts w:ascii="宋体" w:hAnsi="宋体" w:eastAsia="宋体" w:cs="宋体"/>
          <w:color w:val="D50E00"/>
          <w:spacing w:val="46"/>
          <w:sz w:val="47"/>
          <w:szCs w:val="47"/>
        </w:rPr>
        <w:t xml:space="preserve"> 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厅</w:t>
      </w:r>
      <w:r>
        <w:rPr>
          <w:rFonts w:ascii="宋体" w:hAnsi="宋体" w:eastAsia="宋体" w:cs="宋体"/>
          <w:color w:val="D50E00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8"/>
          <w:sz w:val="47"/>
          <w:szCs w:val="47"/>
        </w:rPr>
        <w:t>陕</w:t>
      </w:r>
      <w:r>
        <w:rPr>
          <w:rFonts w:ascii="宋体" w:hAnsi="宋体" w:eastAsia="宋体" w:cs="宋体"/>
          <w:color w:val="D50E00"/>
          <w:spacing w:val="73"/>
          <w:sz w:val="47"/>
          <w:szCs w:val="47"/>
        </w:rPr>
        <w:t xml:space="preserve">   </w:t>
      </w:r>
      <w:r>
        <w:rPr>
          <w:rFonts w:ascii="宋体" w:hAnsi="宋体" w:eastAsia="宋体" w:cs="宋体"/>
          <w:b/>
          <w:bCs/>
          <w:color w:val="D50E00"/>
          <w:spacing w:val="-38"/>
          <w:sz w:val="47"/>
          <w:szCs w:val="47"/>
        </w:rPr>
        <w:t>西</w:t>
      </w:r>
      <w:r>
        <w:rPr>
          <w:rFonts w:ascii="宋体" w:hAnsi="宋体" w:eastAsia="宋体" w:cs="宋体"/>
          <w:color w:val="D50E00"/>
          <w:spacing w:val="62"/>
          <w:sz w:val="47"/>
          <w:szCs w:val="47"/>
        </w:rPr>
        <w:t xml:space="preserve">   </w:t>
      </w:r>
      <w:r>
        <w:rPr>
          <w:rFonts w:ascii="宋体" w:hAnsi="宋体" w:eastAsia="宋体" w:cs="宋体"/>
          <w:b/>
          <w:bCs/>
          <w:color w:val="D50E00"/>
          <w:spacing w:val="-38"/>
          <w:sz w:val="47"/>
          <w:szCs w:val="47"/>
        </w:rPr>
        <w:t>省</w:t>
      </w:r>
      <w:r>
        <w:rPr>
          <w:rFonts w:ascii="宋体" w:hAnsi="宋体" w:eastAsia="宋体" w:cs="宋体"/>
          <w:color w:val="D50E00"/>
          <w:spacing w:val="67"/>
          <w:sz w:val="47"/>
          <w:szCs w:val="47"/>
        </w:rPr>
        <w:t xml:space="preserve">   </w:t>
      </w:r>
      <w:r>
        <w:rPr>
          <w:rFonts w:ascii="宋体" w:hAnsi="宋体" w:eastAsia="宋体" w:cs="宋体"/>
          <w:b/>
          <w:bCs/>
          <w:color w:val="D50E00"/>
          <w:spacing w:val="-38"/>
          <w:sz w:val="47"/>
          <w:szCs w:val="47"/>
        </w:rPr>
        <w:t>公</w:t>
      </w:r>
      <w:r>
        <w:rPr>
          <w:rFonts w:ascii="宋体" w:hAnsi="宋体" w:eastAsia="宋体" w:cs="宋体"/>
          <w:color w:val="D50E00"/>
          <w:spacing w:val="56"/>
          <w:sz w:val="47"/>
          <w:szCs w:val="47"/>
        </w:rPr>
        <w:t xml:space="preserve">   </w:t>
      </w:r>
      <w:r>
        <w:rPr>
          <w:rFonts w:ascii="宋体" w:hAnsi="宋体" w:eastAsia="宋体" w:cs="宋体"/>
          <w:b/>
          <w:bCs/>
          <w:color w:val="D50E00"/>
          <w:spacing w:val="-38"/>
          <w:sz w:val="47"/>
          <w:szCs w:val="47"/>
        </w:rPr>
        <w:t>安</w:t>
      </w:r>
      <w:r>
        <w:rPr>
          <w:rFonts w:ascii="宋体" w:hAnsi="宋体" w:eastAsia="宋体" w:cs="宋体"/>
          <w:color w:val="D50E00"/>
          <w:spacing w:val="74"/>
          <w:sz w:val="47"/>
          <w:szCs w:val="47"/>
        </w:rPr>
        <w:t xml:space="preserve">   </w:t>
      </w:r>
      <w:r>
        <w:rPr>
          <w:rFonts w:ascii="宋体" w:hAnsi="宋体" w:eastAsia="宋体" w:cs="宋体"/>
          <w:b/>
          <w:bCs/>
          <w:color w:val="D50E00"/>
          <w:spacing w:val="-38"/>
          <w:sz w:val="47"/>
          <w:szCs w:val="47"/>
        </w:rPr>
        <w:t>厅</w:t>
      </w:r>
      <w:r>
        <w:rPr>
          <w:rFonts w:ascii="宋体" w:hAnsi="宋体" w:eastAsia="宋体" w:cs="宋体"/>
          <w:color w:val="D50E00"/>
          <w:spacing w:val="1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1"/>
          <w:sz w:val="47"/>
          <w:szCs w:val="47"/>
        </w:rPr>
        <w:t>陕</w:t>
      </w:r>
      <w:r>
        <w:rPr>
          <w:rFonts w:ascii="宋体" w:hAnsi="宋体" w:eastAsia="宋体" w:cs="宋体"/>
          <w:color w:val="D50E00"/>
          <w:spacing w:val="190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1"/>
          <w:sz w:val="47"/>
          <w:szCs w:val="47"/>
        </w:rPr>
        <w:t>西</w:t>
      </w:r>
      <w:r>
        <w:rPr>
          <w:rFonts w:ascii="宋体" w:hAnsi="宋体" w:eastAsia="宋体" w:cs="宋体"/>
          <w:color w:val="D50E00"/>
          <w:spacing w:val="172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1"/>
          <w:sz w:val="47"/>
          <w:szCs w:val="47"/>
        </w:rPr>
        <w:t>省</w:t>
      </w:r>
      <w:r>
        <w:rPr>
          <w:rFonts w:ascii="宋体" w:hAnsi="宋体" w:eastAsia="宋体" w:cs="宋体"/>
          <w:color w:val="D50E00"/>
          <w:spacing w:val="168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1"/>
          <w:sz w:val="47"/>
          <w:szCs w:val="47"/>
        </w:rPr>
        <w:t>文</w:t>
      </w:r>
      <w:r>
        <w:rPr>
          <w:rFonts w:ascii="宋体" w:hAnsi="宋体" w:eastAsia="宋体" w:cs="宋体"/>
          <w:color w:val="D50E00"/>
          <w:spacing w:val="143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1"/>
          <w:sz w:val="47"/>
          <w:szCs w:val="47"/>
        </w:rPr>
        <w:t>化</w:t>
      </w:r>
      <w:r>
        <w:rPr>
          <w:rFonts w:ascii="宋体" w:hAnsi="宋体" w:eastAsia="宋体" w:cs="宋体"/>
          <w:color w:val="D50E00"/>
          <w:spacing w:val="181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1"/>
          <w:sz w:val="47"/>
          <w:szCs w:val="47"/>
        </w:rPr>
        <w:t>和</w:t>
      </w:r>
      <w:r>
        <w:rPr>
          <w:rFonts w:ascii="宋体" w:hAnsi="宋体" w:eastAsia="宋体" w:cs="宋体"/>
          <w:color w:val="D50E00"/>
          <w:spacing w:val="129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1"/>
          <w:sz w:val="47"/>
          <w:szCs w:val="47"/>
        </w:rPr>
        <w:t>旅</w:t>
      </w:r>
      <w:r>
        <w:rPr>
          <w:rFonts w:ascii="宋体" w:hAnsi="宋体" w:eastAsia="宋体" w:cs="宋体"/>
          <w:color w:val="D50E00"/>
          <w:spacing w:val="152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1"/>
          <w:sz w:val="47"/>
          <w:szCs w:val="47"/>
        </w:rPr>
        <w:t>游</w:t>
      </w:r>
      <w:r>
        <w:rPr>
          <w:rFonts w:ascii="宋体" w:hAnsi="宋体" w:eastAsia="宋体" w:cs="宋体"/>
          <w:color w:val="D50E00"/>
          <w:spacing w:val="143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1"/>
          <w:sz w:val="47"/>
          <w:szCs w:val="47"/>
        </w:rPr>
        <w:t>厅</w:t>
      </w:r>
      <w:r>
        <w:rPr>
          <w:rFonts w:ascii="宋体" w:hAnsi="宋体" w:eastAsia="宋体" w:cs="宋体"/>
          <w:color w:val="D50E00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陕</w:t>
      </w:r>
      <w:r>
        <w:rPr>
          <w:rFonts w:ascii="宋体" w:hAnsi="宋体" w:eastAsia="宋体" w:cs="宋体"/>
          <w:color w:val="D50E00"/>
          <w:spacing w:val="72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西</w:t>
      </w:r>
      <w:r>
        <w:rPr>
          <w:rFonts w:ascii="宋体" w:hAnsi="宋体" w:eastAsia="宋体" w:cs="宋体"/>
          <w:color w:val="D50E00"/>
          <w:spacing w:val="68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省</w:t>
      </w:r>
      <w:r>
        <w:rPr>
          <w:rFonts w:ascii="宋体" w:hAnsi="宋体" w:eastAsia="宋体" w:cs="宋体"/>
          <w:color w:val="D50E00"/>
          <w:spacing w:val="74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市</w:t>
      </w:r>
      <w:r>
        <w:rPr>
          <w:rFonts w:ascii="宋体" w:hAnsi="宋体" w:eastAsia="宋体" w:cs="宋体"/>
          <w:color w:val="D50E00"/>
          <w:spacing w:val="60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场</w:t>
      </w:r>
      <w:r>
        <w:rPr>
          <w:rFonts w:ascii="宋体" w:hAnsi="宋体" w:eastAsia="宋体" w:cs="宋体"/>
          <w:color w:val="D50E00"/>
          <w:spacing w:val="63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监</w:t>
      </w:r>
      <w:r>
        <w:rPr>
          <w:rFonts w:ascii="宋体" w:hAnsi="宋体" w:eastAsia="宋体" w:cs="宋体"/>
          <w:color w:val="D50E00"/>
          <w:spacing w:val="70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督</w:t>
      </w:r>
      <w:r>
        <w:rPr>
          <w:rFonts w:ascii="宋体" w:hAnsi="宋体" w:eastAsia="宋体" w:cs="宋体"/>
          <w:color w:val="D50E00"/>
          <w:spacing w:val="73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管</w:t>
      </w:r>
      <w:r>
        <w:rPr>
          <w:rFonts w:ascii="宋体" w:hAnsi="宋体" w:eastAsia="宋体" w:cs="宋体"/>
          <w:color w:val="D50E00"/>
          <w:spacing w:val="67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理</w:t>
      </w:r>
      <w:r>
        <w:rPr>
          <w:rFonts w:ascii="宋体" w:hAnsi="宋体" w:eastAsia="宋体" w:cs="宋体"/>
          <w:color w:val="D50E00"/>
          <w:spacing w:val="67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3"/>
          <w:sz w:val="47"/>
          <w:szCs w:val="47"/>
        </w:rPr>
        <w:t>局</w:t>
      </w:r>
      <w:r>
        <w:rPr>
          <w:rFonts w:ascii="宋体" w:hAnsi="宋体" w:eastAsia="宋体" w:cs="宋体"/>
          <w:color w:val="D50E00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7"/>
          <w:sz w:val="47"/>
          <w:szCs w:val="47"/>
        </w:rPr>
        <w:t>陕</w:t>
      </w:r>
      <w:r>
        <w:rPr>
          <w:rFonts w:ascii="宋体" w:hAnsi="宋体" w:eastAsia="宋体" w:cs="宋体"/>
          <w:color w:val="D50E00"/>
          <w:spacing w:val="74"/>
          <w:sz w:val="47"/>
          <w:szCs w:val="47"/>
        </w:rPr>
        <w:t xml:space="preserve">   </w:t>
      </w:r>
      <w:r>
        <w:rPr>
          <w:rFonts w:ascii="宋体" w:hAnsi="宋体" w:eastAsia="宋体" w:cs="宋体"/>
          <w:b/>
          <w:bCs/>
          <w:color w:val="D50E00"/>
          <w:spacing w:val="-37"/>
          <w:sz w:val="47"/>
          <w:szCs w:val="47"/>
        </w:rPr>
        <w:t>西</w:t>
      </w:r>
      <w:r>
        <w:rPr>
          <w:rFonts w:ascii="宋体" w:hAnsi="宋体" w:eastAsia="宋体" w:cs="宋体"/>
          <w:color w:val="D50E00"/>
          <w:spacing w:val="65"/>
          <w:sz w:val="47"/>
          <w:szCs w:val="47"/>
        </w:rPr>
        <w:t xml:space="preserve">   </w:t>
      </w:r>
      <w:r>
        <w:rPr>
          <w:rFonts w:ascii="宋体" w:hAnsi="宋体" w:eastAsia="宋体" w:cs="宋体"/>
          <w:b/>
          <w:bCs/>
          <w:color w:val="D50E00"/>
          <w:spacing w:val="-37"/>
          <w:sz w:val="47"/>
          <w:szCs w:val="47"/>
        </w:rPr>
        <w:t>省</w:t>
      </w:r>
      <w:r>
        <w:rPr>
          <w:rFonts w:ascii="宋体" w:hAnsi="宋体" w:eastAsia="宋体" w:cs="宋体"/>
          <w:color w:val="D50E00"/>
          <w:spacing w:val="63"/>
          <w:sz w:val="47"/>
          <w:szCs w:val="47"/>
        </w:rPr>
        <w:t xml:space="preserve">   </w:t>
      </w:r>
      <w:r>
        <w:rPr>
          <w:rFonts w:ascii="宋体" w:hAnsi="宋体" w:eastAsia="宋体" w:cs="宋体"/>
          <w:b/>
          <w:bCs/>
          <w:color w:val="D50E00"/>
          <w:spacing w:val="-37"/>
          <w:sz w:val="47"/>
          <w:szCs w:val="47"/>
        </w:rPr>
        <w:t>体</w:t>
      </w:r>
      <w:r>
        <w:rPr>
          <w:rFonts w:ascii="宋体" w:hAnsi="宋体" w:eastAsia="宋体" w:cs="宋体"/>
          <w:color w:val="D50E00"/>
          <w:spacing w:val="61"/>
          <w:sz w:val="47"/>
          <w:szCs w:val="47"/>
        </w:rPr>
        <w:t xml:space="preserve">   </w:t>
      </w:r>
      <w:r>
        <w:rPr>
          <w:rFonts w:ascii="宋体" w:hAnsi="宋体" w:eastAsia="宋体" w:cs="宋体"/>
          <w:b/>
          <w:bCs/>
          <w:color w:val="D50E00"/>
          <w:spacing w:val="-37"/>
          <w:sz w:val="47"/>
          <w:szCs w:val="47"/>
        </w:rPr>
        <w:t>育</w:t>
      </w:r>
      <w:r>
        <w:rPr>
          <w:rFonts w:ascii="宋体" w:hAnsi="宋体" w:eastAsia="宋体" w:cs="宋体"/>
          <w:color w:val="D50E00"/>
          <w:spacing w:val="71"/>
          <w:sz w:val="47"/>
          <w:szCs w:val="47"/>
        </w:rPr>
        <w:t xml:space="preserve">   </w:t>
      </w:r>
      <w:r>
        <w:rPr>
          <w:rFonts w:ascii="宋体" w:hAnsi="宋体" w:eastAsia="宋体" w:cs="宋体"/>
          <w:b/>
          <w:bCs/>
          <w:color w:val="D50E00"/>
          <w:spacing w:val="-37"/>
          <w:sz w:val="47"/>
          <w:szCs w:val="47"/>
        </w:rPr>
        <w:t>局</w:t>
      </w:r>
      <w:r>
        <w:rPr>
          <w:rFonts w:ascii="宋体" w:hAnsi="宋体" w:eastAsia="宋体" w:cs="宋体"/>
          <w:color w:val="D50E00"/>
          <w:spacing w:val="1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5"/>
          <w:sz w:val="47"/>
          <w:szCs w:val="47"/>
        </w:rPr>
        <w:t>国</w:t>
      </w:r>
      <w:r>
        <w:rPr>
          <w:rFonts w:ascii="宋体" w:hAnsi="宋体" w:eastAsia="宋体" w:cs="宋体"/>
          <w:color w:val="D50E00"/>
          <w:spacing w:val="-61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5"/>
          <w:sz w:val="47"/>
          <w:szCs w:val="47"/>
        </w:rPr>
        <w:t>家</w:t>
      </w:r>
      <w:r>
        <w:rPr>
          <w:rFonts w:ascii="宋体" w:hAnsi="宋体" w:eastAsia="宋体" w:cs="宋体"/>
          <w:color w:val="D50E00"/>
          <w:spacing w:val="-75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5"/>
          <w:sz w:val="47"/>
          <w:szCs w:val="47"/>
        </w:rPr>
        <w:t>税</w:t>
      </w:r>
      <w:r>
        <w:rPr>
          <w:rFonts w:ascii="宋体" w:hAnsi="宋体" w:eastAsia="宋体" w:cs="宋体"/>
          <w:color w:val="D50E00"/>
          <w:spacing w:val="-70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5"/>
          <w:sz w:val="47"/>
          <w:szCs w:val="47"/>
        </w:rPr>
        <w:t>务</w:t>
      </w:r>
      <w:r>
        <w:rPr>
          <w:rFonts w:ascii="宋体" w:hAnsi="宋体" w:eastAsia="宋体" w:cs="宋体"/>
          <w:color w:val="D50E00"/>
          <w:spacing w:val="-61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5"/>
          <w:sz w:val="47"/>
          <w:szCs w:val="47"/>
        </w:rPr>
        <w:t>总</w:t>
      </w:r>
      <w:r>
        <w:rPr>
          <w:rFonts w:ascii="宋体" w:hAnsi="宋体" w:eastAsia="宋体" w:cs="宋体"/>
          <w:color w:val="D50E00"/>
          <w:spacing w:val="-68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5"/>
          <w:sz w:val="47"/>
          <w:szCs w:val="47"/>
        </w:rPr>
        <w:t>局</w:t>
      </w:r>
      <w:r>
        <w:rPr>
          <w:rFonts w:ascii="宋体" w:hAnsi="宋体" w:eastAsia="宋体" w:cs="宋体"/>
          <w:color w:val="D50E00"/>
          <w:spacing w:val="-39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5"/>
          <w:sz w:val="47"/>
          <w:szCs w:val="47"/>
        </w:rPr>
        <w:t>陕</w:t>
      </w:r>
      <w:r>
        <w:rPr>
          <w:rFonts w:ascii="宋体" w:hAnsi="宋体" w:eastAsia="宋体" w:cs="宋体"/>
          <w:color w:val="D50E00"/>
          <w:spacing w:val="-62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5"/>
          <w:sz w:val="47"/>
          <w:szCs w:val="47"/>
        </w:rPr>
        <w:t>西</w:t>
      </w:r>
      <w:r>
        <w:rPr>
          <w:rFonts w:ascii="宋体" w:hAnsi="宋体" w:eastAsia="宋体" w:cs="宋体"/>
          <w:color w:val="D50E00"/>
          <w:spacing w:val="-66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5"/>
          <w:sz w:val="47"/>
          <w:szCs w:val="47"/>
        </w:rPr>
        <w:t>省</w:t>
      </w:r>
      <w:r>
        <w:rPr>
          <w:rFonts w:ascii="宋体" w:hAnsi="宋体" w:eastAsia="宋体" w:cs="宋体"/>
          <w:color w:val="D50E00"/>
          <w:spacing w:val="-76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5"/>
          <w:sz w:val="47"/>
          <w:szCs w:val="47"/>
        </w:rPr>
        <w:t>税</w:t>
      </w:r>
      <w:r>
        <w:rPr>
          <w:rFonts w:ascii="宋体" w:hAnsi="宋体" w:eastAsia="宋体" w:cs="宋体"/>
          <w:color w:val="D50E00"/>
          <w:spacing w:val="-70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5"/>
          <w:sz w:val="47"/>
          <w:szCs w:val="47"/>
        </w:rPr>
        <w:t>务</w:t>
      </w:r>
      <w:r>
        <w:rPr>
          <w:rFonts w:ascii="宋体" w:hAnsi="宋体" w:eastAsia="宋体" w:cs="宋体"/>
          <w:color w:val="D50E00"/>
          <w:spacing w:val="-68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35"/>
          <w:sz w:val="47"/>
          <w:szCs w:val="47"/>
        </w:rPr>
        <w:t>局</w:t>
      </w:r>
      <w:r>
        <w:rPr>
          <w:rFonts w:ascii="宋体" w:hAnsi="宋体" w:eastAsia="宋体" w:cs="宋体"/>
          <w:color w:val="D50E00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42"/>
          <w:sz w:val="47"/>
          <w:szCs w:val="47"/>
        </w:rPr>
        <w:t>中</w:t>
      </w:r>
      <w:r>
        <w:rPr>
          <w:rFonts w:ascii="宋体" w:hAnsi="宋体" w:eastAsia="宋体" w:cs="宋体"/>
          <w:color w:val="D50E00"/>
          <w:spacing w:val="112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42"/>
          <w:sz w:val="47"/>
          <w:szCs w:val="47"/>
        </w:rPr>
        <w:t>国</w:t>
      </w:r>
      <w:r>
        <w:rPr>
          <w:rFonts w:ascii="宋体" w:hAnsi="宋体" w:eastAsia="宋体" w:cs="宋体"/>
          <w:color w:val="D50E00"/>
          <w:spacing w:val="66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42"/>
          <w:sz w:val="47"/>
          <w:szCs w:val="47"/>
        </w:rPr>
        <w:t>人</w:t>
      </w:r>
      <w:r>
        <w:rPr>
          <w:rFonts w:ascii="宋体" w:hAnsi="宋体" w:eastAsia="宋体" w:cs="宋体"/>
          <w:color w:val="D50E00"/>
          <w:spacing w:val="109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42"/>
          <w:sz w:val="47"/>
          <w:szCs w:val="47"/>
        </w:rPr>
        <w:t>民</w:t>
      </w:r>
      <w:r>
        <w:rPr>
          <w:rFonts w:ascii="宋体" w:hAnsi="宋体" w:eastAsia="宋体" w:cs="宋体"/>
          <w:color w:val="D50E00"/>
          <w:spacing w:val="64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42"/>
          <w:sz w:val="47"/>
          <w:szCs w:val="47"/>
        </w:rPr>
        <w:t>银</w:t>
      </w:r>
      <w:r>
        <w:rPr>
          <w:rFonts w:ascii="宋体" w:hAnsi="宋体" w:eastAsia="宋体" w:cs="宋体"/>
          <w:color w:val="D50E00"/>
          <w:spacing w:val="71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42"/>
          <w:sz w:val="47"/>
          <w:szCs w:val="47"/>
        </w:rPr>
        <w:t>行</w:t>
      </w:r>
      <w:r>
        <w:rPr>
          <w:rFonts w:ascii="宋体" w:hAnsi="宋体" w:eastAsia="宋体" w:cs="宋体"/>
          <w:color w:val="D50E00"/>
          <w:spacing w:val="73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42"/>
          <w:sz w:val="47"/>
          <w:szCs w:val="47"/>
        </w:rPr>
        <w:t>西</w:t>
      </w:r>
      <w:r>
        <w:rPr>
          <w:rFonts w:ascii="宋体" w:hAnsi="宋体" w:eastAsia="宋体" w:cs="宋体"/>
          <w:color w:val="D50E00"/>
          <w:spacing w:val="72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42"/>
          <w:sz w:val="47"/>
          <w:szCs w:val="47"/>
        </w:rPr>
        <w:t>安</w:t>
      </w:r>
      <w:r>
        <w:rPr>
          <w:rFonts w:ascii="宋体" w:hAnsi="宋体" w:eastAsia="宋体" w:cs="宋体"/>
          <w:color w:val="D50E00"/>
          <w:spacing w:val="69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42"/>
          <w:sz w:val="47"/>
          <w:szCs w:val="47"/>
        </w:rPr>
        <w:t>分</w:t>
      </w:r>
      <w:r>
        <w:rPr>
          <w:rFonts w:ascii="宋体" w:hAnsi="宋体" w:eastAsia="宋体" w:cs="宋体"/>
          <w:color w:val="D50E00"/>
          <w:spacing w:val="70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42"/>
          <w:sz w:val="47"/>
          <w:szCs w:val="47"/>
        </w:rPr>
        <w:t>行</w:t>
      </w:r>
      <w:r>
        <w:rPr>
          <w:rFonts w:ascii="宋体" w:hAnsi="宋体" w:eastAsia="宋体" w:cs="宋体"/>
          <w:color w:val="D50E00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color w:val="D50E00"/>
          <w:spacing w:val="-45"/>
          <w:w w:val="93"/>
          <w:sz w:val="47"/>
          <w:szCs w:val="47"/>
        </w:rPr>
        <w:t>中国银行保险监督管理委员会陕西监管局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11" w:line="223" w:lineRule="auto"/>
        <w:ind w:left="295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sz w:val="34"/>
          <w:szCs w:val="34"/>
        </w:rPr>
        <w:t>陕教规范〔2022〕4号</w:t>
      </w:r>
    </w:p>
    <w:p>
      <w:pPr>
        <w:spacing w:before="56" w:line="30" w:lineRule="exact"/>
        <w:textAlignment w:val="center"/>
      </w:pPr>
      <w:r>
        <w:drawing>
          <wp:inline distT="0" distB="0" distL="0" distR="0">
            <wp:extent cx="5561965" cy="1841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62585" cy="1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53" w:line="219" w:lineRule="auto"/>
        <w:ind w:left="2146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b/>
          <w:bCs/>
          <w:spacing w:val="-14"/>
          <w:sz w:val="47"/>
          <w:szCs w:val="47"/>
        </w:rPr>
        <w:t>陕西省教育厅等10部门</w:t>
      </w:r>
    </w:p>
    <w:p>
      <w:pPr>
        <w:spacing w:before="209" w:line="219" w:lineRule="auto"/>
        <w:ind w:left="726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b/>
          <w:bCs/>
          <w:spacing w:val="-40"/>
          <w:sz w:val="47"/>
          <w:szCs w:val="47"/>
        </w:rPr>
        <w:t>关于印发《陕西省校外培训机构预收费</w:t>
      </w:r>
    </w:p>
    <w:p>
      <w:pPr>
        <w:spacing w:before="215" w:line="219" w:lineRule="auto"/>
        <w:ind w:left="2256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b/>
          <w:bCs/>
          <w:spacing w:val="-38"/>
          <w:sz w:val="47"/>
          <w:szCs w:val="47"/>
        </w:rPr>
        <w:t>监管暂行办法》的通知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11" w:line="321" w:lineRule="auto"/>
        <w:ind w:left="119"/>
        <w:jc w:val="both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sz w:val="34"/>
          <w:szCs w:val="34"/>
        </w:rPr>
        <w:t>各设区市、杨凌示范区、韩城市、神木市、府谷县教育(教体)</w:t>
      </w:r>
      <w:r>
        <w:rPr>
          <w:rFonts w:ascii="仿宋" w:hAnsi="仿宋" w:eastAsia="仿宋" w:cs="仿宋"/>
          <w:spacing w:val="1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5"/>
          <w:sz w:val="34"/>
          <w:szCs w:val="34"/>
        </w:rPr>
        <w:t>局、发展改革委(局)神木市、府谷县发展改革和科技局、科技</w:t>
      </w:r>
    </w:p>
    <w:p>
      <w:pPr>
        <w:spacing w:before="1" w:line="222" w:lineRule="auto"/>
        <w:ind w:left="11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7"/>
          <w:sz w:val="34"/>
          <w:szCs w:val="34"/>
        </w:rPr>
        <w:t>局、公安局、文化和旅游局、市场监管局、体育局、税务局，人</w:t>
      </w:r>
    </w:p>
    <w:p>
      <w:pPr>
        <w:spacing w:before="294" w:line="184" w:lineRule="auto"/>
        <w:ind w:right="316"/>
        <w:jc w:val="right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4"/>
          <w:sz w:val="29"/>
          <w:szCs w:val="29"/>
        </w:rPr>
        <w:t>—</w:t>
      </w:r>
      <w:r>
        <w:rPr>
          <w:rFonts w:ascii="宋体" w:hAnsi="宋体" w:eastAsia="宋体" w:cs="宋体"/>
          <w:spacing w:val="-11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4"/>
          <w:sz w:val="29"/>
          <w:szCs w:val="29"/>
        </w:rPr>
        <w:t>1—</w:t>
      </w:r>
    </w:p>
    <w:p>
      <w:pPr>
        <w:sectPr>
          <w:pgSz w:w="11750" w:h="16830"/>
          <w:pgMar w:top="1430" w:right="1397" w:bottom="0" w:left="1429" w:header="0" w:footer="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5" w:line="600" w:lineRule="exact"/>
        <w:ind w:left="19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8"/>
          <w:position w:val="23"/>
          <w:sz w:val="29"/>
          <w:szCs w:val="29"/>
        </w:rPr>
        <w:t>民银行西安分行营业管理部、陕西省各中心支行、杨凌支行，各</w:t>
      </w:r>
    </w:p>
    <w:p>
      <w:pPr>
        <w:spacing w:before="1" w:line="220" w:lineRule="auto"/>
        <w:ind w:left="19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7"/>
          <w:sz w:val="29"/>
          <w:szCs w:val="29"/>
        </w:rPr>
        <w:t>银保监分局：</w:t>
      </w:r>
    </w:p>
    <w:p>
      <w:pPr>
        <w:spacing w:before="223" w:line="375" w:lineRule="auto"/>
        <w:ind w:left="199" w:right="392" w:firstLine="669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8"/>
          <w:sz w:val="29"/>
          <w:szCs w:val="29"/>
        </w:rPr>
        <w:t>为进一步规范我省校外培训机构办学行为，全面加强校外</w:t>
      </w:r>
      <w:r>
        <w:rPr>
          <w:rFonts w:ascii="仿宋" w:hAnsi="仿宋" w:eastAsia="仿宋" w:cs="仿宋"/>
          <w:spacing w:val="17"/>
          <w:sz w:val="29"/>
          <w:szCs w:val="29"/>
        </w:rPr>
        <w:t>培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9"/>
          <w:sz w:val="29"/>
          <w:szCs w:val="29"/>
        </w:rPr>
        <w:t>训机构预收费监管工作，现将《陕西省校外培训机构预收费监</w:t>
      </w:r>
      <w:r>
        <w:rPr>
          <w:rFonts w:ascii="仿宋" w:hAnsi="仿宋" w:eastAsia="仿宋" w:cs="仿宋"/>
          <w:spacing w:val="18"/>
          <w:sz w:val="29"/>
          <w:szCs w:val="29"/>
        </w:rPr>
        <w:t>管</w:t>
      </w:r>
    </w:p>
    <w:p>
      <w:pPr>
        <w:spacing w:line="220" w:lineRule="auto"/>
        <w:ind w:left="19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8"/>
          <w:sz w:val="29"/>
          <w:szCs w:val="29"/>
        </w:rPr>
        <w:t>暂行办法》印发给你们，请认真贯彻落实。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94" w:line="222" w:lineRule="auto"/>
        <w:ind w:left="2849"/>
        <w:rPr>
          <w:rFonts w:ascii="仿宋" w:hAnsi="仿宋" w:eastAsia="仿宋" w:cs="仿宋"/>
          <w:sz w:val="29"/>
          <w:szCs w:val="29"/>
        </w:rPr>
      </w:pPr>
      <w:r>
        <w:pict>
          <v:shape id="_x0000_s1027" o:spid="_x0000_s1027" o:spt="202" type="#_x0000_t202" style="position:absolute;left:0pt;margin-left:23.45pt;margin-top:3.7pt;height:19.5pt;width:91.95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2" w:lineRule="auto"/>
                    <w:ind w:left="20"/>
                    <w:rPr>
                      <w:rFonts w:ascii="仿宋" w:hAnsi="仿宋" w:eastAsia="仿宋" w:cs="仿宋"/>
                      <w:sz w:val="29"/>
                      <w:szCs w:val="29"/>
                    </w:rPr>
                  </w:pPr>
                  <w:r>
                    <w:rPr>
                      <w:rFonts w:ascii="仿宋" w:hAnsi="仿宋" w:eastAsia="仿宋" w:cs="仿宋"/>
                      <w:spacing w:val="9"/>
                      <w:sz w:val="29"/>
                      <w:szCs w:val="29"/>
                    </w:rPr>
                    <w:t>陕西省教育厅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328.95pt;margin-top:4.7pt;height:19.5pt;width:114.4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2" w:lineRule="auto"/>
                    <w:ind w:left="20"/>
                    <w:rPr>
                      <w:rFonts w:ascii="仿宋" w:hAnsi="仿宋" w:eastAsia="仿宋" w:cs="仿宋"/>
                      <w:sz w:val="29"/>
                      <w:szCs w:val="29"/>
                    </w:rPr>
                  </w:pPr>
                  <w:r>
                    <w:rPr>
                      <w:rFonts w:ascii="仿宋" w:hAnsi="仿宋" w:eastAsia="仿宋" w:cs="仿宋"/>
                      <w:spacing w:val="-8"/>
                      <w:sz w:val="29"/>
                      <w:szCs w:val="29"/>
                    </w:rPr>
                    <w:t>陕西省科学技术厅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10"/>
          <w:sz w:val="29"/>
          <w:szCs w:val="29"/>
        </w:rPr>
        <w:t>陕西省发展和改革委员会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95" w:line="222" w:lineRule="auto"/>
        <w:ind w:right="414"/>
        <w:jc w:val="right"/>
        <w:rPr>
          <w:rFonts w:ascii="仿宋" w:hAnsi="仿宋" w:eastAsia="仿宋" w:cs="仿宋"/>
          <w:sz w:val="29"/>
          <w:szCs w:val="29"/>
        </w:rPr>
      </w:pPr>
      <w:r>
        <w:pict>
          <v:shape id="_x0000_s1029" o:spid="_x0000_s1029" o:spt="202" type="#_x0000_t202" style="position:absolute;left:0pt;margin-left:145pt;margin-top:3.7pt;height:19.5pt;width:122.85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2" w:lineRule="auto"/>
                    <w:ind w:left="20"/>
                    <w:rPr>
                      <w:rFonts w:ascii="仿宋" w:hAnsi="仿宋" w:eastAsia="仿宋" w:cs="仿宋"/>
                      <w:sz w:val="29"/>
                      <w:szCs w:val="29"/>
                    </w:rPr>
                  </w:pPr>
                  <w:r>
                    <w:rPr>
                      <w:rFonts w:ascii="仿宋" w:hAnsi="仿宋" w:eastAsia="仿宋" w:cs="仿宋"/>
                      <w:spacing w:val="-22"/>
                      <w:sz w:val="29"/>
                      <w:szCs w:val="29"/>
                    </w:rPr>
                    <w:t>陕西省文化和旅游厅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24.95pt;margin-top:3.75pt;height:19.55pt;width:83.4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3" w:lineRule="auto"/>
                    <w:ind w:left="20"/>
                    <w:rPr>
                      <w:rFonts w:ascii="仿宋" w:hAnsi="仿宋" w:eastAsia="仿宋" w:cs="仿宋"/>
                      <w:sz w:val="29"/>
                      <w:szCs w:val="29"/>
                    </w:rPr>
                  </w:pPr>
                  <w:r>
                    <w:rPr>
                      <w:rFonts w:ascii="仿宋" w:hAnsi="仿宋" w:eastAsia="仿宋" w:cs="仿宋"/>
                      <w:spacing w:val="-16"/>
                      <w:sz w:val="29"/>
                      <w:szCs w:val="29"/>
                    </w:rPr>
                    <w:t>陕西省公安厅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19"/>
          <w:sz w:val="29"/>
          <w:szCs w:val="29"/>
        </w:rPr>
        <w:t>陕西省市场监督管理局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5" w:line="222" w:lineRule="auto"/>
        <w:ind w:left="4119"/>
        <w:rPr>
          <w:rFonts w:ascii="仿宋" w:hAnsi="仿宋" w:eastAsia="仿宋" w:cs="仿宋"/>
          <w:sz w:val="29"/>
          <w:szCs w:val="29"/>
        </w:rPr>
      </w:pPr>
      <w:r>
        <w:pict>
          <v:shape id="_x0000_s1031" o:spid="_x0000_s1031" o:spt="202" type="#_x0000_t202" style="position:absolute;left:0pt;margin-left:22.95pt;margin-top:4.25pt;height:19.5pt;width:91.9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2" w:lineRule="auto"/>
                    <w:ind w:left="20"/>
                    <w:rPr>
                      <w:rFonts w:ascii="仿宋" w:hAnsi="仿宋" w:eastAsia="仿宋" w:cs="仿宋"/>
                      <w:sz w:val="29"/>
                      <w:szCs w:val="29"/>
                    </w:rPr>
                  </w:pPr>
                  <w:r>
                    <w:rPr>
                      <w:rFonts w:ascii="仿宋" w:hAnsi="仿宋" w:eastAsia="仿宋" w:cs="仿宋"/>
                      <w:spacing w:val="9"/>
                      <w:sz w:val="29"/>
                      <w:szCs w:val="29"/>
                    </w:rPr>
                    <w:t>陕西省体育局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2"/>
          <w:sz w:val="29"/>
          <w:szCs w:val="29"/>
        </w:rPr>
        <w:t>国家税务总局陕西省税务局</w:t>
      </w:r>
    </w:p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78" w:line="180" w:lineRule="auto"/>
        <w:ind w:left="14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9"/>
          <w:sz w:val="24"/>
          <w:szCs w:val="24"/>
        </w:rPr>
        <w:t>—</w:t>
      </w:r>
      <w:r>
        <w:rPr>
          <w:rFonts w:ascii="仿宋" w:hAnsi="仿宋" w:eastAsia="仿宋" w:cs="仿宋"/>
          <w:spacing w:val="9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9"/>
          <w:sz w:val="24"/>
          <w:szCs w:val="24"/>
        </w:rPr>
        <w:t>2</w:t>
      </w:r>
      <w:r>
        <w:rPr>
          <w:rFonts w:ascii="仿宋" w:hAnsi="仿宋" w:eastAsia="仿宋" w:cs="仿宋"/>
          <w:spacing w:val="-6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9"/>
          <w:sz w:val="24"/>
          <w:szCs w:val="24"/>
        </w:rPr>
        <w:t>.</w:t>
      </w:r>
      <w:r>
        <w:rPr>
          <w:rFonts w:ascii="仿宋" w:hAnsi="仿宋" w:eastAsia="仿宋" w:cs="仿宋"/>
          <w:spacing w:val="-58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9"/>
          <w:sz w:val="24"/>
          <w:szCs w:val="24"/>
        </w:rPr>
        <w:t>一</w:t>
      </w:r>
    </w:p>
    <w:p>
      <w:pPr>
        <w:sectPr>
          <w:pgSz w:w="11770" w:h="16830"/>
          <w:pgMar w:top="1430" w:right="1120" w:bottom="0" w:left="1380" w:header="0" w:footer="0" w:gutter="0"/>
          <w:cols w:space="720" w:num="1"/>
        </w:sectPr>
      </w:pPr>
    </w:p>
    <w:p/>
    <w:p/>
    <w:p/>
    <w:p/>
    <w:p>
      <w:pPr>
        <w:spacing w:line="118" w:lineRule="exact"/>
      </w:pPr>
    </w:p>
    <w:p>
      <w:pPr>
        <w:sectPr>
          <w:footerReference r:id="rId5" w:type="default"/>
          <w:pgSz w:w="11730" w:h="16810"/>
          <w:pgMar w:top="1428" w:right="1544" w:bottom="1756" w:left="1759" w:header="0" w:footer="1478" w:gutter="0"/>
          <w:cols w:equalWidth="0" w:num="1">
            <w:col w:w="8426"/>
          </w:cols>
        </w:sectPr>
      </w:pPr>
      <w:bookmarkStart w:id="0" w:name="_GoBack"/>
      <w:bookmarkEnd w:id="0"/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91" w:line="221" w:lineRule="auto"/>
        <w:ind w:left="1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中国人民银行西安分行</w:t>
      </w:r>
    </w:p>
    <w:p/>
    <w:p/>
    <w:p/>
    <w:p>
      <w:pPr>
        <w:spacing w:line="113" w:lineRule="exact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91" w:line="221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中国银行保险监督管理委员会陕西监管局</w:t>
      </w:r>
    </w:p>
    <w:p>
      <w:pPr>
        <w:spacing w:before="257" w:line="222" w:lineRule="auto"/>
        <w:ind w:left="9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sz w:val="28"/>
          <w:szCs w:val="28"/>
        </w:rPr>
        <w:t>2</w:t>
      </w:r>
      <w:r>
        <w:rPr>
          <w:rFonts w:ascii="仿宋" w:hAnsi="仿宋" w:eastAsia="仿宋" w:cs="仿宋"/>
          <w:spacing w:val="-5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8"/>
          <w:sz w:val="28"/>
          <w:szCs w:val="28"/>
        </w:rPr>
        <w:t>0</w:t>
      </w:r>
      <w:r>
        <w:rPr>
          <w:rFonts w:ascii="仿宋" w:hAnsi="仿宋" w:eastAsia="仿宋" w:cs="仿宋"/>
          <w:spacing w:val="-6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8"/>
          <w:sz w:val="28"/>
          <w:szCs w:val="28"/>
        </w:rPr>
        <w:t>2</w:t>
      </w:r>
      <w:r>
        <w:rPr>
          <w:rFonts w:ascii="仿宋" w:hAnsi="仿宋" w:eastAsia="仿宋" w:cs="仿宋"/>
          <w:spacing w:val="-6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8"/>
          <w:sz w:val="28"/>
          <w:szCs w:val="28"/>
        </w:rPr>
        <w:t>2</w:t>
      </w:r>
      <w:r>
        <w:rPr>
          <w:rFonts w:ascii="仿宋" w:hAnsi="仿宋" w:eastAsia="仿宋" w:cs="仿宋"/>
          <w:spacing w:val="-5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8"/>
          <w:sz w:val="28"/>
          <w:szCs w:val="28"/>
        </w:rPr>
        <w:t>年</w:t>
      </w:r>
      <w:r>
        <w:rPr>
          <w:rFonts w:ascii="仿宋" w:hAnsi="仿宋" w:eastAsia="仿宋" w:cs="仿宋"/>
          <w:spacing w:val="-4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8"/>
          <w:sz w:val="28"/>
          <w:szCs w:val="28"/>
        </w:rPr>
        <w:t>1</w:t>
      </w:r>
      <w:r>
        <w:rPr>
          <w:rFonts w:ascii="仿宋" w:hAnsi="仿宋" w:eastAsia="仿宋" w:cs="仿宋"/>
          <w:spacing w:val="-6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8"/>
          <w:sz w:val="28"/>
          <w:szCs w:val="28"/>
        </w:rPr>
        <w:t>0</w:t>
      </w:r>
      <w:r>
        <w:rPr>
          <w:rFonts w:ascii="仿宋" w:hAnsi="仿宋" w:eastAsia="仿宋" w:cs="仿宋"/>
          <w:spacing w:val="-4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8"/>
          <w:sz w:val="28"/>
          <w:szCs w:val="28"/>
        </w:rPr>
        <w:t>月</w:t>
      </w:r>
      <w:r>
        <w:rPr>
          <w:rFonts w:ascii="仿宋" w:hAnsi="仿宋" w:eastAsia="仿宋" w:cs="仿宋"/>
          <w:spacing w:val="-4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8"/>
          <w:sz w:val="28"/>
          <w:szCs w:val="28"/>
        </w:rPr>
        <w:t>1</w:t>
      </w:r>
      <w:r>
        <w:rPr>
          <w:rFonts w:ascii="仿宋" w:hAnsi="仿宋" w:eastAsia="仿宋" w:cs="仿宋"/>
          <w:spacing w:val="-6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8"/>
          <w:sz w:val="28"/>
          <w:szCs w:val="28"/>
        </w:rPr>
        <w:t>9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8"/>
          <w:sz w:val="28"/>
          <w:szCs w:val="28"/>
        </w:rPr>
        <w:t>日</w:t>
      </w:r>
    </w:p>
    <w:p>
      <w:pPr>
        <w:sectPr>
          <w:type w:val="continuous"/>
          <w:pgSz w:w="11730" w:h="16810"/>
          <w:pgMar w:top="1428" w:right="1544" w:bottom="1756" w:left="1759" w:header="0" w:footer="1478" w:gutter="0"/>
          <w:cols w:equalWidth="0" w:num="2">
            <w:col w:w="3431" w:space="100"/>
            <w:col w:w="4896"/>
          </w:cols>
        </w:sectPr>
      </w:pPr>
    </w:p>
    <w:p>
      <w:pPr>
        <w:spacing w:line="427" w:lineRule="auto"/>
        <w:rPr>
          <w:rFonts w:ascii="Arial"/>
          <w:sz w:val="21"/>
        </w:rPr>
      </w:pPr>
    </w:p>
    <w:p>
      <w:pPr>
        <w:spacing w:before="111" w:line="189" w:lineRule="auto"/>
        <w:ind w:left="57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9"/>
          <w:sz w:val="34"/>
          <w:szCs w:val="34"/>
        </w:rPr>
        <w:t>(主动公开，2—57〔2022〕4号)</w:t>
      </w:r>
    </w:p>
    <w:p>
      <w:pPr>
        <w:sectPr>
          <w:type w:val="continuous"/>
          <w:pgSz w:w="11730" w:h="16810"/>
          <w:pgMar w:top="1428" w:right="1544" w:bottom="1756" w:left="1759" w:header="0" w:footer="1478" w:gutter="0"/>
          <w:cols w:equalWidth="0" w:num="1">
            <w:col w:w="8426"/>
          </w:cols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40" w:line="219" w:lineRule="auto"/>
        <w:ind w:left="51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3"/>
          <w:sz w:val="43"/>
          <w:szCs w:val="43"/>
        </w:rPr>
        <w:t>陕西省校外培训机构预收费监管暂行办法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98" w:line="357" w:lineRule="auto"/>
        <w:ind w:left="29" w:right="72" w:firstLine="52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1"/>
          <w:sz w:val="30"/>
          <w:szCs w:val="30"/>
        </w:rPr>
        <w:t>第一条</w:t>
      </w:r>
      <w:r>
        <w:rPr>
          <w:rFonts w:ascii="仿宋" w:hAnsi="仿宋" w:eastAsia="仿宋" w:cs="仿宋"/>
          <w:spacing w:val="15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为依法规范我省校外培训机构办学行为，有效防范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校外培训机构“退费难”“卷钱跑路”等问题发生，维护学生、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家长和校外培训机构的合法权益，根据国家有关法律法规和《中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sz w:val="30"/>
          <w:szCs w:val="30"/>
        </w:rPr>
        <w:t>共中央办公厅国务院办公厅关于进一步减轻义务教育阶段学生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作业负担和校外培训负担的意见》、教育部等六部门《关于加强 校外培训机构预收费监管工作的通知》和陕西省《关于进一步减 </w:t>
      </w:r>
      <w:r>
        <w:rPr>
          <w:rFonts w:ascii="仿宋" w:hAnsi="仿宋" w:eastAsia="仿宋" w:cs="仿宋"/>
          <w:spacing w:val="17"/>
          <w:sz w:val="30"/>
          <w:szCs w:val="30"/>
        </w:rPr>
        <w:t>轻义务教育阶段学生作业负担和校外培训负担的工作方案》等</w:t>
      </w:r>
    </w:p>
    <w:p>
      <w:pPr>
        <w:spacing w:line="221" w:lineRule="auto"/>
        <w:ind w:left="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文件精神，结合实际制定本办法。</w:t>
      </w:r>
    </w:p>
    <w:p>
      <w:pPr>
        <w:spacing w:before="217" w:line="358" w:lineRule="auto"/>
        <w:ind w:left="29" w:right="144" w:firstLine="66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8"/>
          <w:sz w:val="30"/>
          <w:szCs w:val="30"/>
        </w:rPr>
        <w:t>第二条</w:t>
      </w:r>
      <w:r>
        <w:rPr>
          <w:rFonts w:ascii="仿宋" w:hAnsi="仿宋" w:eastAsia="仿宋" w:cs="仿宋"/>
          <w:spacing w:val="10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本办法适用于在我省范围内审批登记的面向中小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3"/>
          <w:sz w:val="30"/>
          <w:szCs w:val="30"/>
        </w:rPr>
        <w:t>学生(含3至6岁学龄前儿童)开展校外培训的机构</w:t>
      </w:r>
      <w:r>
        <w:rPr>
          <w:rFonts w:ascii="仿宋" w:hAnsi="仿宋" w:eastAsia="仿宋" w:cs="仿宋"/>
          <w:spacing w:val="32"/>
          <w:sz w:val="30"/>
          <w:szCs w:val="30"/>
        </w:rPr>
        <w:t>(包括线上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和线下)。预收费是指校外培训机构预先收取的学员培训服务费</w:t>
      </w:r>
    </w:p>
    <w:p>
      <w:pPr>
        <w:spacing w:before="2" w:line="223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用。</w:t>
      </w:r>
    </w:p>
    <w:p>
      <w:pPr>
        <w:spacing w:before="210" w:line="357" w:lineRule="auto"/>
        <w:ind w:left="29" w:right="19" w:firstLine="66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3"/>
          <w:sz w:val="30"/>
          <w:szCs w:val="30"/>
        </w:rPr>
        <w:t>第三条</w:t>
      </w:r>
      <w:r>
        <w:rPr>
          <w:rFonts w:ascii="仿宋" w:hAnsi="仿宋" w:eastAsia="仿宋" w:cs="仿宋"/>
          <w:spacing w:val="6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校外培训机构预收费实行属地监管原则。学科类和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非学科类校外培训机构预收费应全额纳入监管范围，包括</w:t>
      </w:r>
      <w:r>
        <w:rPr>
          <w:rFonts w:ascii="仿宋" w:hAnsi="仿宋" w:eastAsia="仿宋" w:cs="仿宋"/>
          <w:spacing w:val="8"/>
          <w:sz w:val="30"/>
          <w:szCs w:val="30"/>
        </w:rPr>
        <w:t>本办法</w:t>
      </w:r>
    </w:p>
    <w:p>
      <w:pPr>
        <w:spacing w:line="220" w:lineRule="auto"/>
        <w:ind w:left="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发布前已收取但未完成培训服务的预收费资金。</w:t>
      </w:r>
    </w:p>
    <w:p>
      <w:pPr>
        <w:spacing w:before="221" w:line="357" w:lineRule="auto"/>
        <w:ind w:left="29" w:firstLine="66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2"/>
          <w:sz w:val="30"/>
          <w:szCs w:val="30"/>
        </w:rPr>
        <w:t>第四条</w:t>
      </w:r>
      <w:r>
        <w:rPr>
          <w:rFonts w:ascii="仿宋" w:hAnsi="仿宋" w:eastAsia="仿宋" w:cs="仿宋"/>
          <w:spacing w:val="10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严格执行教育收费公示制度。收费项目与标准应在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培训机构办学场所、网站等显著位置进行公示，并</w:t>
      </w:r>
      <w:r>
        <w:rPr>
          <w:rFonts w:ascii="仿宋" w:hAnsi="仿宋" w:eastAsia="仿宋" w:cs="仿宋"/>
          <w:spacing w:val="10"/>
          <w:sz w:val="30"/>
          <w:szCs w:val="30"/>
        </w:rPr>
        <w:t>在培训服务前</w:t>
      </w:r>
    </w:p>
    <w:p>
      <w:pPr>
        <w:spacing w:before="1" w:line="219" w:lineRule="auto"/>
        <w:ind w:left="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向学员明示。不得在公示的项目和标准外收取其他费用，不得以</w:t>
      </w:r>
    </w:p>
    <w:p>
      <w:pPr>
        <w:spacing w:before="334" w:line="590" w:lineRule="exact"/>
        <w:ind w:left="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position w:val="21"/>
          <w:sz w:val="30"/>
          <w:szCs w:val="30"/>
        </w:rPr>
        <w:t>任何名义向学员摊派费用或者强制收费。禁止</w:t>
      </w:r>
      <w:r>
        <w:rPr>
          <w:rFonts w:ascii="仿宋" w:hAnsi="仿宋" w:eastAsia="仿宋" w:cs="仿宋"/>
          <w:spacing w:val="10"/>
          <w:position w:val="21"/>
          <w:sz w:val="30"/>
          <w:szCs w:val="30"/>
        </w:rPr>
        <w:t>以虚构原价、虚假</w:t>
      </w:r>
    </w:p>
    <w:p>
      <w:pPr>
        <w:spacing w:before="1" w:line="220" w:lineRule="auto"/>
        <w:ind w:left="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折扣、虚假宣传等方式进行不正当竞争，禁止任何形式的价格欺</w:t>
      </w:r>
    </w:p>
    <w:p>
      <w:pPr>
        <w:sectPr>
          <w:footerReference r:id="rId6" w:type="default"/>
          <w:pgSz w:w="11750" w:h="16740"/>
          <w:pgMar w:top="1422" w:right="1477" w:bottom="1790" w:left="1509" w:header="0" w:footer="1492" w:gutter="0"/>
          <w:cols w:space="720" w:num="1"/>
        </w:sectPr>
      </w:pPr>
    </w:p>
    <w:p>
      <w:pPr>
        <w:spacing w:line="327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97"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诈行为。</w:t>
      </w:r>
    </w:p>
    <w:p>
      <w:pPr>
        <w:spacing w:before="215" w:line="358" w:lineRule="auto"/>
        <w:ind w:firstLine="644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2"/>
          <w:sz w:val="30"/>
          <w:szCs w:val="30"/>
        </w:rPr>
        <w:t>第五条</w:t>
      </w:r>
      <w:r>
        <w:rPr>
          <w:rFonts w:ascii="仿宋" w:hAnsi="仿宋" w:eastAsia="仿宋" w:cs="仿宋"/>
          <w:spacing w:val="10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收费时段与教学安排应协调一致。按培训周期收费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的，不得一次性收取时间跨度超过3个月的费用；按课时收费的，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每科不得一次性收取或变相收取超过60课时的费用。按周期收费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和按课时收费同时进行的，只能选择收费时段较短的方式，不得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6"/>
          <w:sz w:val="30"/>
          <w:szCs w:val="30"/>
        </w:rPr>
        <w:t>以充值、次卡等形式变相收取超过3个月的费用。不得使用培训</w:t>
      </w:r>
    </w:p>
    <w:p>
      <w:pPr>
        <w:spacing w:line="223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"/>
          <w:sz w:val="30"/>
          <w:szCs w:val="30"/>
        </w:rPr>
        <w:t>贷方式缴纳培训费用。</w:t>
      </w:r>
    </w:p>
    <w:p>
      <w:pPr>
        <w:spacing w:before="212" w:line="357" w:lineRule="auto"/>
        <w:ind w:firstLine="644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24"/>
          <w:sz w:val="30"/>
          <w:szCs w:val="30"/>
        </w:rPr>
        <w:t>第六条</w:t>
      </w:r>
      <w:r>
        <w:rPr>
          <w:rFonts w:ascii="仿宋" w:hAnsi="仿宋" w:eastAsia="仿宋" w:cs="仿宋"/>
          <w:spacing w:val="11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4"/>
          <w:sz w:val="30"/>
          <w:szCs w:val="30"/>
        </w:rPr>
        <w:t>校外培训机构应当自主选择所在县(市、区)内符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合条件的银行，在主管部门指导下设立预收费专用账</w:t>
      </w:r>
      <w:r>
        <w:rPr>
          <w:rFonts w:ascii="仿宋" w:hAnsi="仿宋" w:eastAsia="仿宋" w:cs="仿宋"/>
          <w:spacing w:val="11"/>
          <w:sz w:val="30"/>
          <w:szCs w:val="30"/>
        </w:rPr>
        <w:t>户，并将预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收费资金与其自有资金分账管理。校外培训预收费须全部进入专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用账户，不得使用本机构其他账户或非本机构账户收取培训费用，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以现金等形式收取的应于当日或次日全部归集至专用账户。对于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0"/>
          <w:sz w:val="30"/>
          <w:szCs w:val="30"/>
        </w:rPr>
        <w:t>本办法发布前已收取但未完成培训服务的预收费资金，应于本办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法发布后15个工作日内全部划转至专用账户。银行根据有关规定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及协议约定，做好归集至专用账户的预收费资金的托管工作。银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行托管数据全部纳入全国校外教育培训监管与服务综合平台(以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下简称监管平台),实现动态监管，各地选用的资金监管合作银行应</w:t>
      </w:r>
    </w:p>
    <w:p>
      <w:pPr>
        <w:spacing w:before="2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与监管平台实现资金数据的实时同步。</w:t>
      </w:r>
    </w:p>
    <w:p>
      <w:pPr>
        <w:spacing w:before="219" w:line="389" w:lineRule="auto"/>
        <w:ind w:right="96" w:firstLine="644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2"/>
          <w:sz w:val="30"/>
          <w:szCs w:val="30"/>
        </w:rPr>
        <w:t>第七条</w:t>
      </w:r>
      <w:r>
        <w:rPr>
          <w:rFonts w:ascii="仿宋" w:hAnsi="仿宋" w:eastAsia="仿宋" w:cs="仿宋"/>
          <w:spacing w:val="10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校外培训机构开展培训应使用教育部、市场监管总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局制定的《中小学生校外培训服务合同(示范文本)》,严禁利用</w:t>
      </w:r>
    </w:p>
    <w:p>
      <w:pPr>
        <w:spacing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不公平格式条款侵害学员合法权益。</w:t>
      </w:r>
    </w:p>
    <w:p>
      <w:pPr>
        <w:spacing w:before="225" w:line="220" w:lineRule="auto"/>
        <w:ind w:left="64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2"/>
          <w:sz w:val="30"/>
          <w:szCs w:val="30"/>
        </w:rPr>
        <w:t>第八条</w:t>
      </w:r>
      <w:r>
        <w:rPr>
          <w:rFonts w:ascii="仿宋" w:hAnsi="仿宋" w:eastAsia="仿宋" w:cs="仿宋"/>
          <w:spacing w:val="1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校外培训机构应依法履行纳税义务，并按照国家有</w:t>
      </w:r>
    </w:p>
    <w:p>
      <w:pPr>
        <w:sectPr>
          <w:footerReference r:id="rId7" w:type="default"/>
          <w:pgSz w:w="11770" w:h="16840"/>
          <w:pgMar w:top="1431" w:right="1389" w:bottom="1788" w:left="1559" w:header="0" w:footer="1492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98" w:line="357" w:lineRule="auto"/>
        <w:ind w:right="73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关规定开具发票，不得以任何理由拒绝学员索票。发票内容应按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照实际销售情况如实开具，不得填开与实际交易不符的内容</w:t>
      </w:r>
      <w:r>
        <w:rPr>
          <w:rFonts w:ascii="仿宋" w:hAnsi="仿宋" w:eastAsia="仿宋" w:cs="仿宋"/>
          <w:spacing w:val="10"/>
          <w:sz w:val="30"/>
          <w:szCs w:val="30"/>
        </w:rPr>
        <w:t>，不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得以举办者或其他名义开具收付款凭证，不得以收款</w:t>
      </w:r>
      <w:r>
        <w:rPr>
          <w:rFonts w:ascii="仿宋" w:hAnsi="仿宋" w:eastAsia="仿宋" w:cs="仿宋"/>
          <w:spacing w:val="10"/>
          <w:sz w:val="30"/>
          <w:szCs w:val="30"/>
        </w:rPr>
        <w:t>收据等“白</w:t>
      </w:r>
    </w:p>
    <w:p>
      <w:pPr>
        <w:spacing w:line="223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条”替代收付款凭证。</w:t>
      </w:r>
    </w:p>
    <w:p>
      <w:pPr>
        <w:spacing w:before="236" w:line="357" w:lineRule="auto"/>
        <w:ind w:right="55" w:firstLine="67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2"/>
          <w:sz w:val="30"/>
          <w:szCs w:val="30"/>
        </w:rPr>
        <w:t>第九条</w:t>
      </w:r>
      <w:r>
        <w:rPr>
          <w:rFonts w:ascii="仿宋" w:hAnsi="仿宋" w:eastAsia="仿宋" w:cs="仿宋"/>
          <w:spacing w:val="9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校外培训机构因自身原因不能履行合同，应提</w:t>
      </w:r>
      <w:r>
        <w:rPr>
          <w:rFonts w:ascii="仿宋" w:hAnsi="仿宋" w:eastAsia="仿宋" w:cs="仿宋"/>
          <w:spacing w:val="11"/>
          <w:sz w:val="30"/>
          <w:szCs w:val="30"/>
        </w:rPr>
        <w:t>前一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个月告知学员，并全额退还剩余费用。学员申请退费的，校</w:t>
      </w:r>
      <w:r>
        <w:rPr>
          <w:rFonts w:ascii="仿宋" w:hAnsi="仿宋" w:eastAsia="仿宋" w:cs="仿宋"/>
          <w:spacing w:val="9"/>
          <w:sz w:val="30"/>
          <w:szCs w:val="30"/>
        </w:rPr>
        <w:t>外培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训机构应按培训合同的退费约定立即启动退费程序，及时完成退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费。学员在课程开始前提出退费的，校外培训机构原则上应在5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个工作日内按原渠道一次性退还所有费用。学员在课程开始后提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出退费的，应按已完成课时的比例扣除相应费用，其余费用原则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1"/>
          <w:sz w:val="30"/>
          <w:szCs w:val="30"/>
        </w:rPr>
        <w:t>上应在15个工作日内按原渠道一次性退还。</w:t>
      </w:r>
      <w:r>
        <w:rPr>
          <w:rFonts w:ascii="仿宋" w:hAnsi="仿宋" w:eastAsia="仿宋" w:cs="仿宋"/>
          <w:spacing w:val="20"/>
          <w:sz w:val="30"/>
          <w:szCs w:val="30"/>
        </w:rPr>
        <w:t>合同条款另有约定</w:t>
      </w:r>
    </w:p>
    <w:p>
      <w:pPr>
        <w:spacing w:line="223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且不违反上述退费原则的除外。</w:t>
      </w:r>
    </w:p>
    <w:p>
      <w:pPr>
        <w:spacing w:before="251" w:line="357" w:lineRule="auto"/>
        <w:ind w:firstLine="67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8"/>
          <w:sz w:val="30"/>
          <w:szCs w:val="30"/>
        </w:rPr>
        <w:t>第十条</w:t>
      </w:r>
      <w:r>
        <w:rPr>
          <w:rFonts w:ascii="仿宋" w:hAnsi="仿宋" w:eastAsia="仿宋" w:cs="仿宋"/>
          <w:spacing w:val="12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经主管部门评估，对暂不能实行“消拨同步”的，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设立过渡期，采用风险保证金监管模式，过渡期原则上不超过一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年。校外培训机构实行预收费风险保证金托管的，培训机构要在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主管部门的指导下，与属地校外培训机构主管部门、托管银行</w:t>
      </w:r>
      <w:r>
        <w:rPr>
          <w:rFonts w:ascii="仿宋" w:hAnsi="仿宋" w:eastAsia="仿宋" w:cs="仿宋"/>
          <w:spacing w:val="9"/>
          <w:sz w:val="30"/>
          <w:szCs w:val="30"/>
        </w:rPr>
        <w:t>签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定风险保证金托管三方协议，足额留存风险保</w:t>
      </w:r>
      <w:r>
        <w:rPr>
          <w:rFonts w:ascii="仿宋" w:hAnsi="仿宋" w:eastAsia="仿宋" w:cs="仿宋"/>
          <w:spacing w:val="10"/>
          <w:sz w:val="30"/>
          <w:szCs w:val="30"/>
        </w:rPr>
        <w:t>证金，由托管银行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托管，按协议约定定期拨付，风险保证金额度由主管部门负</w:t>
      </w:r>
      <w:r>
        <w:rPr>
          <w:rFonts w:ascii="仿宋" w:hAnsi="仿宋" w:eastAsia="仿宋" w:cs="仿宋"/>
          <w:spacing w:val="9"/>
          <w:sz w:val="30"/>
          <w:szCs w:val="30"/>
        </w:rPr>
        <w:t>责核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定，实行动态调整，并提供给托管银行，最低额度不得低于校外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培训机构收取的所有学员单个收费周期(3个月)的费用总金额，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总金额可按上年度培训机构收取所有学员单个收费周期费</w:t>
      </w:r>
      <w:r>
        <w:rPr>
          <w:rFonts w:ascii="仿宋" w:hAnsi="仿宋" w:eastAsia="仿宋" w:cs="仿宋"/>
          <w:spacing w:val="8"/>
          <w:sz w:val="30"/>
          <w:szCs w:val="30"/>
        </w:rPr>
        <w:t>用的平</w:t>
      </w:r>
    </w:p>
    <w:p>
      <w:pPr>
        <w:spacing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均值测算。过渡期结束后，当日或次日释放风险保证金。</w:t>
      </w:r>
      <w:r>
        <w:rPr>
          <w:rFonts w:ascii="仿宋" w:hAnsi="仿宋" w:eastAsia="仿宋" w:cs="仿宋"/>
          <w:spacing w:val="8"/>
          <w:sz w:val="30"/>
          <w:szCs w:val="30"/>
        </w:rPr>
        <w:t>禁止校</w:t>
      </w:r>
    </w:p>
    <w:p>
      <w:pPr>
        <w:sectPr>
          <w:footerReference r:id="rId8" w:type="default"/>
          <w:pgSz w:w="11730" w:h="16830"/>
          <w:pgMar w:top="1430" w:right="1409" w:bottom="1780" w:left="1540" w:header="0" w:footer="1482" w:gutter="0"/>
          <w:cols w:space="720" w:num="1"/>
        </w:sectPr>
      </w:pPr>
    </w:p>
    <w:p>
      <w:pPr>
        <w:spacing w:line="327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97"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外培训机构用风险保证金进行融资担保。</w:t>
      </w:r>
    </w:p>
    <w:p>
      <w:pPr>
        <w:spacing w:before="219" w:line="359" w:lineRule="auto"/>
        <w:ind w:right="35" w:firstLine="63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1"/>
          <w:sz w:val="30"/>
          <w:szCs w:val="30"/>
        </w:rPr>
        <w:t>第十一条</w:t>
      </w:r>
      <w:r>
        <w:rPr>
          <w:rFonts w:ascii="仿宋" w:hAnsi="仿宋" w:eastAsia="仿宋" w:cs="仿宋"/>
          <w:spacing w:val="14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校外培训机构实行预收费全额银行托</w:t>
      </w:r>
      <w:r>
        <w:rPr>
          <w:rFonts w:ascii="仿宋" w:hAnsi="仿宋" w:eastAsia="仿宋" w:cs="仿宋"/>
          <w:spacing w:val="10"/>
          <w:sz w:val="30"/>
          <w:szCs w:val="30"/>
        </w:rPr>
        <w:t>管的，培训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机构要与属地校外培训机构主管部门、托管银行签定预收费专用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5"/>
          <w:sz w:val="30"/>
          <w:szCs w:val="30"/>
        </w:rPr>
        <w:t>账户管理三方协议，明确三方的权利义务。托管协议签订之日起3</w:t>
      </w:r>
    </w:p>
    <w:p>
      <w:pPr>
        <w:spacing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个工作日内，培训机构要将托管账户信息报主管部门备案。</w:t>
      </w:r>
    </w:p>
    <w:p>
      <w:pPr>
        <w:spacing w:before="220" w:line="357" w:lineRule="auto"/>
        <w:ind w:right="50" w:firstLine="63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20"/>
          <w:sz w:val="30"/>
          <w:szCs w:val="30"/>
        </w:rPr>
        <w:t>第十二条</w:t>
      </w:r>
      <w:r>
        <w:rPr>
          <w:rFonts w:ascii="仿宋" w:hAnsi="仿宋" w:eastAsia="仿宋" w:cs="仿宋"/>
          <w:spacing w:val="35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20"/>
          <w:sz w:val="30"/>
          <w:szCs w:val="30"/>
        </w:rPr>
        <w:t>预收费托管资金拨付须与授课进度同步、同比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例，托管银行根据监管平台反馈的授课进度拨付资金。校外培训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机构授课完成并经学员确认同意，向托管银行提供相关资料后，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托管银行应于5个工作日内完成资金拨付；校外培训机构授课完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成且履行告知义务后，学员超过15个工作日未确认且未提出异</w:t>
      </w:r>
      <w:r>
        <w:rPr>
          <w:rFonts w:ascii="仿宋" w:hAnsi="仿宋" w:eastAsia="仿宋" w:cs="仿宋"/>
          <w:spacing w:val="9"/>
          <w:sz w:val="30"/>
          <w:szCs w:val="30"/>
        </w:rPr>
        <w:t>议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的，托管银行视为确认同意，履行资金拨付。校外培训机构需采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取录音、录像方式，对成年学员或未成年学员监护人确认过程进 行全程记录，录像画质应足以辨认确认人身份及确认完成的具体</w:t>
      </w:r>
    </w:p>
    <w:p>
      <w:pPr>
        <w:spacing w:line="219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授课事项，音像资料应在确认后保留三年以上。</w:t>
      </w:r>
    </w:p>
    <w:p>
      <w:pPr>
        <w:spacing w:before="221" w:line="358" w:lineRule="auto"/>
        <w:ind w:firstLine="63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0"/>
          <w:sz w:val="30"/>
          <w:szCs w:val="30"/>
        </w:rPr>
        <w:t>第十三条</w:t>
      </w:r>
      <w:r>
        <w:rPr>
          <w:rFonts w:ascii="仿宋" w:hAnsi="仿宋" w:eastAsia="仿宋" w:cs="仿宋"/>
          <w:spacing w:val="14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托管银行要在当地校外培训机构主管部门的监督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指导下严格履行托管协议。托管预收费资金的银行要具备同时为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主管部门、校外培训机构、学员等提供即时信息交互的技术条件。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托管银行不得侵占、挪用预收费资金，不得因提供托管服务而额</w:t>
      </w:r>
    </w:p>
    <w:p>
      <w:pPr>
        <w:spacing w:before="1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"/>
          <w:sz w:val="30"/>
          <w:szCs w:val="30"/>
        </w:rPr>
        <w:t>外收取机构、学员费用。</w:t>
      </w:r>
    </w:p>
    <w:p>
      <w:pPr>
        <w:spacing w:before="214" w:line="389" w:lineRule="auto"/>
        <w:ind w:right="71" w:firstLine="634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9"/>
          <w:sz w:val="30"/>
          <w:szCs w:val="30"/>
        </w:rPr>
        <w:t>第十四条</w:t>
      </w:r>
      <w:r>
        <w:rPr>
          <w:rFonts w:ascii="仿宋" w:hAnsi="仿宋" w:eastAsia="仿宋" w:cs="仿宋"/>
          <w:spacing w:val="12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学员与校外培训机构发生退费纠纷的，校外培训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机构不得以资金监管为由，拒绝学员的合理诉求。学员与校外培</w:t>
      </w:r>
    </w:p>
    <w:p>
      <w:pPr>
        <w:spacing w:before="1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训机构因收退费问题发生争议的，可以依法通过下</w:t>
      </w:r>
      <w:r>
        <w:rPr>
          <w:rFonts w:ascii="仿宋" w:hAnsi="仿宋" w:eastAsia="仿宋" w:cs="仿宋"/>
          <w:spacing w:val="6"/>
          <w:sz w:val="30"/>
          <w:szCs w:val="30"/>
        </w:rPr>
        <w:t>列途径解决：</w:t>
      </w:r>
    </w:p>
    <w:p>
      <w:pPr>
        <w:sectPr>
          <w:footerReference r:id="rId9" w:type="default"/>
          <w:pgSz w:w="11730" w:h="16840"/>
          <w:pgMar w:top="1431" w:right="1429" w:bottom="1798" w:left="1540" w:header="0" w:footer="1502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95" w:line="222" w:lineRule="auto"/>
        <w:ind w:left="77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2"/>
          <w:sz w:val="29"/>
          <w:szCs w:val="29"/>
        </w:rPr>
        <w:t>(一)学员与校外培训机构协商解决；</w:t>
      </w:r>
    </w:p>
    <w:p>
      <w:pPr>
        <w:spacing w:before="229" w:line="584" w:lineRule="exact"/>
        <w:ind w:left="77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7"/>
          <w:position w:val="22"/>
          <w:sz w:val="29"/>
          <w:szCs w:val="29"/>
        </w:rPr>
        <w:t>(二)请求消费者权益保护组织或依法成立的其他调解组</w:t>
      </w:r>
      <w:r>
        <w:rPr>
          <w:rFonts w:ascii="仿宋" w:hAnsi="仿宋" w:eastAsia="仿宋" w:cs="仿宋"/>
          <w:spacing w:val="26"/>
          <w:position w:val="22"/>
          <w:sz w:val="29"/>
          <w:szCs w:val="29"/>
        </w:rPr>
        <w:t>织</w:t>
      </w:r>
    </w:p>
    <w:p>
      <w:pPr>
        <w:spacing w:line="222" w:lineRule="auto"/>
        <w:ind w:left="1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"/>
          <w:sz w:val="29"/>
          <w:szCs w:val="29"/>
        </w:rPr>
        <w:t>调解；</w:t>
      </w:r>
    </w:p>
    <w:p>
      <w:pPr>
        <w:spacing w:before="228" w:line="221" w:lineRule="auto"/>
        <w:ind w:left="77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4"/>
          <w:sz w:val="29"/>
          <w:szCs w:val="29"/>
        </w:rPr>
        <w:t>(三)向有关行政部门投诉；</w:t>
      </w:r>
    </w:p>
    <w:p>
      <w:pPr>
        <w:spacing w:before="232" w:line="220" w:lineRule="auto"/>
        <w:ind w:left="77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"/>
          <w:sz w:val="29"/>
          <w:szCs w:val="29"/>
        </w:rPr>
        <w:t>(四)根据与校外培训机构达成的仲裁协议提请仲裁机构仲裁；</w:t>
      </w:r>
    </w:p>
    <w:p>
      <w:pPr>
        <w:spacing w:before="238" w:line="222" w:lineRule="auto"/>
        <w:ind w:left="77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5"/>
          <w:sz w:val="29"/>
          <w:szCs w:val="29"/>
        </w:rPr>
        <w:t>(五)向人民法院提起诉讼。</w:t>
      </w:r>
    </w:p>
    <w:p>
      <w:pPr>
        <w:spacing w:before="267" w:line="370" w:lineRule="auto"/>
        <w:ind w:left="10" w:right="40" w:firstLine="67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pacing w:val="21"/>
          <w:sz w:val="29"/>
          <w:szCs w:val="29"/>
        </w:rPr>
        <w:t>第十五条</w:t>
      </w:r>
      <w:r>
        <w:rPr>
          <w:rFonts w:ascii="仿宋" w:hAnsi="仿宋" w:eastAsia="仿宋" w:cs="仿宋"/>
          <w:spacing w:val="12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1"/>
          <w:sz w:val="29"/>
          <w:szCs w:val="29"/>
        </w:rPr>
        <w:t>校外培训机构主管部门会同有关部门及时研判风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0"/>
          <w:sz w:val="29"/>
          <w:szCs w:val="29"/>
        </w:rPr>
        <w:t>险情况，并根据风险程度，向社会发布风险预警。专用账户出现</w:t>
      </w:r>
      <w:r>
        <w:rPr>
          <w:rFonts w:ascii="仿宋" w:hAnsi="仿宋" w:eastAsia="仿宋" w:cs="仿宋"/>
          <w:spacing w:val="9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0"/>
          <w:sz w:val="29"/>
          <w:szCs w:val="29"/>
        </w:rPr>
        <w:t>下列情形之一的，托管银行应按照三方协议约定立即向主管</w:t>
      </w:r>
      <w:r>
        <w:rPr>
          <w:rFonts w:ascii="仿宋" w:hAnsi="仿宋" w:eastAsia="仿宋" w:cs="仿宋"/>
          <w:spacing w:val="19"/>
          <w:sz w:val="29"/>
          <w:szCs w:val="29"/>
        </w:rPr>
        <w:t>部门</w:t>
      </w:r>
    </w:p>
    <w:p>
      <w:pPr>
        <w:spacing w:line="222" w:lineRule="auto"/>
        <w:ind w:left="1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8"/>
          <w:sz w:val="29"/>
          <w:szCs w:val="29"/>
        </w:rPr>
        <w:t>发出风险预警通报：</w:t>
      </w:r>
    </w:p>
    <w:p>
      <w:pPr>
        <w:spacing w:before="248" w:line="221" w:lineRule="auto"/>
        <w:ind w:left="77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2"/>
          <w:sz w:val="29"/>
          <w:szCs w:val="29"/>
        </w:rPr>
        <w:t>(一)专用账户最低余额低于核定的风险保证金额度；</w:t>
      </w:r>
    </w:p>
    <w:p>
      <w:pPr>
        <w:spacing w:before="233" w:line="582" w:lineRule="exact"/>
        <w:ind w:left="77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9"/>
          <w:position w:val="22"/>
          <w:sz w:val="29"/>
          <w:szCs w:val="29"/>
        </w:rPr>
        <w:t>(二)单笔提取资金超过5万元或当日累计提取资金超</w:t>
      </w:r>
      <w:r>
        <w:rPr>
          <w:rFonts w:ascii="仿宋" w:hAnsi="仿宋" w:eastAsia="仿宋" w:cs="仿宋"/>
          <w:spacing w:val="28"/>
          <w:position w:val="22"/>
          <w:sz w:val="29"/>
          <w:szCs w:val="29"/>
        </w:rPr>
        <w:t>过20</w:t>
      </w:r>
    </w:p>
    <w:p>
      <w:pPr>
        <w:spacing w:before="1" w:line="222" w:lineRule="auto"/>
        <w:ind w:left="1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6"/>
          <w:sz w:val="29"/>
          <w:szCs w:val="29"/>
        </w:rPr>
        <w:t>万元(各地可结合实际调整额度);</w:t>
      </w:r>
    </w:p>
    <w:p>
      <w:pPr>
        <w:spacing w:before="228" w:line="221" w:lineRule="auto"/>
        <w:ind w:left="77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7"/>
          <w:sz w:val="29"/>
          <w:szCs w:val="29"/>
        </w:rPr>
        <w:t>(三)银行认为有必要向主管部门进行风险预警的其他情形。</w:t>
      </w:r>
    </w:p>
    <w:p>
      <w:pPr>
        <w:spacing w:before="253" w:line="369" w:lineRule="auto"/>
        <w:ind w:left="10" w:firstLine="67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pacing w:val="19"/>
          <w:sz w:val="29"/>
          <w:szCs w:val="29"/>
        </w:rPr>
        <w:t>第十六条</w:t>
      </w:r>
      <w:r>
        <w:rPr>
          <w:rFonts w:ascii="仿宋" w:hAnsi="仿宋" w:eastAsia="仿宋" w:cs="仿宋"/>
          <w:spacing w:val="13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9"/>
          <w:sz w:val="29"/>
          <w:szCs w:val="29"/>
        </w:rPr>
        <w:t>主管部门接到预警通报后，应会同有关部门，立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7"/>
          <w:sz w:val="29"/>
          <w:szCs w:val="29"/>
        </w:rPr>
        <w:t>即开展专项调查、风险评估和处置化解。发现违法犯罪线索的，</w:t>
      </w:r>
      <w:r>
        <w:rPr>
          <w:rFonts w:ascii="仿宋" w:hAnsi="仿宋" w:eastAsia="仿宋" w:cs="仿宋"/>
          <w:spacing w:val="9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12"/>
          <w:sz w:val="29"/>
          <w:szCs w:val="29"/>
        </w:rPr>
        <w:t>及时移交公安机关。公安机关接到线索后，要及时开展调查核实，</w:t>
      </w:r>
    </w:p>
    <w:p>
      <w:pPr>
        <w:spacing w:line="220" w:lineRule="auto"/>
        <w:ind w:left="1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2"/>
          <w:sz w:val="29"/>
          <w:szCs w:val="29"/>
        </w:rPr>
        <w:t>发现涉嫌犯罪的，依法查处。</w:t>
      </w:r>
    </w:p>
    <w:p>
      <w:pPr>
        <w:spacing w:before="234" w:line="370" w:lineRule="auto"/>
        <w:ind w:left="10" w:right="76" w:firstLine="67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pacing w:val="20"/>
          <w:sz w:val="29"/>
          <w:szCs w:val="29"/>
        </w:rPr>
        <w:t>第十七条</w:t>
      </w:r>
      <w:r>
        <w:rPr>
          <w:rFonts w:ascii="仿宋" w:hAnsi="仿宋" w:eastAsia="仿宋" w:cs="仿宋"/>
          <w:spacing w:val="11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0"/>
          <w:sz w:val="29"/>
          <w:szCs w:val="29"/>
        </w:rPr>
        <w:t>校外培训机构应按照主管部门的监管要求，主</w:t>
      </w:r>
      <w:r>
        <w:rPr>
          <w:rFonts w:ascii="仿宋" w:hAnsi="仿宋" w:eastAsia="仿宋" w:cs="仿宋"/>
          <w:spacing w:val="19"/>
          <w:sz w:val="29"/>
          <w:szCs w:val="29"/>
        </w:rPr>
        <w:t>动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9"/>
          <w:sz w:val="29"/>
          <w:szCs w:val="29"/>
        </w:rPr>
        <w:t>报送从托管银行获取的有关专用账户、大额资金变动、</w:t>
      </w:r>
      <w:r>
        <w:rPr>
          <w:rFonts w:ascii="仿宋" w:hAnsi="仿宋" w:eastAsia="仿宋" w:cs="仿宋"/>
          <w:spacing w:val="18"/>
          <w:sz w:val="29"/>
          <w:szCs w:val="29"/>
        </w:rPr>
        <w:t>交易流水</w:t>
      </w:r>
    </w:p>
    <w:p>
      <w:pPr>
        <w:spacing w:before="1" w:line="221" w:lineRule="auto"/>
        <w:ind w:left="1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等信息。</w:t>
      </w:r>
    </w:p>
    <w:p>
      <w:pPr>
        <w:spacing w:before="228" w:line="222" w:lineRule="auto"/>
        <w:ind w:left="68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pacing w:val="20"/>
          <w:sz w:val="29"/>
          <w:szCs w:val="29"/>
        </w:rPr>
        <w:t>第十八条</w:t>
      </w:r>
      <w:r>
        <w:rPr>
          <w:rFonts w:ascii="仿宋" w:hAnsi="仿宋" w:eastAsia="仿宋" w:cs="仿宋"/>
          <w:spacing w:val="11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0"/>
          <w:sz w:val="29"/>
          <w:szCs w:val="29"/>
        </w:rPr>
        <w:t>校外培训机构不配合资金监管的，由主管</w:t>
      </w:r>
      <w:r>
        <w:rPr>
          <w:rFonts w:ascii="仿宋" w:hAnsi="仿宋" w:eastAsia="仿宋" w:cs="仿宋"/>
          <w:spacing w:val="19"/>
          <w:sz w:val="29"/>
          <w:szCs w:val="29"/>
        </w:rPr>
        <w:t>部门责</w:t>
      </w:r>
    </w:p>
    <w:p>
      <w:pPr>
        <w:sectPr>
          <w:footerReference r:id="rId10" w:type="default"/>
          <w:pgSz w:w="11710" w:h="16820"/>
          <w:pgMar w:top="1429" w:right="1405" w:bottom="1773" w:left="1519" w:header="0" w:footer="1485" w:gutter="0"/>
          <w:cols w:space="720" w:num="1"/>
        </w:sectPr>
      </w:pPr>
    </w:p>
    <w:p>
      <w:pPr>
        <w:spacing w:line="318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98" w:line="598" w:lineRule="exac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position w:val="22"/>
          <w:sz w:val="30"/>
          <w:szCs w:val="30"/>
        </w:rPr>
        <w:t>令整改，情节严重或拒不整改的，依法依规实施信用公示，列入</w:t>
      </w:r>
    </w:p>
    <w:p>
      <w:pPr>
        <w:spacing w:before="1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黑名单；对学员权益造成损害的，依法依规承担法律责任。</w:t>
      </w:r>
    </w:p>
    <w:p>
      <w:pPr>
        <w:spacing w:before="211" w:line="357" w:lineRule="auto"/>
        <w:ind w:right="109" w:firstLine="65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0"/>
          <w:sz w:val="30"/>
          <w:szCs w:val="30"/>
        </w:rPr>
        <w:t>第十九条</w:t>
      </w:r>
      <w:r>
        <w:rPr>
          <w:rFonts w:ascii="仿宋" w:hAnsi="仿宋" w:eastAsia="仿宋" w:cs="仿宋"/>
          <w:spacing w:val="14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各地将预收费监管列入对校外培训机构的日常监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管、专项检查、年审年检和教育督导范围，确保培训服务交易安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全，切实维护社会大局稳定。主管部门对校外培训机构实施差异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化监管，对收退费规范、预收培训费风险低的可减少检查频次；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对退费投诉集中、预收费风险高的进行重点监测，加大检查频次</w:t>
      </w:r>
    </w:p>
    <w:p>
      <w:pPr>
        <w:spacing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"/>
          <w:sz w:val="30"/>
          <w:szCs w:val="30"/>
        </w:rPr>
        <w:t>和力度，督促机构合规经营。</w:t>
      </w:r>
    </w:p>
    <w:p>
      <w:pPr>
        <w:spacing w:before="258" w:line="357" w:lineRule="auto"/>
        <w:ind w:right="49" w:firstLine="65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9"/>
          <w:sz w:val="30"/>
          <w:szCs w:val="30"/>
        </w:rPr>
        <w:t>第二十条</w:t>
      </w:r>
      <w:r>
        <w:rPr>
          <w:rFonts w:ascii="仿宋" w:hAnsi="仿宋" w:eastAsia="仿宋" w:cs="仿宋"/>
          <w:spacing w:val="15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各地要在地方党委和政府的统一领导下，充分发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挥“双减”工作专门协调机制的作用。主管部门负责对校外培训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机构预收费托管资金转入专用账户以及托管资金拨付情况进行监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督检查，会同相关部门加强校外培训机构预收费全流程监管，强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化风险排查和源头化解；人民银行、银保监部门按照职责分工，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0"/>
          <w:sz w:val="30"/>
          <w:szCs w:val="30"/>
        </w:rPr>
        <w:t>负责指导银行等机构配合主管部门依法做好预收费托管、风险保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证金存管、培训领域贷款业务合规管理工作；税务部门负责对校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外培训机构纳税情况进行监管，对发现的涉税违法行为依法查处；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市场监管部门依法严肃查处违反价格相关法律法规的行为；公安</w:t>
      </w:r>
    </w:p>
    <w:p>
      <w:pPr>
        <w:spacing w:before="1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机关依法严厉打击涉校外培训机构违法犯罪行为。</w:t>
      </w:r>
    </w:p>
    <w:p>
      <w:pPr>
        <w:spacing w:before="220" w:line="372" w:lineRule="auto"/>
        <w:ind w:firstLine="65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0"/>
          <w:sz w:val="30"/>
          <w:szCs w:val="30"/>
        </w:rPr>
        <w:t>第二十一条</w:t>
      </w:r>
      <w:r>
        <w:rPr>
          <w:rFonts w:ascii="仿宋" w:hAnsi="仿宋" w:eastAsia="仿宋" w:cs="仿宋"/>
          <w:spacing w:val="10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在预收费资金监管过程中，有关部门、机构、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4"/>
          <w:sz w:val="30"/>
          <w:szCs w:val="30"/>
        </w:rPr>
        <w:t>托管银行应当对收集的学员及家长个人信息严格保密，不得泄露、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出售或者非法向他人提供，对相关人员权益造成损害的，依法依</w:t>
      </w:r>
    </w:p>
    <w:p>
      <w:pPr>
        <w:spacing w:before="1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规承担法律责任。</w:t>
      </w:r>
    </w:p>
    <w:p>
      <w:pPr>
        <w:sectPr>
          <w:footerReference r:id="rId11" w:type="default"/>
          <w:pgSz w:w="11730" w:h="16820"/>
          <w:pgMar w:top="1429" w:right="1360" w:bottom="1780" w:left="1550" w:header="0" w:footer="1482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98" w:line="364" w:lineRule="auto"/>
        <w:ind w:left="50" w:firstLine="644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2"/>
          <w:sz w:val="30"/>
          <w:szCs w:val="30"/>
        </w:rPr>
        <w:t>第二十二条</w:t>
      </w:r>
      <w:r>
        <w:rPr>
          <w:rFonts w:ascii="仿宋" w:hAnsi="仿宋" w:eastAsia="仿宋" w:cs="仿宋"/>
          <w:spacing w:val="12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本办法自公布之日起施行。此前规定与本办法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2"/>
          <w:sz w:val="30"/>
          <w:szCs w:val="30"/>
        </w:rPr>
        <w:t>不一致的，以本办法为准。各市(区)可结合本地实际，参照本</w:t>
      </w:r>
    </w:p>
    <w:p>
      <w:pPr>
        <w:spacing w:line="221" w:lineRule="auto"/>
        <w:ind w:left="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"/>
          <w:sz w:val="30"/>
          <w:szCs w:val="30"/>
        </w:rPr>
        <w:t>办法制定具体实施细则。</w:t>
      </w:r>
    </w:p>
    <w:p>
      <w:pPr>
        <w:sectPr>
          <w:footerReference r:id="rId12" w:type="default"/>
          <w:pgSz w:w="11770" w:h="16830"/>
          <w:pgMar w:top="1430" w:right="1470" w:bottom="1781" w:left="1509" w:header="0" w:footer="1482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0" w:lineRule="exact"/>
        <w:ind w:firstLine="9"/>
        <w:textAlignment w:val="center"/>
      </w:pPr>
      <w:r>
        <w:drawing>
          <wp:inline distT="0" distB="0" distL="0" distR="0">
            <wp:extent cx="5594350" cy="1270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94379" cy="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9" w:line="227" w:lineRule="auto"/>
        <w:ind w:left="30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3"/>
          <w:position w:val="1"/>
          <w:sz w:val="28"/>
          <w:szCs w:val="28"/>
        </w:rPr>
        <w:t>陕西省教育厅办公室</w:t>
      </w:r>
      <w:r>
        <w:rPr>
          <w:rFonts w:ascii="仿宋" w:hAnsi="仿宋" w:eastAsia="仿宋" w:cs="仿宋"/>
          <w:spacing w:val="1"/>
          <w:position w:val="1"/>
          <w:sz w:val="28"/>
          <w:szCs w:val="28"/>
        </w:rPr>
        <w:t xml:space="preserve">                    </w:t>
      </w:r>
      <w:r>
        <w:rPr>
          <w:rFonts w:ascii="仿宋" w:hAnsi="仿宋" w:eastAsia="仿宋" w:cs="仿宋"/>
          <w:spacing w:val="13"/>
          <w:sz w:val="28"/>
          <w:szCs w:val="28"/>
        </w:rPr>
        <w:t>2022年12月26日印发</w:t>
      </w:r>
    </w:p>
    <w:p>
      <w:pPr>
        <w:spacing w:before="25" w:line="20" w:lineRule="exact"/>
        <w:textAlignment w:val="center"/>
      </w:pPr>
      <w:r>
        <w:drawing>
          <wp:inline distT="0" distB="0" distL="0" distR="0">
            <wp:extent cx="5607050" cy="12700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07074" cy="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13" w:type="default"/>
      <w:pgSz w:w="11900" w:h="16840"/>
      <w:pgMar w:top="1431" w:right="1499" w:bottom="400" w:left="156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24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—3—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9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—4—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319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—5—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—6—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259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—7—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—8—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29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—9—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1"/>
        <w:sz w:val="30"/>
        <w:szCs w:val="30"/>
      </w:rPr>
      <w:t>—</w:t>
    </w:r>
    <w:r>
      <w:rPr>
        <w:rFonts w:ascii="宋体" w:hAnsi="宋体" w:eastAsia="宋体" w:cs="宋体"/>
        <w:spacing w:val="-117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sz w:val="30"/>
        <w:szCs w:val="30"/>
      </w:rPr>
      <w:t>10—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hjMzQ3ZGYzMmM1Yzc2MDI5N2NhZjA3ZTA3NTBiMDEifQ=="/>
  </w:docVars>
  <w:rsids>
    <w:rsidRoot w:val="00000000"/>
    <w:rsid w:val="62B649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3.png"/><Relationship Id="rId16" Type="http://schemas.openxmlformats.org/officeDocument/2006/relationships/image" Target="media/image2.png"/><Relationship Id="rId15" Type="http://schemas.openxmlformats.org/officeDocument/2006/relationships/image" Target="media/image1.png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3739</Words>
  <Characters>3760</Characters>
  <TotalTime>0</TotalTime>
  <ScaleCrop>false</ScaleCrop>
  <LinksUpToDate>false</LinksUpToDate>
  <CharactersWithSpaces>4012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2023-03-21T11:13:00Z</dcterms:created>
  <dc:creator>Kingsoft-PDF</dc:creator>
  <cp:lastModifiedBy>远去的背影</cp:lastModifiedBy>
  <dcterms:modified xsi:type="dcterms:W3CDTF">2023-03-21T03:14:30Z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2023-03-21T11:13:38Z</vt:filetime>
  </property>
  <property fmtid="{D5CDD505-2E9C-101B-9397-08002B2CF9AE}" pid="4" name="UsrData">
    <vt:lpwstr>641920d40c8b2900152e0c26</vt:lpwstr>
  </property>
  <property fmtid="{D5CDD505-2E9C-101B-9397-08002B2CF9AE}" pid="5" name="KSOProductBuildVer">
    <vt:lpwstr>2052-11.1.0.13703</vt:lpwstr>
  </property>
  <property fmtid="{D5CDD505-2E9C-101B-9397-08002B2CF9AE}" pid="6" name="ICV">
    <vt:lpwstr>0E3E6A096CDF4A71AD396429882190F4</vt:lpwstr>
  </property>
</Properties>
</file>