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53" w:line="230" w:lineRule="auto"/>
        <w:ind w:left="185" w:right="1542"/>
        <w:jc w:val="both"/>
        <w:rPr>
          <w:rFonts w:ascii="宋体" w:hAnsi="宋体" w:eastAsia="宋体" w:cs="宋体"/>
          <w:sz w:val="47"/>
          <w:szCs w:val="47"/>
        </w:rPr>
      </w:pPr>
      <w:r>
        <w:pict>
          <v:shape id="_x0000_s1026" o:spid="_x0000_s1026" o:spt="202" type="#_x0000_t202" style="position:absolute;left:0pt;margin-left:379.4pt;margin-top:134.35pt;height:40.05pt;width:57.9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219" w:lineRule="auto"/>
                    <w:ind w:left="20"/>
                    <w:rPr>
                      <w:rFonts w:ascii="宋体" w:hAnsi="宋体" w:eastAsia="宋体" w:cs="宋体"/>
                      <w:sz w:val="64"/>
                      <w:szCs w:val="6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D50E00"/>
                      <w:spacing w:val="-48"/>
                      <w:w w:val="93"/>
                      <w:sz w:val="64"/>
                      <w:szCs w:val="64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陕</w:t>
      </w:r>
      <w:r>
        <w:rPr>
          <w:rFonts w:ascii="宋体" w:hAnsi="宋体" w:eastAsia="宋体" w:cs="宋体"/>
          <w:color w:val="D50E00"/>
          <w:spacing w:val="70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西</w:t>
      </w:r>
      <w:r>
        <w:rPr>
          <w:rFonts w:ascii="宋体" w:hAnsi="宋体" w:eastAsia="宋体" w:cs="宋体"/>
          <w:color w:val="D50E00"/>
          <w:spacing w:val="58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省</w:t>
      </w:r>
      <w:r>
        <w:rPr>
          <w:rFonts w:ascii="宋体" w:hAnsi="宋体" w:eastAsia="宋体" w:cs="宋体"/>
          <w:color w:val="D50E00"/>
          <w:spacing w:val="73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教</w:t>
      </w:r>
      <w:r>
        <w:rPr>
          <w:rFonts w:ascii="宋体" w:hAnsi="宋体" w:eastAsia="宋体" w:cs="宋体"/>
          <w:color w:val="D50E00"/>
          <w:spacing w:val="63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育</w:t>
      </w:r>
      <w:r>
        <w:rPr>
          <w:rFonts w:ascii="宋体" w:hAnsi="宋体" w:eastAsia="宋体" w:cs="宋体"/>
          <w:color w:val="D50E00"/>
          <w:spacing w:val="71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厅</w:t>
      </w:r>
      <w:r>
        <w:rPr>
          <w:rFonts w:ascii="宋体" w:hAnsi="宋体" w:eastAsia="宋体" w:cs="宋体"/>
          <w:color w:val="D50E00"/>
          <w:spacing w:val="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陕</w:t>
      </w:r>
      <w:r>
        <w:rPr>
          <w:rFonts w:ascii="宋体" w:hAnsi="宋体" w:eastAsia="宋体" w:cs="宋体"/>
          <w:color w:val="D50E00"/>
          <w:spacing w:val="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西</w:t>
      </w:r>
      <w:r>
        <w:rPr>
          <w:rFonts w:ascii="宋体" w:hAnsi="宋体" w:eastAsia="宋体" w:cs="宋体"/>
          <w:color w:val="D50E00"/>
          <w:spacing w:val="-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省</w:t>
      </w:r>
      <w:r>
        <w:rPr>
          <w:rFonts w:ascii="宋体" w:hAnsi="宋体" w:eastAsia="宋体" w:cs="宋体"/>
          <w:color w:val="D50E00"/>
          <w:spacing w:val="-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发</w:t>
      </w:r>
      <w:r>
        <w:rPr>
          <w:rFonts w:ascii="宋体" w:hAnsi="宋体" w:eastAsia="宋体" w:cs="宋体"/>
          <w:color w:val="D50E00"/>
          <w:spacing w:val="-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展</w:t>
      </w:r>
      <w:r>
        <w:rPr>
          <w:rFonts w:ascii="宋体" w:hAnsi="宋体" w:eastAsia="宋体" w:cs="宋体"/>
          <w:color w:val="D50E00"/>
          <w:spacing w:val="-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和</w:t>
      </w:r>
      <w:r>
        <w:rPr>
          <w:rFonts w:ascii="宋体" w:hAnsi="宋体" w:eastAsia="宋体" w:cs="宋体"/>
          <w:color w:val="D50E00"/>
          <w:spacing w:val="6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改</w:t>
      </w:r>
      <w:r>
        <w:rPr>
          <w:rFonts w:ascii="宋体" w:hAnsi="宋体" w:eastAsia="宋体" w:cs="宋体"/>
          <w:color w:val="D50E00"/>
          <w:spacing w:val="-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革</w:t>
      </w:r>
      <w:r>
        <w:rPr>
          <w:rFonts w:ascii="宋体" w:hAnsi="宋体" w:eastAsia="宋体" w:cs="宋体"/>
          <w:color w:val="D50E00"/>
          <w:spacing w:val="-1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委</w:t>
      </w:r>
      <w:r>
        <w:rPr>
          <w:rFonts w:ascii="宋体" w:hAnsi="宋体" w:eastAsia="宋体" w:cs="宋体"/>
          <w:color w:val="D50E00"/>
          <w:spacing w:val="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员</w:t>
      </w:r>
      <w:r>
        <w:rPr>
          <w:rFonts w:ascii="宋体" w:hAnsi="宋体" w:eastAsia="宋体" w:cs="宋体"/>
          <w:color w:val="D50E00"/>
          <w:spacing w:val="-1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会</w:t>
      </w:r>
      <w:r>
        <w:rPr>
          <w:rFonts w:ascii="宋体" w:hAnsi="宋体" w:eastAsia="宋体" w:cs="宋体"/>
          <w:color w:val="D50E0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陕</w:t>
      </w:r>
      <w:r>
        <w:rPr>
          <w:rFonts w:ascii="宋体" w:hAnsi="宋体" w:eastAsia="宋体" w:cs="宋体"/>
          <w:color w:val="D50E00"/>
          <w:spacing w:val="32"/>
          <w:sz w:val="47"/>
          <w:szCs w:val="47"/>
        </w:rPr>
        <w:t xml:space="preserve"> 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西</w:t>
      </w:r>
      <w:r>
        <w:rPr>
          <w:rFonts w:ascii="宋体" w:hAnsi="宋体" w:eastAsia="宋体" w:cs="宋体"/>
          <w:color w:val="D50E00"/>
          <w:spacing w:val="5"/>
          <w:sz w:val="47"/>
          <w:szCs w:val="47"/>
        </w:rPr>
        <w:t xml:space="preserve"> 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省</w:t>
      </w:r>
      <w:r>
        <w:rPr>
          <w:rFonts w:ascii="宋体" w:hAnsi="宋体" w:eastAsia="宋体" w:cs="宋体"/>
          <w:color w:val="D50E00"/>
          <w:spacing w:val="38"/>
          <w:sz w:val="47"/>
          <w:szCs w:val="47"/>
        </w:rPr>
        <w:t xml:space="preserve"> 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科</w:t>
      </w:r>
      <w:r>
        <w:rPr>
          <w:rFonts w:ascii="宋体" w:hAnsi="宋体" w:eastAsia="宋体" w:cs="宋体"/>
          <w:color w:val="D50E00"/>
          <w:spacing w:val="19"/>
          <w:sz w:val="47"/>
          <w:szCs w:val="47"/>
        </w:rPr>
        <w:t xml:space="preserve"> 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学</w:t>
      </w:r>
      <w:r>
        <w:rPr>
          <w:rFonts w:ascii="宋体" w:hAnsi="宋体" w:eastAsia="宋体" w:cs="宋体"/>
          <w:color w:val="D50E00"/>
          <w:spacing w:val="24"/>
          <w:sz w:val="47"/>
          <w:szCs w:val="47"/>
        </w:rPr>
        <w:t xml:space="preserve"> 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技</w:t>
      </w:r>
      <w:r>
        <w:rPr>
          <w:rFonts w:ascii="宋体" w:hAnsi="宋体" w:eastAsia="宋体" w:cs="宋体"/>
          <w:color w:val="D50E00"/>
          <w:spacing w:val="10"/>
          <w:sz w:val="47"/>
          <w:szCs w:val="47"/>
        </w:rPr>
        <w:t xml:space="preserve"> 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术</w:t>
      </w:r>
      <w:r>
        <w:rPr>
          <w:rFonts w:ascii="宋体" w:hAnsi="宋体" w:eastAsia="宋体" w:cs="宋体"/>
          <w:color w:val="D50E00"/>
          <w:spacing w:val="46"/>
          <w:sz w:val="47"/>
          <w:szCs w:val="47"/>
        </w:rPr>
        <w:t xml:space="preserve"> 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厅</w:t>
      </w:r>
      <w:r>
        <w:rPr>
          <w:rFonts w:ascii="宋体" w:hAnsi="宋体" w:eastAsia="宋体" w:cs="宋体"/>
          <w:color w:val="D50E0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陕</w:t>
      </w:r>
      <w:r>
        <w:rPr>
          <w:rFonts w:ascii="宋体" w:hAnsi="宋体" w:eastAsia="宋体" w:cs="宋体"/>
          <w:color w:val="D50E00"/>
          <w:spacing w:val="73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西</w:t>
      </w:r>
      <w:r>
        <w:rPr>
          <w:rFonts w:ascii="宋体" w:hAnsi="宋体" w:eastAsia="宋体" w:cs="宋体"/>
          <w:color w:val="D50E00"/>
          <w:spacing w:val="62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省</w:t>
      </w:r>
      <w:r>
        <w:rPr>
          <w:rFonts w:ascii="宋体" w:hAnsi="宋体" w:eastAsia="宋体" w:cs="宋体"/>
          <w:color w:val="D50E00"/>
          <w:spacing w:val="67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公</w:t>
      </w:r>
      <w:r>
        <w:rPr>
          <w:rFonts w:ascii="宋体" w:hAnsi="宋体" w:eastAsia="宋体" w:cs="宋体"/>
          <w:color w:val="D50E00"/>
          <w:spacing w:val="56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安</w:t>
      </w:r>
      <w:r>
        <w:rPr>
          <w:rFonts w:ascii="宋体" w:hAnsi="宋体" w:eastAsia="宋体" w:cs="宋体"/>
          <w:color w:val="D50E00"/>
          <w:spacing w:val="74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8"/>
          <w:sz w:val="47"/>
          <w:szCs w:val="47"/>
        </w:rPr>
        <w:t>厅</w:t>
      </w:r>
      <w:r>
        <w:rPr>
          <w:rFonts w:ascii="宋体" w:hAnsi="宋体" w:eastAsia="宋体" w:cs="宋体"/>
          <w:color w:val="D50E00"/>
          <w:spacing w:val="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1"/>
          <w:sz w:val="47"/>
          <w:szCs w:val="47"/>
        </w:rPr>
        <w:t>陕</w:t>
      </w:r>
      <w:r>
        <w:rPr>
          <w:rFonts w:ascii="宋体" w:hAnsi="宋体" w:eastAsia="宋体" w:cs="宋体"/>
          <w:color w:val="D50E00"/>
          <w:spacing w:val="19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1"/>
          <w:sz w:val="47"/>
          <w:szCs w:val="47"/>
        </w:rPr>
        <w:t>西</w:t>
      </w:r>
      <w:r>
        <w:rPr>
          <w:rFonts w:ascii="宋体" w:hAnsi="宋体" w:eastAsia="宋体" w:cs="宋体"/>
          <w:color w:val="D50E00"/>
          <w:spacing w:val="17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1"/>
          <w:sz w:val="47"/>
          <w:szCs w:val="47"/>
        </w:rPr>
        <w:t>省</w:t>
      </w:r>
      <w:r>
        <w:rPr>
          <w:rFonts w:ascii="宋体" w:hAnsi="宋体" w:eastAsia="宋体" w:cs="宋体"/>
          <w:color w:val="D50E00"/>
          <w:spacing w:val="168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1"/>
          <w:sz w:val="47"/>
          <w:szCs w:val="47"/>
        </w:rPr>
        <w:t>文</w:t>
      </w:r>
      <w:r>
        <w:rPr>
          <w:rFonts w:ascii="宋体" w:hAnsi="宋体" w:eastAsia="宋体" w:cs="宋体"/>
          <w:color w:val="D50E00"/>
          <w:spacing w:val="14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1"/>
          <w:sz w:val="47"/>
          <w:szCs w:val="47"/>
        </w:rPr>
        <w:t>化</w:t>
      </w:r>
      <w:r>
        <w:rPr>
          <w:rFonts w:ascii="宋体" w:hAnsi="宋体" w:eastAsia="宋体" w:cs="宋体"/>
          <w:color w:val="D50E00"/>
          <w:spacing w:val="18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1"/>
          <w:sz w:val="47"/>
          <w:szCs w:val="47"/>
        </w:rPr>
        <w:t>和</w:t>
      </w:r>
      <w:r>
        <w:rPr>
          <w:rFonts w:ascii="宋体" w:hAnsi="宋体" w:eastAsia="宋体" w:cs="宋体"/>
          <w:color w:val="D50E00"/>
          <w:spacing w:val="12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1"/>
          <w:sz w:val="47"/>
          <w:szCs w:val="47"/>
        </w:rPr>
        <w:t>旅</w:t>
      </w:r>
      <w:r>
        <w:rPr>
          <w:rFonts w:ascii="宋体" w:hAnsi="宋体" w:eastAsia="宋体" w:cs="宋体"/>
          <w:color w:val="D50E00"/>
          <w:spacing w:val="15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1"/>
          <w:sz w:val="47"/>
          <w:szCs w:val="47"/>
        </w:rPr>
        <w:t>游</w:t>
      </w:r>
      <w:r>
        <w:rPr>
          <w:rFonts w:ascii="宋体" w:hAnsi="宋体" w:eastAsia="宋体" w:cs="宋体"/>
          <w:color w:val="D50E00"/>
          <w:spacing w:val="14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1"/>
          <w:sz w:val="47"/>
          <w:szCs w:val="47"/>
        </w:rPr>
        <w:t>厅</w:t>
      </w:r>
      <w:r>
        <w:rPr>
          <w:rFonts w:ascii="宋体" w:hAnsi="宋体" w:eastAsia="宋体" w:cs="宋体"/>
          <w:color w:val="D50E0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陕</w:t>
      </w:r>
      <w:r>
        <w:rPr>
          <w:rFonts w:ascii="宋体" w:hAnsi="宋体" w:eastAsia="宋体" w:cs="宋体"/>
          <w:color w:val="D50E00"/>
          <w:spacing w:val="7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西</w:t>
      </w:r>
      <w:r>
        <w:rPr>
          <w:rFonts w:ascii="宋体" w:hAnsi="宋体" w:eastAsia="宋体" w:cs="宋体"/>
          <w:color w:val="D50E00"/>
          <w:spacing w:val="68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省</w:t>
      </w:r>
      <w:r>
        <w:rPr>
          <w:rFonts w:ascii="宋体" w:hAnsi="宋体" w:eastAsia="宋体" w:cs="宋体"/>
          <w:color w:val="D50E00"/>
          <w:spacing w:val="7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市</w:t>
      </w:r>
      <w:r>
        <w:rPr>
          <w:rFonts w:ascii="宋体" w:hAnsi="宋体" w:eastAsia="宋体" w:cs="宋体"/>
          <w:color w:val="D50E00"/>
          <w:spacing w:val="6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场</w:t>
      </w:r>
      <w:r>
        <w:rPr>
          <w:rFonts w:ascii="宋体" w:hAnsi="宋体" w:eastAsia="宋体" w:cs="宋体"/>
          <w:color w:val="D50E00"/>
          <w:spacing w:val="6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监</w:t>
      </w:r>
      <w:r>
        <w:rPr>
          <w:rFonts w:ascii="宋体" w:hAnsi="宋体" w:eastAsia="宋体" w:cs="宋体"/>
          <w:color w:val="D50E00"/>
          <w:spacing w:val="7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督</w:t>
      </w:r>
      <w:r>
        <w:rPr>
          <w:rFonts w:ascii="宋体" w:hAnsi="宋体" w:eastAsia="宋体" w:cs="宋体"/>
          <w:color w:val="D50E00"/>
          <w:spacing w:val="7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管</w:t>
      </w:r>
      <w:r>
        <w:rPr>
          <w:rFonts w:ascii="宋体" w:hAnsi="宋体" w:eastAsia="宋体" w:cs="宋体"/>
          <w:color w:val="D50E00"/>
          <w:spacing w:val="6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理</w:t>
      </w:r>
      <w:r>
        <w:rPr>
          <w:rFonts w:ascii="宋体" w:hAnsi="宋体" w:eastAsia="宋体" w:cs="宋体"/>
          <w:color w:val="D50E00"/>
          <w:spacing w:val="6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3"/>
          <w:sz w:val="47"/>
          <w:szCs w:val="47"/>
        </w:rPr>
        <w:t>局</w:t>
      </w:r>
      <w:r>
        <w:rPr>
          <w:rFonts w:ascii="宋体" w:hAnsi="宋体" w:eastAsia="宋体" w:cs="宋体"/>
          <w:color w:val="D50E0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7"/>
          <w:sz w:val="47"/>
          <w:szCs w:val="47"/>
        </w:rPr>
        <w:t>陕</w:t>
      </w:r>
      <w:r>
        <w:rPr>
          <w:rFonts w:ascii="宋体" w:hAnsi="宋体" w:eastAsia="宋体" w:cs="宋体"/>
          <w:color w:val="D50E00"/>
          <w:spacing w:val="74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7"/>
          <w:sz w:val="47"/>
          <w:szCs w:val="47"/>
        </w:rPr>
        <w:t>西</w:t>
      </w:r>
      <w:r>
        <w:rPr>
          <w:rFonts w:ascii="宋体" w:hAnsi="宋体" w:eastAsia="宋体" w:cs="宋体"/>
          <w:color w:val="D50E00"/>
          <w:spacing w:val="65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7"/>
          <w:sz w:val="47"/>
          <w:szCs w:val="47"/>
        </w:rPr>
        <w:t>省</w:t>
      </w:r>
      <w:r>
        <w:rPr>
          <w:rFonts w:ascii="宋体" w:hAnsi="宋体" w:eastAsia="宋体" w:cs="宋体"/>
          <w:color w:val="D50E00"/>
          <w:spacing w:val="63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7"/>
          <w:sz w:val="47"/>
          <w:szCs w:val="47"/>
        </w:rPr>
        <w:t>体</w:t>
      </w:r>
      <w:r>
        <w:rPr>
          <w:rFonts w:ascii="宋体" w:hAnsi="宋体" w:eastAsia="宋体" w:cs="宋体"/>
          <w:color w:val="D50E00"/>
          <w:spacing w:val="61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7"/>
          <w:sz w:val="47"/>
          <w:szCs w:val="47"/>
        </w:rPr>
        <w:t>育</w:t>
      </w:r>
      <w:r>
        <w:rPr>
          <w:rFonts w:ascii="宋体" w:hAnsi="宋体" w:eastAsia="宋体" w:cs="宋体"/>
          <w:color w:val="D50E00"/>
          <w:spacing w:val="71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color w:val="D50E00"/>
          <w:spacing w:val="-37"/>
          <w:sz w:val="47"/>
          <w:szCs w:val="47"/>
        </w:rPr>
        <w:t>局</w:t>
      </w:r>
      <w:r>
        <w:rPr>
          <w:rFonts w:ascii="宋体" w:hAnsi="宋体" w:eastAsia="宋体" w:cs="宋体"/>
          <w:color w:val="D50E00"/>
          <w:spacing w:val="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国</w:t>
      </w:r>
      <w:r>
        <w:rPr>
          <w:rFonts w:ascii="宋体" w:hAnsi="宋体" w:eastAsia="宋体" w:cs="宋体"/>
          <w:color w:val="D50E00"/>
          <w:spacing w:val="-6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家</w:t>
      </w:r>
      <w:r>
        <w:rPr>
          <w:rFonts w:ascii="宋体" w:hAnsi="宋体" w:eastAsia="宋体" w:cs="宋体"/>
          <w:color w:val="D50E00"/>
          <w:spacing w:val="-75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税</w:t>
      </w:r>
      <w:r>
        <w:rPr>
          <w:rFonts w:ascii="宋体" w:hAnsi="宋体" w:eastAsia="宋体" w:cs="宋体"/>
          <w:color w:val="D50E00"/>
          <w:spacing w:val="-7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务</w:t>
      </w:r>
      <w:r>
        <w:rPr>
          <w:rFonts w:ascii="宋体" w:hAnsi="宋体" w:eastAsia="宋体" w:cs="宋体"/>
          <w:color w:val="D50E00"/>
          <w:spacing w:val="-6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总</w:t>
      </w:r>
      <w:r>
        <w:rPr>
          <w:rFonts w:ascii="宋体" w:hAnsi="宋体" w:eastAsia="宋体" w:cs="宋体"/>
          <w:color w:val="D50E00"/>
          <w:spacing w:val="-68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局</w:t>
      </w:r>
      <w:r>
        <w:rPr>
          <w:rFonts w:ascii="宋体" w:hAnsi="宋体" w:eastAsia="宋体" w:cs="宋体"/>
          <w:color w:val="D50E00"/>
          <w:spacing w:val="-3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陕</w:t>
      </w:r>
      <w:r>
        <w:rPr>
          <w:rFonts w:ascii="宋体" w:hAnsi="宋体" w:eastAsia="宋体" w:cs="宋体"/>
          <w:color w:val="D50E00"/>
          <w:spacing w:val="-6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西</w:t>
      </w:r>
      <w:r>
        <w:rPr>
          <w:rFonts w:ascii="宋体" w:hAnsi="宋体" w:eastAsia="宋体" w:cs="宋体"/>
          <w:color w:val="D50E00"/>
          <w:spacing w:val="-66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省</w:t>
      </w:r>
      <w:r>
        <w:rPr>
          <w:rFonts w:ascii="宋体" w:hAnsi="宋体" w:eastAsia="宋体" w:cs="宋体"/>
          <w:color w:val="D50E00"/>
          <w:spacing w:val="-76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税</w:t>
      </w:r>
      <w:r>
        <w:rPr>
          <w:rFonts w:ascii="宋体" w:hAnsi="宋体" w:eastAsia="宋体" w:cs="宋体"/>
          <w:color w:val="D50E00"/>
          <w:spacing w:val="-7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务</w:t>
      </w:r>
      <w:r>
        <w:rPr>
          <w:rFonts w:ascii="宋体" w:hAnsi="宋体" w:eastAsia="宋体" w:cs="宋体"/>
          <w:color w:val="D50E00"/>
          <w:spacing w:val="-68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35"/>
          <w:sz w:val="47"/>
          <w:szCs w:val="47"/>
        </w:rPr>
        <w:t>局</w:t>
      </w:r>
      <w:r>
        <w:rPr>
          <w:rFonts w:ascii="宋体" w:hAnsi="宋体" w:eastAsia="宋体" w:cs="宋体"/>
          <w:color w:val="D50E0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42"/>
          <w:sz w:val="47"/>
          <w:szCs w:val="47"/>
        </w:rPr>
        <w:t>中</w:t>
      </w:r>
      <w:r>
        <w:rPr>
          <w:rFonts w:ascii="宋体" w:hAnsi="宋体" w:eastAsia="宋体" w:cs="宋体"/>
          <w:color w:val="D50E00"/>
          <w:spacing w:val="11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42"/>
          <w:sz w:val="47"/>
          <w:szCs w:val="47"/>
        </w:rPr>
        <w:t>国</w:t>
      </w:r>
      <w:r>
        <w:rPr>
          <w:rFonts w:ascii="宋体" w:hAnsi="宋体" w:eastAsia="宋体" w:cs="宋体"/>
          <w:color w:val="D50E00"/>
          <w:spacing w:val="66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42"/>
          <w:sz w:val="47"/>
          <w:szCs w:val="47"/>
        </w:rPr>
        <w:t>人</w:t>
      </w:r>
      <w:r>
        <w:rPr>
          <w:rFonts w:ascii="宋体" w:hAnsi="宋体" w:eastAsia="宋体" w:cs="宋体"/>
          <w:color w:val="D50E00"/>
          <w:spacing w:val="10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42"/>
          <w:sz w:val="47"/>
          <w:szCs w:val="47"/>
        </w:rPr>
        <w:t>民</w:t>
      </w:r>
      <w:r>
        <w:rPr>
          <w:rFonts w:ascii="宋体" w:hAnsi="宋体" w:eastAsia="宋体" w:cs="宋体"/>
          <w:color w:val="D50E00"/>
          <w:spacing w:val="6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42"/>
          <w:sz w:val="47"/>
          <w:szCs w:val="47"/>
        </w:rPr>
        <w:t>银</w:t>
      </w:r>
      <w:r>
        <w:rPr>
          <w:rFonts w:ascii="宋体" w:hAnsi="宋体" w:eastAsia="宋体" w:cs="宋体"/>
          <w:color w:val="D50E00"/>
          <w:spacing w:val="7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42"/>
          <w:sz w:val="47"/>
          <w:szCs w:val="47"/>
        </w:rPr>
        <w:t>行</w:t>
      </w:r>
      <w:r>
        <w:rPr>
          <w:rFonts w:ascii="宋体" w:hAnsi="宋体" w:eastAsia="宋体" w:cs="宋体"/>
          <w:color w:val="D50E00"/>
          <w:spacing w:val="7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42"/>
          <w:sz w:val="47"/>
          <w:szCs w:val="47"/>
        </w:rPr>
        <w:t>西</w:t>
      </w:r>
      <w:r>
        <w:rPr>
          <w:rFonts w:ascii="宋体" w:hAnsi="宋体" w:eastAsia="宋体" w:cs="宋体"/>
          <w:color w:val="D50E00"/>
          <w:spacing w:val="7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42"/>
          <w:sz w:val="47"/>
          <w:szCs w:val="47"/>
        </w:rPr>
        <w:t>安</w:t>
      </w:r>
      <w:r>
        <w:rPr>
          <w:rFonts w:ascii="宋体" w:hAnsi="宋体" w:eastAsia="宋体" w:cs="宋体"/>
          <w:color w:val="D50E00"/>
          <w:spacing w:val="6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42"/>
          <w:sz w:val="47"/>
          <w:szCs w:val="47"/>
        </w:rPr>
        <w:t>分</w:t>
      </w:r>
      <w:r>
        <w:rPr>
          <w:rFonts w:ascii="宋体" w:hAnsi="宋体" w:eastAsia="宋体" w:cs="宋体"/>
          <w:color w:val="D50E00"/>
          <w:spacing w:val="7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42"/>
          <w:sz w:val="47"/>
          <w:szCs w:val="47"/>
        </w:rPr>
        <w:t>行</w:t>
      </w:r>
      <w:r>
        <w:rPr>
          <w:rFonts w:ascii="宋体" w:hAnsi="宋体" w:eastAsia="宋体" w:cs="宋体"/>
          <w:color w:val="D50E0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color w:val="D50E00"/>
          <w:spacing w:val="-45"/>
          <w:w w:val="93"/>
          <w:sz w:val="47"/>
          <w:szCs w:val="47"/>
        </w:rPr>
        <w:t>中国银行保险监督管理委员会陕西监管局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11" w:line="223" w:lineRule="auto"/>
        <w:ind w:left="29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陕教规范〔2022〕4号</w:t>
      </w:r>
    </w:p>
    <w:p>
      <w:pPr>
        <w:spacing w:before="56" w:line="30" w:lineRule="exact"/>
        <w:textAlignment w:val="center"/>
      </w:pPr>
      <w:r>
        <w:drawing>
          <wp:inline distT="0" distB="0" distL="0" distR="0">
            <wp:extent cx="5561965" cy="184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2585" cy="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53" w:line="219" w:lineRule="auto"/>
        <w:ind w:left="214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14"/>
          <w:sz w:val="47"/>
          <w:szCs w:val="47"/>
        </w:rPr>
        <w:t>陕西省教育厅等10部门</w:t>
      </w:r>
    </w:p>
    <w:p>
      <w:pPr>
        <w:spacing w:before="209" w:line="219" w:lineRule="auto"/>
        <w:ind w:left="72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40"/>
          <w:sz w:val="47"/>
          <w:szCs w:val="47"/>
        </w:rPr>
        <w:t>关于印发《陕西省校外培训机构预收费</w:t>
      </w:r>
    </w:p>
    <w:p>
      <w:pPr>
        <w:spacing w:before="215" w:line="219" w:lineRule="auto"/>
        <w:ind w:left="22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8"/>
          <w:sz w:val="47"/>
          <w:szCs w:val="47"/>
        </w:rPr>
        <w:t>监管暂行办法》的通知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11" w:line="321" w:lineRule="auto"/>
        <w:ind w:left="11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各设区市、杨凌示范区、韩城市、神木市、府谷县教育(教体)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局、发展改革委(局)神木市、府谷县发展改革和科技局、科技</w:t>
      </w:r>
    </w:p>
    <w:p>
      <w:pPr>
        <w:spacing w:before="1" w:line="222" w:lineRule="auto"/>
        <w:ind w:left="1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局、公安局、文化和旅游局、市场监管局、体育局、税务局，人</w:t>
      </w:r>
    </w:p>
    <w:p>
      <w:pPr>
        <w:spacing w:before="294" w:line="184" w:lineRule="auto"/>
        <w:ind w:right="316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—</w:t>
      </w:r>
      <w:r>
        <w:rPr>
          <w:rFonts w:ascii="宋体" w:hAnsi="宋体" w:eastAsia="宋体" w:cs="宋体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1—</w:t>
      </w:r>
    </w:p>
    <w:p>
      <w:pPr>
        <w:sectPr>
          <w:pgSz w:w="11750" w:h="16830"/>
          <w:pgMar w:top="1430" w:right="1397" w:bottom="0" w:left="1429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5" w:line="600" w:lineRule="exact"/>
        <w:ind w:left="1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position w:val="23"/>
          <w:sz w:val="29"/>
          <w:szCs w:val="29"/>
        </w:rPr>
        <w:t>民银行西安分行营业管理部、陕西省各中心支行、杨凌支行，各</w:t>
      </w:r>
    </w:p>
    <w:p>
      <w:pPr>
        <w:spacing w:before="1" w:line="220" w:lineRule="auto"/>
        <w:ind w:left="1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银保监分局：</w:t>
      </w:r>
    </w:p>
    <w:p>
      <w:pPr>
        <w:spacing w:before="223" w:line="375" w:lineRule="auto"/>
        <w:ind w:left="199" w:right="392" w:firstLine="66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为进一步规范我省校外培训机构办学行为，全面加强校外</w:t>
      </w:r>
      <w:r>
        <w:rPr>
          <w:rFonts w:ascii="仿宋" w:hAnsi="仿宋" w:eastAsia="仿宋" w:cs="仿宋"/>
          <w:spacing w:val="17"/>
          <w:sz w:val="29"/>
          <w:szCs w:val="29"/>
        </w:rPr>
        <w:t>培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>训机构预收费监管工作，现将《陕西省校外培训机构预收费监</w:t>
      </w:r>
      <w:r>
        <w:rPr>
          <w:rFonts w:ascii="仿宋" w:hAnsi="仿宋" w:eastAsia="仿宋" w:cs="仿宋"/>
          <w:spacing w:val="18"/>
          <w:sz w:val="29"/>
          <w:szCs w:val="29"/>
        </w:rPr>
        <w:t>管</w:t>
      </w:r>
    </w:p>
    <w:p>
      <w:pPr>
        <w:spacing w:line="220" w:lineRule="auto"/>
        <w:ind w:left="1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暂行办法》印发给你们，请认真贯彻落实。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4" w:line="222" w:lineRule="auto"/>
        <w:ind w:left="2849"/>
        <w:rPr>
          <w:rFonts w:ascii="仿宋" w:hAnsi="仿宋" w:eastAsia="仿宋" w:cs="仿宋"/>
          <w:sz w:val="29"/>
          <w:szCs w:val="29"/>
        </w:rPr>
      </w:pPr>
      <w:r>
        <w:pict>
          <v:shape id="_x0000_s1027" o:spid="_x0000_s1027" o:spt="202" type="#_x0000_t202" style="position:absolute;left:0pt;margin-left:23.45pt;margin-top:3.7pt;height:19.5pt;width:91.9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29"/>
                      <w:szCs w:val="29"/>
                    </w:rPr>
                  </w:pPr>
                  <w:r>
                    <w:rPr>
                      <w:rFonts w:ascii="仿宋" w:hAnsi="仿宋" w:eastAsia="仿宋" w:cs="仿宋"/>
                      <w:spacing w:val="9"/>
                      <w:sz w:val="29"/>
                      <w:szCs w:val="29"/>
                    </w:rPr>
                    <w:t>陕西省教育厅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28.95pt;margin-top:4.7pt;height:19.5pt;width:114.4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29"/>
                      <w:szCs w:val="29"/>
                    </w:rPr>
                  </w:pPr>
                  <w:r>
                    <w:rPr>
                      <w:rFonts w:ascii="仿宋" w:hAnsi="仿宋" w:eastAsia="仿宋" w:cs="仿宋"/>
                      <w:spacing w:val="-8"/>
                      <w:sz w:val="29"/>
                      <w:szCs w:val="29"/>
                    </w:rPr>
                    <w:t>陕西省科学技术厅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0"/>
          <w:sz w:val="29"/>
          <w:szCs w:val="29"/>
        </w:rPr>
        <w:t>陕西省发展和改革委员会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5" w:line="222" w:lineRule="auto"/>
        <w:ind w:right="414"/>
        <w:jc w:val="right"/>
        <w:rPr>
          <w:rFonts w:ascii="仿宋" w:hAnsi="仿宋" w:eastAsia="仿宋" w:cs="仿宋"/>
          <w:sz w:val="29"/>
          <w:szCs w:val="29"/>
        </w:rPr>
      </w:pPr>
      <w:r>
        <w:pict>
          <v:shape id="_x0000_s1029" o:spid="_x0000_s1029" o:spt="202" type="#_x0000_t202" style="position:absolute;left:0pt;margin-left:145pt;margin-top:3.7pt;height:19.5pt;width:122.8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29"/>
                      <w:szCs w:val="29"/>
                    </w:rPr>
                  </w:pPr>
                  <w:r>
                    <w:rPr>
                      <w:rFonts w:ascii="仿宋" w:hAnsi="仿宋" w:eastAsia="仿宋" w:cs="仿宋"/>
                      <w:spacing w:val="-22"/>
                      <w:sz w:val="29"/>
                      <w:szCs w:val="29"/>
                    </w:rPr>
                    <w:t>陕西省文化和旅游厅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24.95pt;margin-top:3.75pt;height:19.55pt;width:83.4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29"/>
                      <w:szCs w:val="29"/>
                    </w:rPr>
                  </w:pPr>
                  <w:r>
                    <w:rPr>
                      <w:rFonts w:ascii="仿宋" w:hAnsi="仿宋" w:eastAsia="仿宋" w:cs="仿宋"/>
                      <w:spacing w:val="-16"/>
                      <w:sz w:val="29"/>
                      <w:szCs w:val="29"/>
                    </w:rPr>
                    <w:t>陕西省公安厅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9"/>
          <w:sz w:val="29"/>
          <w:szCs w:val="29"/>
        </w:rPr>
        <w:t>陕西省市场监督管理局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5" w:line="222" w:lineRule="auto"/>
        <w:ind w:left="4119"/>
        <w:rPr>
          <w:rFonts w:ascii="仿宋" w:hAnsi="仿宋" w:eastAsia="仿宋" w:cs="仿宋"/>
          <w:sz w:val="29"/>
          <w:szCs w:val="29"/>
        </w:rPr>
      </w:pPr>
      <w:r>
        <w:pict>
          <v:shape id="_x0000_s1031" o:spid="_x0000_s1031" o:spt="202" type="#_x0000_t202" style="position:absolute;left:0pt;margin-left:22.95pt;margin-top:4.25pt;height:19.5pt;width:91.9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29"/>
                      <w:szCs w:val="29"/>
                    </w:rPr>
                  </w:pPr>
                  <w:r>
                    <w:rPr>
                      <w:rFonts w:ascii="仿宋" w:hAnsi="仿宋" w:eastAsia="仿宋" w:cs="仿宋"/>
                      <w:spacing w:val="9"/>
                      <w:sz w:val="29"/>
                      <w:szCs w:val="29"/>
                    </w:rPr>
                    <w:t>陕西省体育局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2"/>
          <w:sz w:val="29"/>
          <w:szCs w:val="29"/>
        </w:rPr>
        <w:t>国家税务总局陕西省税务局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78" w:line="180" w:lineRule="auto"/>
        <w:ind w:left="14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</w:rPr>
        <w:t>—</w:t>
      </w:r>
      <w:r>
        <w:rPr>
          <w:rFonts w:ascii="仿宋" w:hAnsi="仿宋" w:eastAsia="仿宋" w:cs="仿宋"/>
          <w:spacing w:val="9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2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.</w:t>
      </w:r>
      <w:r>
        <w:rPr>
          <w:rFonts w:ascii="仿宋" w:hAnsi="仿宋" w:eastAsia="仿宋" w:cs="仿宋"/>
          <w:spacing w:val="-5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一</w:t>
      </w:r>
    </w:p>
    <w:p>
      <w:pPr>
        <w:sectPr>
          <w:pgSz w:w="11770" w:h="16830"/>
          <w:pgMar w:top="1430" w:right="1120" w:bottom="0" w:left="1380" w:header="0" w:footer="0" w:gutter="0"/>
          <w:cols w:space="720" w:num="1"/>
        </w:sectPr>
      </w:pPr>
    </w:p>
    <w:p/>
    <w:p/>
    <w:p/>
    <w:p/>
    <w:p>
      <w:pPr>
        <w:spacing w:line="118" w:lineRule="exact"/>
      </w:pPr>
    </w:p>
    <w:p>
      <w:pPr>
        <w:sectPr>
          <w:footerReference r:id="rId5" w:type="default"/>
          <w:pgSz w:w="11730" w:h="16810"/>
          <w:pgMar w:top="1428" w:right="1544" w:bottom="1756" w:left="1759" w:header="0" w:footer="1478" w:gutter="0"/>
          <w:cols w:equalWidth="0" w:num="1">
            <w:col w:w="8426"/>
          </w:cols>
        </w:sectPr>
      </w:pPr>
      <w:bookmarkStart w:id="0" w:name="_GoBack"/>
      <w:bookmarkEnd w:id="0"/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1" w:lineRule="auto"/>
        <w:ind w:left="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中国人民银行西安分行</w:t>
      </w:r>
    </w:p>
    <w:p/>
    <w:p/>
    <w:p/>
    <w:p>
      <w:pPr>
        <w:spacing w:line="113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中国银行保险监督管理委员会陕西监管局</w:t>
      </w:r>
    </w:p>
    <w:p>
      <w:pPr>
        <w:spacing w:before="257" w:line="222" w:lineRule="auto"/>
        <w:ind w:left="9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2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0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2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2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年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1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0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月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1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9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日</w:t>
      </w:r>
    </w:p>
    <w:p>
      <w:pPr>
        <w:sectPr>
          <w:type w:val="continuous"/>
          <w:pgSz w:w="11730" w:h="16810"/>
          <w:pgMar w:top="1428" w:right="1544" w:bottom="1756" w:left="1759" w:header="0" w:footer="1478" w:gutter="0"/>
          <w:cols w:equalWidth="0" w:num="2">
            <w:col w:w="3431" w:space="100"/>
            <w:col w:w="4896"/>
          </w:cols>
        </w:sectPr>
      </w:pPr>
    </w:p>
    <w:p>
      <w:pPr>
        <w:spacing w:line="427" w:lineRule="auto"/>
        <w:rPr>
          <w:rFonts w:ascii="Arial"/>
          <w:sz w:val="21"/>
        </w:rPr>
      </w:pPr>
    </w:p>
    <w:p>
      <w:pPr>
        <w:spacing w:before="111" w:line="189" w:lineRule="auto"/>
        <w:ind w:left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sz w:val="34"/>
          <w:szCs w:val="34"/>
        </w:rPr>
        <w:t>(主动公开，2—57〔2022〕4号)</w:t>
      </w:r>
    </w:p>
    <w:p>
      <w:pPr>
        <w:sectPr>
          <w:type w:val="continuous"/>
          <w:pgSz w:w="11730" w:h="16810"/>
          <w:pgMar w:top="1428" w:right="1544" w:bottom="1756" w:left="1759" w:header="0" w:footer="1478" w:gutter="0"/>
          <w:cols w:equalWidth="0" w:num="1">
            <w:col w:w="8426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19" w:lineRule="auto"/>
        <w:ind w:left="5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陕西省校外培训机构预收费监管暂行办法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8" w:line="357" w:lineRule="auto"/>
        <w:ind w:left="29" w:right="72" w:firstLine="5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第一条</w:t>
      </w:r>
      <w:r>
        <w:rPr>
          <w:rFonts w:ascii="仿宋" w:hAnsi="仿宋" w:eastAsia="仿宋" w:cs="仿宋"/>
          <w:spacing w:val="1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为依法规范我省校外培训机构办学行为，有效防范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校外培训机构“退费难”“卷钱跑路”等问题发生，维护学生、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家长和校外培训机构的合法权益，根据国家有关法律法规和《中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共中央办公厅国务院办公厅关于进一步减轻义务教育阶段学生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作业负担和校外培训负担的意见》、教育部等六部门《关于加强 校外培训机构预收费监管工作的通知》和陕西省《关于进一步减 </w:t>
      </w:r>
      <w:r>
        <w:rPr>
          <w:rFonts w:ascii="仿宋" w:hAnsi="仿宋" w:eastAsia="仿宋" w:cs="仿宋"/>
          <w:spacing w:val="17"/>
          <w:sz w:val="30"/>
          <w:szCs w:val="30"/>
        </w:rPr>
        <w:t>轻义务教育阶段学生作业负担和校外培训负担的工作方案》等</w:t>
      </w:r>
    </w:p>
    <w:p>
      <w:pPr>
        <w:spacing w:line="221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文件精神，结合实际制定本办法。</w:t>
      </w:r>
    </w:p>
    <w:p>
      <w:pPr>
        <w:spacing w:before="217" w:line="358" w:lineRule="auto"/>
        <w:ind w:left="29" w:right="144" w:firstLine="6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</w:rPr>
        <w:t>第二条</w:t>
      </w:r>
      <w:r>
        <w:rPr>
          <w:rFonts w:ascii="仿宋" w:hAnsi="仿宋" w:eastAsia="仿宋" w:cs="仿宋"/>
          <w:spacing w:val="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本办法适用于在我省范围内审批登记的面向中小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学生(含3至6岁学龄前儿童)开展校外培训的机构</w:t>
      </w:r>
      <w:r>
        <w:rPr>
          <w:rFonts w:ascii="仿宋" w:hAnsi="仿宋" w:eastAsia="仿宋" w:cs="仿宋"/>
          <w:spacing w:val="32"/>
          <w:sz w:val="30"/>
          <w:szCs w:val="30"/>
        </w:rPr>
        <w:t>(包括线上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和线下)。预收费是指校外培训机构预先收取的学员培训服务费</w:t>
      </w:r>
    </w:p>
    <w:p>
      <w:pPr>
        <w:spacing w:before="2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用。</w:t>
      </w:r>
    </w:p>
    <w:p>
      <w:pPr>
        <w:spacing w:before="210" w:line="357" w:lineRule="auto"/>
        <w:ind w:left="29" w:right="19" w:firstLine="6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第三条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校外培训机构预收费实行属地监管原则。学科类和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非学科类校外培训机构预收费应全额纳入监管范围，包括</w:t>
      </w:r>
      <w:r>
        <w:rPr>
          <w:rFonts w:ascii="仿宋" w:hAnsi="仿宋" w:eastAsia="仿宋" w:cs="仿宋"/>
          <w:spacing w:val="8"/>
          <w:sz w:val="30"/>
          <w:szCs w:val="30"/>
        </w:rPr>
        <w:t>本办法</w:t>
      </w:r>
    </w:p>
    <w:p>
      <w:pPr>
        <w:spacing w:line="220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发布前已收取但未完成培训服务的预收费资金。</w:t>
      </w:r>
    </w:p>
    <w:p>
      <w:pPr>
        <w:spacing w:before="221" w:line="357" w:lineRule="auto"/>
        <w:ind w:left="29" w:firstLine="6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第四条</w:t>
      </w:r>
      <w:r>
        <w:rPr>
          <w:rFonts w:ascii="仿宋" w:hAnsi="仿宋" w:eastAsia="仿宋" w:cs="仿宋"/>
          <w:spacing w:val="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严格执行教育收费公示制度。收费项目与标准应在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培训机构办学场所、网站等显著位置进行公示，并</w:t>
      </w:r>
      <w:r>
        <w:rPr>
          <w:rFonts w:ascii="仿宋" w:hAnsi="仿宋" w:eastAsia="仿宋" w:cs="仿宋"/>
          <w:spacing w:val="10"/>
          <w:sz w:val="30"/>
          <w:szCs w:val="30"/>
        </w:rPr>
        <w:t>在培训服务前</w:t>
      </w:r>
    </w:p>
    <w:p>
      <w:pPr>
        <w:spacing w:before="1" w:line="219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向学员明示。不得在公示的项目和标准外收取其他费用，不得以</w:t>
      </w:r>
    </w:p>
    <w:p>
      <w:pPr>
        <w:spacing w:before="334" w:line="590" w:lineRule="exact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1"/>
          <w:sz w:val="30"/>
          <w:szCs w:val="30"/>
        </w:rPr>
        <w:t>任何名义向学员摊派费用或者强制收费。禁止</w:t>
      </w:r>
      <w:r>
        <w:rPr>
          <w:rFonts w:ascii="仿宋" w:hAnsi="仿宋" w:eastAsia="仿宋" w:cs="仿宋"/>
          <w:spacing w:val="10"/>
          <w:position w:val="21"/>
          <w:sz w:val="30"/>
          <w:szCs w:val="30"/>
        </w:rPr>
        <w:t>以虚构原价、虚假</w:t>
      </w:r>
    </w:p>
    <w:p>
      <w:pPr>
        <w:spacing w:before="1" w:line="220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折扣、虚假宣传等方式进行不正当竞争，禁止任何形式的价格欺</w:t>
      </w:r>
    </w:p>
    <w:p>
      <w:pPr>
        <w:sectPr>
          <w:footerReference r:id="rId6" w:type="default"/>
          <w:pgSz w:w="11750" w:h="16740"/>
          <w:pgMar w:top="1422" w:right="1477" w:bottom="1790" w:left="1509" w:header="0" w:footer="1492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7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诈行为。</w:t>
      </w:r>
    </w:p>
    <w:p>
      <w:pPr>
        <w:spacing w:before="215" w:line="358" w:lineRule="auto"/>
        <w:ind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第五条</w:t>
      </w:r>
      <w:r>
        <w:rPr>
          <w:rFonts w:ascii="仿宋" w:hAnsi="仿宋" w:eastAsia="仿宋" w:cs="仿宋"/>
          <w:spacing w:val="10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收费时段与教学安排应协调一致。按培训周期收费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的，不得一次性收取时间跨度超过3个月的费用；按课时收费的，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每科不得一次性收取或变相收取超过60课时的费用。按周期收费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和按课时收费同时进行的，只能选择收费时段较短的方式，不得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以充值、次卡等形式变相收取超过3个月的费用。不得使用培训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贷方式缴纳培训费用。</w:t>
      </w:r>
    </w:p>
    <w:p>
      <w:pPr>
        <w:spacing w:before="212" w:line="357" w:lineRule="auto"/>
        <w:ind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4"/>
          <w:sz w:val="30"/>
          <w:szCs w:val="30"/>
        </w:rPr>
        <w:t>第六条</w:t>
      </w:r>
      <w:r>
        <w:rPr>
          <w:rFonts w:ascii="仿宋" w:hAnsi="仿宋" w:eastAsia="仿宋" w:cs="仿宋"/>
          <w:spacing w:val="1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校外培训机构应当自主选择所在县(市、区)内符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合条件的银行，在主管部门指导下设立预收费专用账</w:t>
      </w:r>
      <w:r>
        <w:rPr>
          <w:rFonts w:ascii="仿宋" w:hAnsi="仿宋" w:eastAsia="仿宋" w:cs="仿宋"/>
          <w:spacing w:val="11"/>
          <w:sz w:val="30"/>
          <w:szCs w:val="30"/>
        </w:rPr>
        <w:t>户，并将预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收费资金与其自有资金分账管理。校外培训预收费须全部进入专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用账户，不得使用本机构其他账户或非本机构账户收取培训费用，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以现金等形式收取的应于当日或次日全部归集至专用账户。对于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本办法发布前已收取但未完成培训服务的预收费资金，应于本办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法发布后15个工作日内全部划转至专用账户。银行根据有关规定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及协议约定，做好归集至专用账户的预收费资金的托管工作。银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行托管数据全部纳入全国校外教育培训监管与服务综合平台(以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下简称监管平台),实现动态监管，各地选用的资金监管合作银行应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与监管平台实现资金数据的实时同步。</w:t>
      </w:r>
    </w:p>
    <w:p>
      <w:pPr>
        <w:spacing w:before="219" w:line="389" w:lineRule="auto"/>
        <w:ind w:right="96"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第七条</w:t>
      </w:r>
      <w:r>
        <w:rPr>
          <w:rFonts w:ascii="仿宋" w:hAnsi="仿宋" w:eastAsia="仿宋" w:cs="仿宋"/>
          <w:spacing w:val="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校外培训机构开展培训应使用教育部、市场监管总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局制定的《中小学生校外培训服务合同(示范文本)》,严禁利用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不公平格式条款侵害学员合法权益。</w:t>
      </w:r>
    </w:p>
    <w:p>
      <w:pPr>
        <w:spacing w:before="225" w:line="220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第八条</w:t>
      </w:r>
      <w:r>
        <w:rPr>
          <w:rFonts w:ascii="仿宋" w:hAnsi="仿宋" w:eastAsia="仿宋" w:cs="仿宋"/>
          <w:spacing w:val="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校外培训机构应依法履行纳税义务，并按照国家有</w:t>
      </w:r>
    </w:p>
    <w:p>
      <w:pPr>
        <w:sectPr>
          <w:footerReference r:id="rId7" w:type="default"/>
          <w:pgSz w:w="11770" w:h="16840"/>
          <w:pgMar w:top="1431" w:right="1389" w:bottom="1788" w:left="1559" w:header="0" w:footer="1492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98" w:line="357" w:lineRule="auto"/>
        <w:ind w:right="7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关规定开具发票，不得以任何理由拒绝学员索票。发票内容应按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照实际销售情况如实开具，不得填开与实际交易不符的内容</w:t>
      </w:r>
      <w:r>
        <w:rPr>
          <w:rFonts w:ascii="仿宋" w:hAnsi="仿宋" w:eastAsia="仿宋" w:cs="仿宋"/>
          <w:spacing w:val="10"/>
          <w:sz w:val="30"/>
          <w:szCs w:val="30"/>
        </w:rPr>
        <w:t>，不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得以举办者或其他名义开具收付款凭证，不得以收款</w:t>
      </w:r>
      <w:r>
        <w:rPr>
          <w:rFonts w:ascii="仿宋" w:hAnsi="仿宋" w:eastAsia="仿宋" w:cs="仿宋"/>
          <w:spacing w:val="10"/>
          <w:sz w:val="30"/>
          <w:szCs w:val="30"/>
        </w:rPr>
        <w:t>收据等“白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条”替代收付款凭证。</w:t>
      </w:r>
    </w:p>
    <w:p>
      <w:pPr>
        <w:spacing w:before="236" w:line="357" w:lineRule="auto"/>
        <w:ind w:right="55" w:firstLine="6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第九条</w:t>
      </w:r>
      <w:r>
        <w:rPr>
          <w:rFonts w:ascii="仿宋" w:hAnsi="仿宋" w:eastAsia="仿宋" w:cs="仿宋"/>
          <w:spacing w:val="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校外培训机构因自身原因不能履行合同，应提</w:t>
      </w:r>
      <w:r>
        <w:rPr>
          <w:rFonts w:ascii="仿宋" w:hAnsi="仿宋" w:eastAsia="仿宋" w:cs="仿宋"/>
          <w:spacing w:val="11"/>
          <w:sz w:val="30"/>
          <w:szCs w:val="30"/>
        </w:rPr>
        <w:t>前一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个月告知学员，并全额退还剩余费用。学员申请退费的，校</w:t>
      </w:r>
      <w:r>
        <w:rPr>
          <w:rFonts w:ascii="仿宋" w:hAnsi="仿宋" w:eastAsia="仿宋" w:cs="仿宋"/>
          <w:spacing w:val="9"/>
          <w:sz w:val="30"/>
          <w:szCs w:val="30"/>
        </w:rPr>
        <w:t>外培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训机构应按培训合同的退费约定立即启动退费程序，及时完成退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费。学员在课程开始前提出退费的，校外培训机构原则上应在5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个工作日内按原渠道一次性退还所有费用。学员在课程开始后提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出退费的，应按已完成课时的比例扣除相应费用，其余费用原则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上应在15个工作日内按原渠道一次性退还。</w:t>
      </w:r>
      <w:r>
        <w:rPr>
          <w:rFonts w:ascii="仿宋" w:hAnsi="仿宋" w:eastAsia="仿宋" w:cs="仿宋"/>
          <w:spacing w:val="20"/>
          <w:sz w:val="30"/>
          <w:szCs w:val="30"/>
        </w:rPr>
        <w:t>合同条款另有约定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且不违反上述退费原则的除外。</w:t>
      </w:r>
    </w:p>
    <w:p>
      <w:pPr>
        <w:spacing w:before="251" w:line="357" w:lineRule="auto"/>
        <w:ind w:firstLine="6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第十条</w:t>
      </w:r>
      <w:r>
        <w:rPr>
          <w:rFonts w:ascii="仿宋" w:hAnsi="仿宋" w:eastAsia="仿宋" w:cs="仿宋"/>
          <w:spacing w:val="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经主管部门评估，对暂不能实行“消拨同步”的，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设立过渡期，采用风险保证金监管模式，过渡期原则上不超过一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年。校外培训机构实行预收费风险保证金托管的，培训机构要在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主管部门的指导下，与属地校外培训机构主管部门、托管银行</w:t>
      </w:r>
      <w:r>
        <w:rPr>
          <w:rFonts w:ascii="仿宋" w:hAnsi="仿宋" w:eastAsia="仿宋" w:cs="仿宋"/>
          <w:spacing w:val="9"/>
          <w:sz w:val="30"/>
          <w:szCs w:val="30"/>
        </w:rPr>
        <w:t>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定风险保证金托管三方协议，足额留存风险保</w:t>
      </w:r>
      <w:r>
        <w:rPr>
          <w:rFonts w:ascii="仿宋" w:hAnsi="仿宋" w:eastAsia="仿宋" w:cs="仿宋"/>
          <w:spacing w:val="10"/>
          <w:sz w:val="30"/>
          <w:szCs w:val="30"/>
        </w:rPr>
        <w:t>证金，由托管银行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托管，按协议约定定期拨付，风险保证金额度由主管部门负</w:t>
      </w:r>
      <w:r>
        <w:rPr>
          <w:rFonts w:ascii="仿宋" w:hAnsi="仿宋" w:eastAsia="仿宋" w:cs="仿宋"/>
          <w:spacing w:val="9"/>
          <w:sz w:val="30"/>
          <w:szCs w:val="30"/>
        </w:rPr>
        <w:t>责核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定，实行动态调整，并提供给托管银行，最低额度不得低于校外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培训机构收取的所有学员单个收费周期(3个月)的费用总金额，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总金额可按上年度培训机构收取所有学员单个收费周期费</w:t>
      </w:r>
      <w:r>
        <w:rPr>
          <w:rFonts w:ascii="仿宋" w:hAnsi="仿宋" w:eastAsia="仿宋" w:cs="仿宋"/>
          <w:spacing w:val="8"/>
          <w:sz w:val="30"/>
          <w:szCs w:val="30"/>
        </w:rPr>
        <w:t>用的平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均值测算。过渡期结束后，当日或次日释放风险保证金。</w:t>
      </w:r>
      <w:r>
        <w:rPr>
          <w:rFonts w:ascii="仿宋" w:hAnsi="仿宋" w:eastAsia="仿宋" w:cs="仿宋"/>
          <w:spacing w:val="8"/>
          <w:sz w:val="30"/>
          <w:szCs w:val="30"/>
        </w:rPr>
        <w:t>禁止校</w:t>
      </w:r>
    </w:p>
    <w:p>
      <w:pPr>
        <w:sectPr>
          <w:footerReference r:id="rId8" w:type="default"/>
          <w:pgSz w:w="11730" w:h="16830"/>
          <w:pgMar w:top="1430" w:right="1409" w:bottom="1780" w:left="1540" w:header="0" w:footer="1482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7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外培训机构用风险保证金进行融资担保。</w:t>
      </w:r>
    </w:p>
    <w:p>
      <w:pPr>
        <w:spacing w:before="219" w:line="359" w:lineRule="auto"/>
        <w:ind w:right="35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第十一条</w:t>
      </w:r>
      <w:r>
        <w:rPr>
          <w:rFonts w:ascii="仿宋" w:hAnsi="仿宋" w:eastAsia="仿宋" w:cs="仿宋"/>
          <w:spacing w:val="1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校外培训机构实行预收费全额银行托</w:t>
      </w:r>
      <w:r>
        <w:rPr>
          <w:rFonts w:ascii="仿宋" w:hAnsi="仿宋" w:eastAsia="仿宋" w:cs="仿宋"/>
          <w:spacing w:val="10"/>
          <w:sz w:val="30"/>
          <w:szCs w:val="30"/>
        </w:rPr>
        <w:t>管的，培训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机构要与属地校外培训机构主管部门、托管银行签定预收费专用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账户管理三方协议，明确三方的权利义务。托管协议签订之日起3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个工作日内，培训机构要将托管账户信息报主管部门备案。</w:t>
      </w:r>
    </w:p>
    <w:p>
      <w:pPr>
        <w:spacing w:before="220" w:line="357" w:lineRule="auto"/>
        <w:ind w:right="50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第十二条</w:t>
      </w:r>
      <w:r>
        <w:rPr>
          <w:rFonts w:ascii="仿宋" w:hAnsi="仿宋" w:eastAsia="仿宋" w:cs="仿宋"/>
          <w:spacing w:val="3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预收费托管资金拨付须与授课进度同步、同比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例，托管银行根据监管平台反馈的授课进度拨付资金。校外培训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机构授课完成并经学员确认同意，向托管银行提供相关资料后，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托管银行应于5个工作日内完成资金拨付；校外培训机构授课完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成且履行告知义务后，学员超过15个工作日未确认且未提出异</w:t>
      </w:r>
      <w:r>
        <w:rPr>
          <w:rFonts w:ascii="仿宋" w:hAnsi="仿宋" w:eastAsia="仿宋" w:cs="仿宋"/>
          <w:spacing w:val="9"/>
          <w:sz w:val="30"/>
          <w:szCs w:val="30"/>
        </w:rPr>
        <w:t>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的，托管银行视为确认同意，履行资金拨付。校外培训机构需采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取录音、录像方式，对成年学员或未成年学员监护人确认过程进 行全程记录，录像画质应足以辨认确认人身份及确认完成的具体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授课事项，音像资料应在确认后保留三年以上。</w:t>
      </w:r>
    </w:p>
    <w:p>
      <w:pPr>
        <w:spacing w:before="221" w:line="358" w:lineRule="auto"/>
        <w:ind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第十三条</w:t>
      </w:r>
      <w:r>
        <w:rPr>
          <w:rFonts w:ascii="仿宋" w:hAnsi="仿宋" w:eastAsia="仿宋" w:cs="仿宋"/>
          <w:spacing w:val="1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托管银行要在当地校外培训机构主管部门的监督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指导下严格履行托管协议。托管预收费资金的银行要具备同时为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主管部门、校外培训机构、学员等提供即时信息交互的技术条件。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托管银行不得侵占、挪用预收费资金，不得因提供托管服务而额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外收取机构、学员费用。</w:t>
      </w:r>
    </w:p>
    <w:p>
      <w:pPr>
        <w:spacing w:before="214" w:line="389" w:lineRule="auto"/>
        <w:ind w:right="71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第十四条</w:t>
      </w:r>
      <w:r>
        <w:rPr>
          <w:rFonts w:ascii="仿宋" w:hAnsi="仿宋" w:eastAsia="仿宋" w:cs="仿宋"/>
          <w:spacing w:val="1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学员与校外培训机构发生退费纠纷的，校外培训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机构不得以资金监管为由，拒绝学员的合理诉求。学员与校外培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训机构因收退费问题发生争议的，可以依法通过下</w:t>
      </w:r>
      <w:r>
        <w:rPr>
          <w:rFonts w:ascii="仿宋" w:hAnsi="仿宋" w:eastAsia="仿宋" w:cs="仿宋"/>
          <w:spacing w:val="6"/>
          <w:sz w:val="30"/>
          <w:szCs w:val="30"/>
        </w:rPr>
        <w:t>列途径解决：</w:t>
      </w:r>
    </w:p>
    <w:p>
      <w:pPr>
        <w:sectPr>
          <w:footerReference r:id="rId9" w:type="default"/>
          <w:pgSz w:w="11730" w:h="16840"/>
          <w:pgMar w:top="1431" w:right="1429" w:bottom="1798" w:left="1540" w:header="0" w:footer="1502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5" w:line="222" w:lineRule="auto"/>
        <w:ind w:left="7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(一)学员与校外培训机构协商解决；</w:t>
      </w:r>
    </w:p>
    <w:p>
      <w:pPr>
        <w:spacing w:before="229" w:line="584" w:lineRule="exact"/>
        <w:ind w:left="7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position w:val="22"/>
          <w:sz w:val="29"/>
          <w:szCs w:val="29"/>
        </w:rPr>
        <w:t>(二)请求消费者权益保护组织或依法成立的其他调解组</w:t>
      </w:r>
      <w:r>
        <w:rPr>
          <w:rFonts w:ascii="仿宋" w:hAnsi="仿宋" w:eastAsia="仿宋" w:cs="仿宋"/>
          <w:spacing w:val="26"/>
          <w:position w:val="22"/>
          <w:sz w:val="29"/>
          <w:szCs w:val="29"/>
        </w:rPr>
        <w:t>织</w:t>
      </w:r>
    </w:p>
    <w:p>
      <w:pPr>
        <w:spacing w:line="222" w:lineRule="auto"/>
        <w:ind w:left="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调解；</w:t>
      </w:r>
    </w:p>
    <w:p>
      <w:pPr>
        <w:spacing w:before="228" w:line="221" w:lineRule="auto"/>
        <w:ind w:left="7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(三)向有关行政部门投诉；</w:t>
      </w:r>
    </w:p>
    <w:p>
      <w:pPr>
        <w:spacing w:before="232" w:line="220" w:lineRule="auto"/>
        <w:ind w:left="7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(四)根据与校外培训机构达成的仲裁协议提请仲裁机构仲裁；</w:t>
      </w:r>
    </w:p>
    <w:p>
      <w:pPr>
        <w:spacing w:before="238" w:line="222" w:lineRule="auto"/>
        <w:ind w:left="7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(五)向人民法院提起诉讼。</w:t>
      </w:r>
    </w:p>
    <w:p>
      <w:pPr>
        <w:spacing w:before="267" w:line="370" w:lineRule="auto"/>
        <w:ind w:left="10" w:right="40" w:firstLine="6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1"/>
          <w:sz w:val="29"/>
          <w:szCs w:val="29"/>
        </w:rPr>
        <w:t>第十五条</w:t>
      </w:r>
      <w:r>
        <w:rPr>
          <w:rFonts w:ascii="仿宋" w:hAnsi="仿宋" w:eastAsia="仿宋" w:cs="仿宋"/>
          <w:spacing w:val="12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校外培训机构主管部门会同有关部门及时研判风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险情况，并根据风险程度，向社会发布风险预警。专用账户出现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下列情形之一的，托管银行应按照三方协议约定立即向主管</w:t>
      </w:r>
      <w:r>
        <w:rPr>
          <w:rFonts w:ascii="仿宋" w:hAnsi="仿宋" w:eastAsia="仿宋" w:cs="仿宋"/>
          <w:spacing w:val="19"/>
          <w:sz w:val="29"/>
          <w:szCs w:val="29"/>
        </w:rPr>
        <w:t>部门</w:t>
      </w:r>
    </w:p>
    <w:p>
      <w:pPr>
        <w:spacing w:line="222" w:lineRule="auto"/>
        <w:ind w:left="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发出风险预警通报：</w:t>
      </w:r>
    </w:p>
    <w:p>
      <w:pPr>
        <w:spacing w:before="248" w:line="221" w:lineRule="auto"/>
        <w:ind w:left="7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(一)专用账户最低余额低于核定的风险保证金额度；</w:t>
      </w:r>
    </w:p>
    <w:p>
      <w:pPr>
        <w:spacing w:before="233" w:line="582" w:lineRule="exact"/>
        <w:ind w:left="7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position w:val="22"/>
          <w:sz w:val="29"/>
          <w:szCs w:val="29"/>
        </w:rPr>
        <w:t>(二)单笔提取资金超过5万元或当日累计提取资金超</w:t>
      </w:r>
      <w:r>
        <w:rPr>
          <w:rFonts w:ascii="仿宋" w:hAnsi="仿宋" w:eastAsia="仿宋" w:cs="仿宋"/>
          <w:spacing w:val="28"/>
          <w:position w:val="22"/>
          <w:sz w:val="29"/>
          <w:szCs w:val="29"/>
        </w:rPr>
        <w:t>过20</w:t>
      </w:r>
    </w:p>
    <w:p>
      <w:pPr>
        <w:spacing w:before="1" w:line="222" w:lineRule="auto"/>
        <w:ind w:left="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6"/>
          <w:sz w:val="29"/>
          <w:szCs w:val="29"/>
        </w:rPr>
        <w:t>万元(各地可结合实际调整额度);</w:t>
      </w:r>
    </w:p>
    <w:p>
      <w:pPr>
        <w:spacing w:before="228" w:line="221" w:lineRule="auto"/>
        <w:ind w:left="7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(三)银行认为有必要向主管部门进行风险预警的其他情形。</w:t>
      </w:r>
    </w:p>
    <w:p>
      <w:pPr>
        <w:spacing w:before="253" w:line="369" w:lineRule="auto"/>
        <w:ind w:left="10" w:firstLine="6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9"/>
          <w:sz w:val="29"/>
          <w:szCs w:val="29"/>
        </w:rPr>
        <w:t>第十六条</w:t>
      </w:r>
      <w:r>
        <w:rPr>
          <w:rFonts w:ascii="仿宋" w:hAnsi="仿宋" w:eastAsia="仿宋" w:cs="仿宋"/>
          <w:spacing w:val="1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>主管部门接到预警通报后，应会同有关部门，立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即开展专项调查、风险评估和处置化解。发现违法犯罪线索的，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2"/>
          <w:sz w:val="29"/>
          <w:szCs w:val="29"/>
        </w:rPr>
        <w:t>及时移交公安机关。公安机关接到线索后，要及时开展调查核实，</w:t>
      </w:r>
    </w:p>
    <w:p>
      <w:pPr>
        <w:spacing w:line="220" w:lineRule="auto"/>
        <w:ind w:left="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发现涉嫌犯罪的，依法查处。</w:t>
      </w:r>
    </w:p>
    <w:p>
      <w:pPr>
        <w:spacing w:before="234" w:line="370" w:lineRule="auto"/>
        <w:ind w:left="10" w:right="76" w:firstLine="6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0"/>
          <w:sz w:val="29"/>
          <w:szCs w:val="29"/>
        </w:rPr>
        <w:t>第十七条</w:t>
      </w:r>
      <w:r>
        <w:rPr>
          <w:rFonts w:ascii="仿宋" w:hAnsi="仿宋" w:eastAsia="仿宋" w:cs="仿宋"/>
          <w:spacing w:val="1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校外培训机构应按照主管部门的监管要求，主</w:t>
      </w:r>
      <w:r>
        <w:rPr>
          <w:rFonts w:ascii="仿宋" w:hAnsi="仿宋" w:eastAsia="仿宋" w:cs="仿宋"/>
          <w:spacing w:val="19"/>
          <w:sz w:val="29"/>
          <w:szCs w:val="29"/>
        </w:rPr>
        <w:t>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>报送从托管银行获取的有关专用账户、大额资金变动、</w:t>
      </w:r>
      <w:r>
        <w:rPr>
          <w:rFonts w:ascii="仿宋" w:hAnsi="仿宋" w:eastAsia="仿宋" w:cs="仿宋"/>
          <w:spacing w:val="18"/>
          <w:sz w:val="29"/>
          <w:szCs w:val="29"/>
        </w:rPr>
        <w:t>交易流水</w:t>
      </w:r>
    </w:p>
    <w:p>
      <w:pPr>
        <w:spacing w:before="1" w:line="221" w:lineRule="auto"/>
        <w:ind w:left="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等信息。</w:t>
      </w:r>
    </w:p>
    <w:p>
      <w:pPr>
        <w:spacing w:before="228" w:line="222" w:lineRule="auto"/>
        <w:ind w:left="68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0"/>
          <w:sz w:val="29"/>
          <w:szCs w:val="29"/>
        </w:rPr>
        <w:t>第十八条</w:t>
      </w:r>
      <w:r>
        <w:rPr>
          <w:rFonts w:ascii="仿宋" w:hAnsi="仿宋" w:eastAsia="仿宋" w:cs="仿宋"/>
          <w:spacing w:val="1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校外培训机构不配合资金监管的，由主管</w:t>
      </w:r>
      <w:r>
        <w:rPr>
          <w:rFonts w:ascii="仿宋" w:hAnsi="仿宋" w:eastAsia="仿宋" w:cs="仿宋"/>
          <w:spacing w:val="19"/>
          <w:sz w:val="29"/>
          <w:szCs w:val="29"/>
        </w:rPr>
        <w:t>部门责</w:t>
      </w:r>
    </w:p>
    <w:p>
      <w:pPr>
        <w:sectPr>
          <w:footerReference r:id="rId10" w:type="default"/>
          <w:pgSz w:w="11710" w:h="16820"/>
          <w:pgMar w:top="1429" w:right="1405" w:bottom="1773" w:left="1519" w:header="0" w:footer="1485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98" w:line="598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2"/>
          <w:sz w:val="30"/>
          <w:szCs w:val="30"/>
        </w:rPr>
        <w:t>令整改，情节严重或拒不整改的，依法依规实施信用公示，列入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黑名单；对学员权益造成损害的，依法依规承担法律责任。</w:t>
      </w:r>
    </w:p>
    <w:p>
      <w:pPr>
        <w:spacing w:before="211" w:line="357" w:lineRule="auto"/>
        <w:ind w:right="109"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第十九条</w:t>
      </w:r>
      <w:r>
        <w:rPr>
          <w:rFonts w:ascii="仿宋" w:hAnsi="仿宋" w:eastAsia="仿宋" w:cs="仿宋"/>
          <w:spacing w:val="1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各地将预收费监管列入对校外培训机构的日常监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管、专项检查、年审年检和教育督导范围，确保培训服务交易安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全，切实维护社会大局稳定。主管部门对校外培训机构实施差异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化监管，对收退费规范、预收培训费风险低的可减少检查频次；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对退费投诉集中、预收费风险高的进行重点监测，加大检查频次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和力度，督促机构合规经营。</w:t>
      </w:r>
    </w:p>
    <w:p>
      <w:pPr>
        <w:spacing w:before="258" w:line="357" w:lineRule="auto"/>
        <w:ind w:right="49"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第二十条</w:t>
      </w:r>
      <w:r>
        <w:rPr>
          <w:rFonts w:ascii="仿宋" w:hAnsi="仿宋" w:eastAsia="仿宋" w:cs="仿宋"/>
          <w:spacing w:val="1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各地要在地方党委和政府的统一领导下，充分发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挥“双减”工作专门协调机制的作用。主管部门负责对校外培训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机构预收费托管资金转入专用账户以及托管资金拨付情况进行监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督检查，会同相关部门加强校外培训机构预收费全流程监管，强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化风险排查和源头化解；人民银行、银保监部门按照职责分工，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负责指导银行等机构配合主管部门依法做好预收费托管、风险保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证金存管、培训领域贷款业务合规管理工作；税务部门负责对校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外培训机构纳税情况进行监管，对发现的涉税违法行为依法查处；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市场监管部门依法严肃查处违反价格相关法律法规的行为；公安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机关依法严厉打击涉校外培训机构违法犯罪行为。</w:t>
      </w:r>
    </w:p>
    <w:p>
      <w:pPr>
        <w:spacing w:before="220" w:line="372" w:lineRule="auto"/>
        <w:ind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第二十一条</w:t>
      </w:r>
      <w:r>
        <w:rPr>
          <w:rFonts w:ascii="仿宋" w:hAnsi="仿宋" w:eastAsia="仿宋" w:cs="仿宋"/>
          <w:spacing w:val="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在预收费资金监管过程中，有关部门、机构、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托管银行应当对收集的学员及家长个人信息严格保密，不得泄露、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出售或者非法向他人提供，对相关人员权益造成损害的，依法依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规承担法律责任。</w:t>
      </w:r>
    </w:p>
    <w:p>
      <w:pPr>
        <w:sectPr>
          <w:footerReference r:id="rId11" w:type="default"/>
          <w:pgSz w:w="11730" w:h="16820"/>
          <w:pgMar w:top="1429" w:right="1360" w:bottom="1780" w:left="1550" w:header="0" w:footer="1482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98" w:line="364" w:lineRule="auto"/>
        <w:ind w:left="50"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第二十二条</w:t>
      </w:r>
      <w:r>
        <w:rPr>
          <w:rFonts w:ascii="仿宋" w:hAnsi="仿宋" w:eastAsia="仿宋" w:cs="仿宋"/>
          <w:spacing w:val="1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本办法自公布之日起施行。此前规定与本办法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不一致的，以本办法为准。各市(区)可结合本地实际，参照本</w:t>
      </w:r>
    </w:p>
    <w:p>
      <w:pPr>
        <w:spacing w:line="221" w:lineRule="auto"/>
        <w:ind w:left="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办法制定具体实施细则。</w:t>
      </w:r>
    </w:p>
    <w:p>
      <w:pPr>
        <w:sectPr>
          <w:footerReference r:id="rId12" w:type="default"/>
          <w:pgSz w:w="11770" w:h="16830"/>
          <w:pgMar w:top="1430" w:right="1470" w:bottom="1781" w:left="1509" w:header="0" w:footer="1482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0" w:lineRule="exact"/>
        <w:ind w:firstLine="9"/>
        <w:textAlignment w:val="center"/>
      </w:pPr>
      <w:r>
        <w:drawing>
          <wp:inline distT="0" distB="0" distL="0" distR="0">
            <wp:extent cx="5594350" cy="12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94379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9" w:line="227" w:lineRule="auto"/>
        <w:ind w:left="3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position w:val="1"/>
          <w:sz w:val="28"/>
          <w:szCs w:val="28"/>
        </w:rPr>
        <w:t>陕西省教育厅办公室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13"/>
          <w:sz w:val="28"/>
          <w:szCs w:val="28"/>
        </w:rPr>
        <w:t>2022年12月26日印发</w:t>
      </w:r>
    </w:p>
    <w:p>
      <w:pPr>
        <w:spacing w:before="25" w:line="20" w:lineRule="exact"/>
        <w:textAlignment w:val="center"/>
      </w:pPr>
      <w:r>
        <w:drawing>
          <wp:inline distT="0" distB="0" distL="0" distR="0">
            <wp:extent cx="5607050" cy="1270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07074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3" w:type="default"/>
      <w:pgSz w:w="11900" w:h="16840"/>
      <w:pgMar w:top="1431" w:right="1499" w:bottom="40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2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19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59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29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jMzQ3ZGYzMmM1Yzc2MDI5N2NhZjA3ZTA3NTBiMDEifQ=="/>
  </w:docVars>
  <w:rsids>
    <w:rsidRoot w:val="00000000"/>
    <w:rsid w:val="62B64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3739</Words>
  <Characters>3760</Characters>
  <TotalTime>0</TotalTime>
  <ScaleCrop>false</ScaleCrop>
  <LinksUpToDate>false</LinksUpToDate>
  <CharactersWithSpaces>4012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2023-03-21T11:13:00Z</dcterms:created>
  <dc:creator>Kingsoft-PDF</dc:creator>
  <cp:lastModifiedBy>远去的背影</cp:lastModifiedBy>
  <dcterms:modified xsi:type="dcterms:W3CDTF">2023-03-21T03:14:30Z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2023-03-21T11:13:38Z</vt:filetime>
  </property>
  <property fmtid="{D5CDD505-2E9C-101B-9397-08002B2CF9AE}" pid="4" name="UsrData">
    <vt:lpwstr>641920d40c8b2900152e0c26</vt:lpwstr>
  </property>
  <property fmtid="{D5CDD505-2E9C-101B-9397-08002B2CF9AE}" pid="5" name="KSOProductBuildVer">
    <vt:lpwstr>2052-11.1.0.13703</vt:lpwstr>
  </property>
  <property fmtid="{D5CDD505-2E9C-101B-9397-08002B2CF9AE}" pid="6" name="ICV">
    <vt:lpwstr>0E3E6A096CDF4A71AD396429882190F4</vt:lpwstr>
  </property>
</Properties>
</file>