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4.xml" ContentType="application/vnd.ms-office.chartcolorstyle+xml"/>
  <Override PartName="/word/charts/style4.xml" ContentType="application/vnd.ms-office.chartstyle+xml"/>
  <Override PartName="/word/charts/colors3.xml" ContentType="application/vnd.ms-office.chartcolorstyle+xml"/>
  <Override PartName="/word/charts/style3.xml" ContentType="application/vnd.ms-office.chartstyle+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11" w:rsidRDefault="00432835">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F87D11" w:rsidRDefault="00F87D11">
      <w:pPr>
        <w:jc w:val="center"/>
        <w:rPr>
          <w:rFonts w:ascii="宋体" w:hAnsi="宋体" w:cs="宋体"/>
          <w:b/>
          <w:bCs/>
          <w:sz w:val="44"/>
          <w:szCs w:val="44"/>
        </w:rPr>
      </w:pPr>
    </w:p>
    <w:p w:rsidR="00F87D11" w:rsidRDefault="00F87D11">
      <w:pPr>
        <w:spacing w:line="440" w:lineRule="exact"/>
        <w:jc w:val="center"/>
        <w:rPr>
          <w:rFonts w:ascii="宋体" w:hAnsi="宋体" w:cs="宋体"/>
          <w:b/>
          <w:bCs/>
          <w:sz w:val="44"/>
          <w:szCs w:val="44"/>
        </w:rPr>
      </w:pPr>
    </w:p>
    <w:p w:rsidR="00F87D11" w:rsidRDefault="00432835">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镇坪县</w:t>
      </w:r>
      <w:r>
        <w:rPr>
          <w:rFonts w:asciiTheme="majorEastAsia" w:eastAsiaTheme="majorEastAsia" w:hAnsiTheme="majorEastAsia" w:cstheme="majorEastAsia" w:hint="eastAsia"/>
          <w:b/>
          <w:bCs/>
          <w:sz w:val="48"/>
          <w:szCs w:val="48"/>
        </w:rPr>
        <w:t>道路运输服务中心</w:t>
      </w:r>
    </w:p>
    <w:p w:rsidR="00F87D11" w:rsidRDefault="00432835">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202</w:t>
      </w:r>
      <w:r>
        <w:rPr>
          <w:rFonts w:asciiTheme="majorEastAsia" w:eastAsiaTheme="majorEastAsia" w:hAnsiTheme="majorEastAsia" w:cstheme="majorEastAsia" w:hint="eastAsia"/>
          <w:b/>
          <w:bCs/>
          <w:sz w:val="48"/>
          <w:szCs w:val="48"/>
        </w:rPr>
        <w:t>1</w:t>
      </w:r>
      <w:r>
        <w:rPr>
          <w:rFonts w:asciiTheme="majorEastAsia" w:eastAsiaTheme="majorEastAsia" w:hAnsiTheme="majorEastAsia" w:cstheme="majorEastAsia" w:hint="eastAsia"/>
          <w:b/>
          <w:bCs/>
          <w:sz w:val="48"/>
          <w:szCs w:val="48"/>
        </w:rPr>
        <w:t>年</w:t>
      </w:r>
      <w:r>
        <w:rPr>
          <w:rFonts w:asciiTheme="majorEastAsia" w:eastAsiaTheme="majorEastAsia" w:hAnsiTheme="majorEastAsia" w:cstheme="majorEastAsia" w:hint="eastAsia"/>
          <w:b/>
          <w:bCs/>
          <w:sz w:val="48"/>
          <w:szCs w:val="48"/>
        </w:rPr>
        <w:t>度</w:t>
      </w:r>
      <w:r>
        <w:rPr>
          <w:rFonts w:asciiTheme="majorEastAsia" w:eastAsiaTheme="majorEastAsia" w:hAnsiTheme="majorEastAsia" w:cstheme="majorEastAsia" w:hint="eastAsia"/>
          <w:b/>
          <w:bCs/>
          <w:sz w:val="48"/>
          <w:szCs w:val="48"/>
        </w:rPr>
        <w:t>部门决算</w:t>
      </w:r>
      <w:r>
        <w:rPr>
          <w:rFonts w:asciiTheme="majorEastAsia" w:eastAsiaTheme="majorEastAsia" w:hAnsiTheme="majorEastAsia" w:cstheme="majorEastAsia" w:hint="eastAsia"/>
          <w:b/>
          <w:bCs/>
          <w:sz w:val="48"/>
          <w:szCs w:val="48"/>
        </w:rPr>
        <w:t>公开</w:t>
      </w:r>
    </w:p>
    <w:p w:rsidR="00F87D11" w:rsidRDefault="00F87D11">
      <w:pPr>
        <w:spacing w:line="560" w:lineRule="exact"/>
        <w:jc w:val="center"/>
        <w:rPr>
          <w:rFonts w:asciiTheme="majorEastAsia" w:eastAsiaTheme="majorEastAsia" w:hAnsiTheme="majorEastAsia" w:cstheme="majorEastAsia"/>
          <w:b/>
          <w:bCs/>
          <w:sz w:val="44"/>
          <w:szCs w:val="44"/>
        </w:rPr>
      </w:pPr>
    </w:p>
    <w:p w:rsidR="00F87D11" w:rsidRDefault="00F87D11">
      <w:pPr>
        <w:spacing w:line="560" w:lineRule="exact"/>
        <w:jc w:val="center"/>
        <w:rPr>
          <w:rFonts w:asciiTheme="majorEastAsia" w:eastAsiaTheme="majorEastAsia" w:hAnsiTheme="majorEastAsia" w:cstheme="majorEastAsia"/>
          <w:b/>
          <w:bCs/>
          <w:sz w:val="44"/>
          <w:szCs w:val="44"/>
        </w:rPr>
      </w:pPr>
    </w:p>
    <w:p w:rsidR="00F87D11" w:rsidRDefault="00F87D11">
      <w:pPr>
        <w:spacing w:line="560" w:lineRule="exact"/>
        <w:jc w:val="center"/>
        <w:rPr>
          <w:rFonts w:asciiTheme="majorEastAsia" w:eastAsiaTheme="majorEastAsia" w:hAnsiTheme="majorEastAsia" w:cstheme="majorEastAsia"/>
          <w:b/>
          <w:bCs/>
          <w:sz w:val="44"/>
          <w:szCs w:val="44"/>
        </w:rPr>
      </w:pPr>
    </w:p>
    <w:p w:rsidR="00F87D11" w:rsidRDefault="00F87D11">
      <w:pPr>
        <w:spacing w:line="560" w:lineRule="exact"/>
        <w:jc w:val="center"/>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560" w:lineRule="exact"/>
        <w:rPr>
          <w:rFonts w:asciiTheme="majorEastAsia" w:eastAsiaTheme="majorEastAsia" w:hAnsiTheme="majorEastAsia" w:cstheme="majorEastAsia"/>
          <w:b/>
          <w:bCs/>
          <w:sz w:val="44"/>
          <w:szCs w:val="44"/>
        </w:rPr>
      </w:pPr>
    </w:p>
    <w:p w:rsidR="00F87D11" w:rsidRDefault="00F87D11">
      <w:pPr>
        <w:spacing w:line="400" w:lineRule="exact"/>
        <w:ind w:firstLineChars="800" w:firstLine="2570"/>
        <w:rPr>
          <w:rFonts w:asciiTheme="majorEastAsia" w:eastAsiaTheme="majorEastAsia" w:hAnsiTheme="majorEastAsia" w:cstheme="majorEastAsia"/>
          <w:b/>
          <w:bCs/>
          <w:sz w:val="32"/>
          <w:szCs w:val="32"/>
        </w:rPr>
      </w:pPr>
    </w:p>
    <w:p w:rsidR="00F87D11" w:rsidRDefault="00F87D11">
      <w:pPr>
        <w:spacing w:line="400" w:lineRule="exact"/>
        <w:ind w:firstLineChars="800" w:firstLine="2570"/>
        <w:rPr>
          <w:rFonts w:asciiTheme="majorEastAsia" w:eastAsiaTheme="majorEastAsia" w:hAnsiTheme="majorEastAsia" w:cstheme="majorEastAsia"/>
          <w:b/>
          <w:bCs/>
          <w:sz w:val="32"/>
          <w:szCs w:val="32"/>
        </w:rPr>
      </w:pPr>
    </w:p>
    <w:p w:rsidR="00F87D11" w:rsidRDefault="00432835">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F87D11" w:rsidRDefault="00F87D11">
      <w:pPr>
        <w:spacing w:line="400" w:lineRule="exact"/>
        <w:jc w:val="center"/>
        <w:rPr>
          <w:rFonts w:ascii="宋体" w:hAnsi="宋体" w:cs="宋体"/>
          <w:b/>
          <w:bCs/>
          <w:sz w:val="32"/>
          <w:szCs w:val="32"/>
        </w:rPr>
      </w:pPr>
    </w:p>
    <w:p w:rsidR="00F87D11" w:rsidRDefault="00432835">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部门主要负责人审签情况：已审签</w:t>
      </w:r>
    </w:p>
    <w:p w:rsidR="00F87D11" w:rsidRDefault="00432835">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F87D11" w:rsidRDefault="00432835">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F87D11" w:rsidRDefault="00432835">
      <w:pPr>
        <w:jc w:val="center"/>
        <w:rPr>
          <w:rFonts w:ascii="黑体" w:eastAsia="黑体" w:hAnsi="宋体"/>
          <w:bCs/>
          <w:color w:val="000000"/>
          <w:kern w:val="0"/>
          <w:sz w:val="36"/>
          <w:szCs w:val="36"/>
          <w:lang w:bidi="ar"/>
        </w:rPr>
      </w:pPr>
      <w:r>
        <w:rPr>
          <w:rFonts w:ascii="黑体" w:eastAsia="黑体" w:hAnsi="宋体"/>
          <w:b/>
          <w:color w:val="000000"/>
          <w:kern w:val="0"/>
          <w:sz w:val="56"/>
          <w:szCs w:val="56"/>
          <w:lang w:bidi="ar"/>
        </w:rPr>
        <w:br w:type="page"/>
      </w:r>
      <w:r>
        <w:rPr>
          <w:rFonts w:ascii="黑体" w:eastAsia="黑体" w:hAnsi="宋体"/>
          <w:bCs/>
          <w:color w:val="000000"/>
          <w:kern w:val="0"/>
          <w:sz w:val="36"/>
          <w:szCs w:val="36"/>
          <w:lang w:bidi="ar"/>
        </w:rPr>
        <w:lastRenderedPageBreak/>
        <w:t>目</w:t>
      </w:r>
      <w:r>
        <w:rPr>
          <w:rFonts w:ascii="黑体" w:eastAsia="黑体" w:hAnsi="宋体" w:hint="eastAsia"/>
          <w:bCs/>
          <w:color w:val="000000"/>
          <w:kern w:val="0"/>
          <w:sz w:val="36"/>
          <w:szCs w:val="36"/>
          <w:lang w:bidi="ar"/>
        </w:rPr>
        <w:t xml:space="preserve">  </w:t>
      </w:r>
      <w:r>
        <w:rPr>
          <w:rFonts w:ascii="黑体" w:eastAsia="黑体" w:hAnsi="宋体"/>
          <w:bCs/>
          <w:color w:val="000000"/>
          <w:kern w:val="0"/>
          <w:sz w:val="36"/>
          <w:szCs w:val="36"/>
          <w:lang w:bidi="ar"/>
        </w:rPr>
        <w:t>录</w:t>
      </w:r>
    </w:p>
    <w:p w:rsidR="00F87D11" w:rsidRDefault="00432835">
      <w:pPr>
        <w:widowControl/>
        <w:jc w:val="center"/>
      </w:pPr>
      <w:r>
        <w:rPr>
          <w:rFonts w:ascii="黑体" w:eastAsia="黑体" w:hAnsi="宋体" w:hint="eastAsia"/>
          <w:color w:val="000000"/>
          <w:kern w:val="0"/>
          <w:sz w:val="32"/>
          <w:szCs w:val="32"/>
          <w:lang w:bidi="ar"/>
        </w:rPr>
        <w:t>第一部分</w:t>
      </w:r>
      <w:r>
        <w:rPr>
          <w:rFonts w:ascii="黑体" w:eastAsia="黑体" w:hAnsi="宋体" w:hint="eastAsia"/>
          <w:color w:val="000000"/>
          <w:kern w:val="0"/>
          <w:sz w:val="32"/>
          <w:szCs w:val="32"/>
          <w:lang w:bidi="ar"/>
        </w:rPr>
        <w:t xml:space="preserve">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部门概况</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一、部门主要职责及内设机构</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二、部门决算单位构成</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F87D11" w:rsidRDefault="00F87D11">
      <w:pPr>
        <w:widowControl/>
        <w:jc w:val="left"/>
        <w:rPr>
          <w:rFonts w:ascii="仿宋" w:eastAsia="仿宋" w:hAnsi="仿宋" w:cs="楷体"/>
          <w:color w:val="000000"/>
          <w:kern w:val="0"/>
          <w:sz w:val="32"/>
          <w:szCs w:val="32"/>
          <w:lang w:bidi="ar"/>
        </w:rPr>
      </w:pPr>
    </w:p>
    <w:p w:rsidR="00F87D11" w:rsidRDefault="00432835">
      <w:pPr>
        <w:widowControl/>
        <w:jc w:val="center"/>
      </w:pPr>
      <w:r>
        <w:rPr>
          <w:rFonts w:ascii="黑体" w:eastAsia="黑体" w:hAnsi="宋体" w:hint="eastAsia"/>
          <w:color w:val="000000"/>
          <w:kern w:val="0"/>
          <w:sz w:val="32"/>
          <w:szCs w:val="32"/>
          <w:lang w:bidi="ar"/>
        </w:rPr>
        <w:t>第二部分</w:t>
      </w:r>
      <w:r>
        <w:rPr>
          <w:rFonts w:ascii="黑体" w:eastAsia="黑体" w:hAnsi="宋体" w:hint="eastAsia"/>
          <w:color w:val="000000"/>
          <w:kern w:val="0"/>
          <w:sz w:val="32"/>
          <w:szCs w:val="32"/>
          <w:lang w:bidi="ar"/>
        </w:rPr>
        <w:t xml:space="preserve">  </w:t>
      </w:r>
      <w:r>
        <w:rPr>
          <w:rFonts w:ascii="黑体" w:eastAsia="黑体" w:hAnsi="宋体" w:hint="eastAsia"/>
          <w:color w:val="000000"/>
          <w:kern w:val="0"/>
          <w:sz w:val="32"/>
          <w:szCs w:val="32"/>
          <w:lang w:bidi="ar"/>
        </w:rPr>
        <w:t>2021</w:t>
      </w:r>
      <w:r>
        <w:rPr>
          <w:rFonts w:ascii="黑体" w:eastAsia="黑体" w:hAnsi="宋体" w:hint="eastAsia"/>
          <w:color w:val="000000"/>
          <w:kern w:val="0"/>
          <w:sz w:val="32"/>
          <w:szCs w:val="32"/>
          <w:lang w:bidi="ar"/>
        </w:rPr>
        <w:t>年部门决算表</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一、收入支出决算总表</w:t>
      </w:r>
      <w:r>
        <w:rPr>
          <w:rFonts w:ascii="仿宋" w:eastAsia="仿宋" w:hAnsi="仿宋" w:cs="楷体" w:hint="eastAsia"/>
          <w:color w:val="000000"/>
          <w:kern w:val="0"/>
          <w:sz w:val="32"/>
          <w:szCs w:val="32"/>
          <w:lang w:bidi="ar"/>
        </w:rPr>
        <w:t xml:space="preserve">     </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二、收入决算表</w:t>
      </w:r>
      <w:r>
        <w:rPr>
          <w:rFonts w:ascii="仿宋" w:eastAsia="仿宋" w:hAnsi="仿宋" w:cs="楷体" w:hint="eastAsia"/>
          <w:color w:val="000000"/>
          <w:kern w:val="0"/>
          <w:sz w:val="32"/>
          <w:szCs w:val="32"/>
          <w:lang w:bidi="ar"/>
        </w:rPr>
        <w:t xml:space="preserve">     </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三、支出决算表</w:t>
      </w:r>
      <w:r>
        <w:rPr>
          <w:rFonts w:ascii="仿宋" w:eastAsia="仿宋" w:hAnsi="仿宋" w:cs="楷体" w:hint="eastAsia"/>
          <w:color w:val="000000"/>
          <w:kern w:val="0"/>
          <w:sz w:val="32"/>
          <w:szCs w:val="32"/>
          <w:lang w:bidi="ar"/>
        </w:rPr>
        <w:t xml:space="preserve">    </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四、财政拨款收入支出决算总表</w:t>
      </w:r>
      <w:r>
        <w:rPr>
          <w:rFonts w:ascii="仿宋" w:eastAsia="仿宋" w:hAnsi="仿宋" w:cs="楷体" w:hint="eastAsia"/>
          <w:color w:val="000000"/>
          <w:kern w:val="0"/>
          <w:sz w:val="32"/>
          <w:szCs w:val="32"/>
          <w:lang w:bidi="ar"/>
        </w:rPr>
        <w:t xml:space="preserve">    </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五、一般公共预算财政拨款支出决算表</w:t>
      </w:r>
      <w:r>
        <w:rPr>
          <w:rFonts w:ascii="仿宋" w:eastAsia="仿宋" w:hAnsi="仿宋" w:cs="楷体" w:hint="eastAsia"/>
          <w:color w:val="000000"/>
          <w:kern w:val="0"/>
          <w:sz w:val="32"/>
          <w:szCs w:val="32"/>
          <w:lang w:bidi="ar"/>
        </w:rPr>
        <w:t xml:space="preserve">  </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六、一般公共预算财政拨款基本支出决算表</w:t>
      </w:r>
      <w:r>
        <w:rPr>
          <w:rFonts w:ascii="仿宋" w:eastAsia="仿宋" w:hAnsi="仿宋" w:cs="楷体" w:hint="eastAsia"/>
          <w:color w:val="000000"/>
          <w:kern w:val="0"/>
          <w:sz w:val="32"/>
          <w:szCs w:val="32"/>
          <w:lang w:bidi="ar"/>
        </w:rPr>
        <w:t xml:space="preserve">    </w:t>
      </w:r>
    </w:p>
    <w:p w:rsidR="00F87D11" w:rsidRDefault="00432835">
      <w:pPr>
        <w:widowControl/>
        <w:ind w:left="640" w:hangingChars="200" w:hanging="640"/>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七、一般公共预算财政拨款“三公”经费及会议费、培训费支出决算表</w:t>
      </w:r>
      <w:r>
        <w:rPr>
          <w:rFonts w:ascii="仿宋" w:eastAsia="仿宋" w:hAnsi="仿宋" w:cs="楷体" w:hint="eastAsia"/>
          <w:color w:val="000000"/>
          <w:kern w:val="0"/>
          <w:sz w:val="32"/>
          <w:szCs w:val="32"/>
          <w:lang w:bidi="ar"/>
        </w:rPr>
        <w:t xml:space="preserve">    </w:t>
      </w:r>
    </w:p>
    <w:p w:rsidR="00F87D11" w:rsidRDefault="00432835">
      <w:pPr>
        <w:widowControl/>
        <w:jc w:val="left"/>
        <w:rPr>
          <w:rFonts w:ascii="仿宋" w:eastAsia="仿宋" w:hAnsi="仿宋" w:cs="楷体"/>
          <w:color w:val="000000"/>
          <w:kern w:val="0"/>
          <w:sz w:val="32"/>
          <w:szCs w:val="32"/>
          <w:lang w:bidi="ar"/>
        </w:rPr>
      </w:pPr>
      <w:r>
        <w:rPr>
          <w:rFonts w:ascii="仿宋" w:eastAsia="仿宋" w:hAnsi="仿宋" w:cs="楷体" w:hint="eastAsia"/>
          <w:color w:val="000000"/>
          <w:kern w:val="0"/>
          <w:sz w:val="32"/>
          <w:szCs w:val="32"/>
          <w:lang w:bidi="ar"/>
        </w:rPr>
        <w:t>八、政府性基金预算财政拨款收入支出决算表</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九、国有资本经营预算财政拨款支出决算表</w:t>
      </w:r>
    </w:p>
    <w:p w:rsidR="00F87D11" w:rsidRDefault="00F87D11">
      <w:pPr>
        <w:widowControl/>
        <w:jc w:val="left"/>
        <w:rPr>
          <w:rFonts w:ascii="仿宋" w:eastAsia="仿宋" w:hAnsi="仿宋" w:cs="楷体"/>
          <w:color w:val="000000"/>
          <w:kern w:val="0"/>
          <w:sz w:val="32"/>
          <w:szCs w:val="32"/>
          <w:lang w:bidi="ar"/>
        </w:rPr>
      </w:pPr>
    </w:p>
    <w:p w:rsidR="00F87D11" w:rsidRDefault="00432835">
      <w:pPr>
        <w:widowControl/>
        <w:jc w:val="center"/>
      </w:pPr>
      <w:r>
        <w:rPr>
          <w:rFonts w:ascii="黑体" w:eastAsia="黑体" w:hAnsi="宋体" w:hint="eastAsia"/>
          <w:color w:val="000000"/>
          <w:kern w:val="0"/>
          <w:sz w:val="32"/>
          <w:szCs w:val="32"/>
          <w:lang w:bidi="ar"/>
        </w:rPr>
        <w:t>第三部分</w:t>
      </w:r>
      <w:r>
        <w:rPr>
          <w:rFonts w:ascii="黑体" w:eastAsia="黑体" w:hAnsi="宋体" w:hint="eastAsia"/>
          <w:color w:val="000000"/>
          <w:kern w:val="0"/>
          <w:sz w:val="32"/>
          <w:szCs w:val="32"/>
          <w:lang w:bidi="ar"/>
        </w:rPr>
        <w:t xml:space="preserve"> </w:t>
      </w:r>
      <w:r>
        <w:rPr>
          <w:rFonts w:ascii="黑体" w:eastAsia="黑体" w:hAnsi="宋体"/>
          <w:color w:val="000000"/>
          <w:kern w:val="0"/>
          <w:sz w:val="32"/>
          <w:szCs w:val="32"/>
          <w:lang w:bidi="ar"/>
        </w:rPr>
        <w:t xml:space="preserve"> </w:t>
      </w:r>
      <w:r>
        <w:rPr>
          <w:rFonts w:ascii="黑体" w:eastAsia="黑体" w:hAnsi="宋体" w:hint="eastAsia"/>
          <w:color w:val="000000"/>
          <w:kern w:val="0"/>
          <w:sz w:val="32"/>
          <w:szCs w:val="32"/>
          <w:lang w:bidi="ar"/>
        </w:rPr>
        <w:t>2021</w:t>
      </w:r>
      <w:r>
        <w:rPr>
          <w:rFonts w:ascii="黑体" w:eastAsia="黑体" w:hAnsi="宋体" w:hint="eastAsia"/>
          <w:color w:val="000000"/>
          <w:kern w:val="0"/>
          <w:sz w:val="32"/>
          <w:szCs w:val="32"/>
          <w:lang w:bidi="ar"/>
        </w:rPr>
        <w:t>年部门决算情况说明</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二、收入决算情况说明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hint="eastAsia"/>
          <w:color w:val="000000"/>
          <w:kern w:val="0"/>
          <w:sz w:val="32"/>
          <w:szCs w:val="32"/>
        </w:rPr>
        <w:t xml:space="preserve">    </w:t>
      </w:r>
    </w:p>
    <w:p w:rsidR="00F87D11" w:rsidRDefault="00432835">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hint="eastAsia"/>
          <w:color w:val="000000"/>
          <w:kern w:val="0"/>
          <w:sz w:val="32"/>
          <w:szCs w:val="32"/>
        </w:rPr>
        <w:t xml:space="preserve">   </w:t>
      </w:r>
      <w:r>
        <w:rPr>
          <w:rFonts w:ascii="楷体" w:eastAsia="楷体" w:hAnsi="楷体"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hint="eastAsia"/>
          <w:color w:val="000000"/>
          <w:kern w:val="0"/>
          <w:sz w:val="32"/>
          <w:szCs w:val="32"/>
        </w:rPr>
        <w:t xml:space="preserve">   </w:t>
      </w:r>
    </w:p>
    <w:p w:rsidR="00F87D11" w:rsidRDefault="00432835">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九、国有资本经营预算财政拨款支出决算情况说明</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十、机关运行经费支出情况说明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十一、政府采购支出情况说明</w:t>
      </w:r>
      <w:r>
        <w:rPr>
          <w:rFonts w:ascii="仿宋" w:eastAsia="仿宋" w:hAnsi="仿宋" w:cs="楷体" w:hint="eastAsia"/>
          <w:color w:val="000000"/>
          <w:kern w:val="0"/>
          <w:sz w:val="32"/>
          <w:szCs w:val="32"/>
        </w:rPr>
        <w:t xml:space="preserve"> </w:t>
      </w:r>
    </w:p>
    <w:p w:rsidR="00F87D11" w:rsidRDefault="0043283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十二、国有资产占用及购置情况说明</w:t>
      </w:r>
    </w:p>
    <w:p w:rsidR="00F87D11" w:rsidRDefault="00432835">
      <w:pPr>
        <w:rPr>
          <w:rFonts w:ascii="仿宋" w:eastAsia="仿宋" w:hAnsi="仿宋" w:cs="楷体"/>
          <w:color w:val="000000"/>
          <w:kern w:val="0"/>
          <w:sz w:val="32"/>
          <w:szCs w:val="32"/>
        </w:rPr>
      </w:pPr>
      <w:r>
        <w:rPr>
          <w:rFonts w:ascii="仿宋" w:eastAsia="仿宋" w:hAnsi="仿宋" w:cs="楷体" w:hint="eastAsia"/>
          <w:color w:val="000000"/>
          <w:kern w:val="0"/>
          <w:sz w:val="32"/>
          <w:szCs w:val="32"/>
        </w:rPr>
        <w:t>十三、预算绩效情况说明</w:t>
      </w:r>
    </w:p>
    <w:p w:rsidR="00F87D11" w:rsidRDefault="00F87D11">
      <w:pPr>
        <w:rPr>
          <w:rFonts w:ascii="仿宋" w:eastAsia="仿宋" w:hAnsi="仿宋" w:cs="楷体"/>
          <w:color w:val="000000"/>
          <w:kern w:val="0"/>
          <w:sz w:val="32"/>
          <w:szCs w:val="32"/>
        </w:rPr>
      </w:pPr>
    </w:p>
    <w:p w:rsidR="00F87D11" w:rsidRDefault="00432835">
      <w:pPr>
        <w:numPr>
          <w:ilvl w:val="0"/>
          <w:numId w:val="1"/>
        </w:numPr>
        <w:ind w:firstLineChars="800" w:firstLine="2560"/>
        <w:rPr>
          <w:rFonts w:ascii="黑体" w:eastAsia="黑体" w:hAnsi="宋体"/>
          <w:color w:val="000000"/>
          <w:kern w:val="0"/>
          <w:sz w:val="32"/>
          <w:szCs w:val="32"/>
          <w:lang w:bidi="ar"/>
        </w:rPr>
      </w:pPr>
      <w:r>
        <w:rPr>
          <w:rFonts w:ascii="黑体" w:eastAsia="黑体" w:hAnsi="宋体" w:hint="eastAsia"/>
          <w:color w:val="000000"/>
          <w:kern w:val="0"/>
          <w:sz w:val="32"/>
          <w:szCs w:val="32"/>
          <w:lang w:bidi="ar"/>
        </w:rPr>
        <w:t>专业名词解释</w:t>
      </w:r>
    </w:p>
    <w:p w:rsidR="00F87D11" w:rsidRDefault="00F87D11">
      <w:pPr>
        <w:rPr>
          <w:rFonts w:ascii="黑体" w:eastAsia="黑体" w:hAnsi="宋体"/>
          <w:color w:val="000000"/>
          <w:kern w:val="0"/>
          <w:sz w:val="32"/>
          <w:szCs w:val="32"/>
          <w:lang w:bidi="ar"/>
        </w:rPr>
      </w:pPr>
    </w:p>
    <w:p w:rsidR="00F87D11" w:rsidRDefault="00F87D11">
      <w:pPr>
        <w:rPr>
          <w:rFonts w:ascii="黑体" w:eastAsia="黑体" w:hAnsi="宋体"/>
          <w:color w:val="000000"/>
          <w:kern w:val="0"/>
          <w:sz w:val="32"/>
          <w:szCs w:val="32"/>
          <w:lang w:bidi="ar"/>
        </w:rPr>
      </w:pPr>
    </w:p>
    <w:p w:rsidR="00F87D11" w:rsidRDefault="00F87D11">
      <w:pPr>
        <w:rPr>
          <w:rFonts w:ascii="黑体" w:eastAsia="黑体" w:hAnsi="宋体"/>
          <w:color w:val="000000"/>
          <w:kern w:val="0"/>
          <w:sz w:val="32"/>
          <w:szCs w:val="32"/>
          <w:lang w:bidi="ar"/>
        </w:rPr>
      </w:pPr>
    </w:p>
    <w:p w:rsidR="00F87D11" w:rsidRDefault="00F87D11">
      <w:pPr>
        <w:rPr>
          <w:rFonts w:ascii="黑体" w:eastAsia="黑体" w:hAnsi="宋体"/>
          <w:color w:val="000000"/>
          <w:kern w:val="0"/>
          <w:sz w:val="32"/>
          <w:szCs w:val="32"/>
          <w:lang w:bidi="ar"/>
        </w:rPr>
      </w:pPr>
    </w:p>
    <w:p w:rsidR="00F87D11" w:rsidRDefault="00F87D11">
      <w:pPr>
        <w:rPr>
          <w:rFonts w:ascii="黑体" w:eastAsia="黑体" w:hAnsi="宋体"/>
          <w:color w:val="000000"/>
          <w:kern w:val="0"/>
          <w:sz w:val="32"/>
          <w:szCs w:val="32"/>
          <w:lang w:bidi="ar"/>
        </w:rPr>
      </w:pPr>
    </w:p>
    <w:p w:rsidR="00F87D11" w:rsidRDefault="00432835">
      <w:pPr>
        <w:jc w:val="center"/>
        <w:rPr>
          <w:rFonts w:ascii="黑体" w:eastAsia="黑体" w:hAnsi="宋体"/>
          <w:color w:val="000000"/>
          <w:kern w:val="0"/>
          <w:sz w:val="44"/>
          <w:szCs w:val="44"/>
          <w:lang w:bidi="ar"/>
        </w:rPr>
      </w:pPr>
      <w:r>
        <w:rPr>
          <w:rFonts w:ascii="黑体" w:eastAsia="黑体" w:hAnsi="宋体" w:hint="eastAsia"/>
          <w:color w:val="000000"/>
          <w:kern w:val="0"/>
          <w:sz w:val="44"/>
          <w:szCs w:val="44"/>
          <w:lang w:bidi="ar"/>
        </w:rPr>
        <w:lastRenderedPageBreak/>
        <w:t>第一部分</w:t>
      </w:r>
      <w:r>
        <w:rPr>
          <w:rFonts w:ascii="黑体" w:eastAsia="黑体" w:hAnsi="宋体" w:hint="eastAsia"/>
          <w:color w:val="000000"/>
          <w:kern w:val="0"/>
          <w:sz w:val="44"/>
          <w:szCs w:val="44"/>
          <w:lang w:bidi="ar"/>
        </w:rPr>
        <w:t xml:space="preserve"> </w:t>
      </w:r>
      <w:r>
        <w:rPr>
          <w:rFonts w:ascii="黑体" w:eastAsia="黑体" w:hAnsi="宋体" w:hint="eastAsia"/>
          <w:color w:val="000000"/>
          <w:kern w:val="0"/>
          <w:sz w:val="44"/>
          <w:szCs w:val="44"/>
          <w:lang w:bidi="ar"/>
        </w:rPr>
        <w:t>部门</w:t>
      </w:r>
      <w:r>
        <w:rPr>
          <w:rFonts w:ascii="黑体" w:eastAsia="黑体" w:hAnsi="宋体"/>
          <w:color w:val="000000"/>
          <w:kern w:val="0"/>
          <w:sz w:val="44"/>
          <w:szCs w:val="44"/>
          <w:lang w:bidi="ar"/>
        </w:rPr>
        <w:t>概况</w:t>
      </w:r>
    </w:p>
    <w:p w:rsidR="00F87D11" w:rsidRDefault="00432835">
      <w:pPr>
        <w:widowControl/>
        <w:ind w:firstLineChars="200" w:firstLine="640"/>
        <w:jc w:val="left"/>
        <w:rPr>
          <w:rFonts w:ascii="黑体" w:eastAsia="黑体" w:hAnsi="宋体"/>
          <w:color w:val="000000"/>
          <w:kern w:val="0"/>
          <w:sz w:val="32"/>
          <w:szCs w:val="32"/>
          <w:lang w:bidi="ar"/>
        </w:rPr>
      </w:pPr>
      <w:r>
        <w:rPr>
          <w:rFonts w:ascii="黑体" w:eastAsia="黑体" w:hAnsi="宋体" w:hint="eastAsia"/>
          <w:color w:val="000000"/>
          <w:kern w:val="0"/>
          <w:sz w:val="32"/>
          <w:szCs w:val="32"/>
          <w:lang w:bidi="ar"/>
        </w:rPr>
        <w:t>一、部门主要职能及内设机构</w:t>
      </w:r>
    </w:p>
    <w:p w:rsidR="00F87D11" w:rsidRDefault="00432835">
      <w:pPr>
        <w:widowControl/>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（一）</w:t>
      </w:r>
      <w:r>
        <w:rPr>
          <w:rFonts w:ascii="黑体" w:eastAsia="黑体" w:hAnsi="宋体" w:hint="eastAsia"/>
          <w:color w:val="000000"/>
          <w:kern w:val="0"/>
          <w:sz w:val="32"/>
          <w:szCs w:val="32"/>
          <w:lang w:bidi="ar"/>
        </w:rPr>
        <w:t>部门主要职能</w:t>
      </w:r>
    </w:p>
    <w:p w:rsidR="00432835" w:rsidRDefault="00432835" w:rsidP="0043283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（一）贯彻执行国家、省、市有关道路运输管理的法律法规、规章制度和政策标准。</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（二）负责对全县道路运输行业、机构的业务指导。</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（三）参与拟定并具体组织实施道路客运、货运物流、城市客运、车辆维修、驾驶员培训等发展规划、行业政策制度、技术标准和规范。</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（四）负责对全县班线客运、旅游客运、包车客运、农村客运行业的指导服务。</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（五）负责全县道路运输行业发展资金(油补、交强险等)的申报、审核。</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（六）负责对全县公共汽车、出租汽车等行业的业务指导。</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（七）负责全县道路货物运输、道路危险货物运输和货运物流发展的业务指导工作。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（八）负责全县机动车维修和道路运输车辆技术发展的指导工作。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（九）负责道路运输从业人员和机动车驾驶员培训工作的业务指导。</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（十）承担春运、“十一”等节假日道路旅客、重要货物运输及抢险救灾、战略物资等紧急道路货物运输任务和指令性计划运输任务的运力组织工作。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（十一）承担“两客一危”道路运输车辆运行监测结果和道路运输行业的统计分析工作。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（十二）指导全县道路运输行业信息化建设工作。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（十三）开展道路运输行业节能减排工作。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（十四）负责行业企业质量信誉考核、从业人员诚信考核等工作。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（十五）承担道路运输行业维稳、信访和投诉处理，行业精神文明建设工作。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（十六）承担道路运输行政许可事项前的勘验、市场监测、统计分析等相关辅助工作。</w:t>
      </w:r>
    </w:p>
    <w:p w:rsidR="00432835" w:rsidRDefault="00432835" w:rsidP="0043283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（十七）承担公交汽车、出租汽车、网约车管理事务性工作。</w:t>
      </w:r>
    </w:p>
    <w:p w:rsidR="00F87D11" w:rsidRPr="00432835" w:rsidRDefault="00432835" w:rsidP="0043283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（十八）完成县交通运输局交办的其他工作。</w:t>
      </w:r>
      <w:bookmarkStart w:id="0" w:name="_GoBack"/>
      <w:bookmarkEnd w:id="0"/>
    </w:p>
    <w:p w:rsidR="00F87D11" w:rsidRDefault="00432835">
      <w:pPr>
        <w:widowControl/>
        <w:numPr>
          <w:ilvl w:val="0"/>
          <w:numId w:val="2"/>
        </w:numPr>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内设机构</w:t>
      </w:r>
    </w:p>
    <w:p w:rsidR="00F87D11" w:rsidRDefault="00432835">
      <w:pPr>
        <w:ind w:firstLineChars="200" w:firstLine="640"/>
        <w:rPr>
          <w:rFonts w:ascii="仿宋_GB2312" w:eastAsia="仿宋" w:hAnsi="宋体"/>
          <w:sz w:val="32"/>
          <w:szCs w:val="32"/>
        </w:rPr>
      </w:pPr>
      <w:r>
        <w:rPr>
          <w:rFonts w:ascii="仿宋_GB2312" w:eastAsia="仿宋_GB2312" w:hint="eastAsia"/>
          <w:sz w:val="32"/>
          <w:szCs w:val="32"/>
        </w:rPr>
        <w:t>镇坪县道路运输</w:t>
      </w:r>
      <w:r>
        <w:rPr>
          <w:rFonts w:ascii="仿宋_GB2312" w:eastAsia="仿宋_GB2312" w:hint="eastAsia"/>
          <w:sz w:val="32"/>
          <w:szCs w:val="32"/>
        </w:rPr>
        <w:t>服务中心</w:t>
      </w:r>
      <w:r>
        <w:rPr>
          <w:rFonts w:ascii="仿宋" w:eastAsia="仿宋" w:hAnsi="仿宋" w:cs="仿宋" w:hint="eastAsia"/>
          <w:sz w:val="32"/>
          <w:szCs w:val="32"/>
        </w:rPr>
        <w:t>为县</w:t>
      </w:r>
      <w:r>
        <w:rPr>
          <w:rFonts w:ascii="仿宋" w:eastAsia="仿宋" w:hAnsi="仿宋" w:cs="仿宋" w:hint="eastAsia"/>
          <w:sz w:val="32"/>
          <w:szCs w:val="32"/>
        </w:rPr>
        <w:t>交通运输</w:t>
      </w:r>
      <w:r>
        <w:rPr>
          <w:rFonts w:ascii="仿宋" w:eastAsia="仿宋" w:hAnsi="仿宋" w:cs="仿宋" w:hint="eastAsia"/>
          <w:sz w:val="32"/>
          <w:szCs w:val="32"/>
        </w:rPr>
        <w:t>局下属</w:t>
      </w:r>
      <w:r>
        <w:rPr>
          <w:rFonts w:ascii="仿宋" w:eastAsia="仿宋" w:hAnsi="仿宋" w:cs="仿宋" w:hint="eastAsia"/>
          <w:sz w:val="32"/>
          <w:szCs w:val="32"/>
        </w:rPr>
        <w:t>副</w:t>
      </w:r>
      <w:r>
        <w:rPr>
          <w:rFonts w:ascii="仿宋" w:eastAsia="仿宋" w:hAnsi="仿宋" w:cs="仿宋" w:hint="eastAsia"/>
          <w:sz w:val="32"/>
          <w:szCs w:val="32"/>
        </w:rPr>
        <w:t>科级财政全额预算事业单位</w:t>
      </w:r>
      <w:r>
        <w:rPr>
          <w:rFonts w:ascii="仿宋" w:eastAsia="仿宋" w:hAnsi="仿宋" w:cs="仿宋" w:hint="eastAsia"/>
          <w:sz w:val="32"/>
          <w:szCs w:val="32"/>
        </w:rPr>
        <w:t>，</w:t>
      </w:r>
      <w:r>
        <w:rPr>
          <w:rFonts w:ascii="仿宋" w:eastAsia="仿宋" w:hAnsi="仿宋" w:cs="仿宋" w:hint="eastAsia"/>
          <w:sz w:val="32"/>
          <w:szCs w:val="32"/>
        </w:rPr>
        <w:t>无内设机构。</w:t>
      </w:r>
    </w:p>
    <w:p w:rsidR="00F87D11" w:rsidRDefault="00432835">
      <w:pPr>
        <w:widowControl/>
        <w:ind w:firstLineChars="200" w:firstLine="640"/>
        <w:jc w:val="left"/>
      </w:pPr>
      <w:r>
        <w:rPr>
          <w:rFonts w:ascii="黑体" w:eastAsia="黑体" w:hAnsi="宋体"/>
          <w:color w:val="000000"/>
          <w:kern w:val="0"/>
          <w:sz w:val="32"/>
          <w:szCs w:val="32"/>
          <w:lang w:bidi="ar"/>
        </w:rPr>
        <w:t>二、</w:t>
      </w:r>
      <w:r>
        <w:rPr>
          <w:rFonts w:ascii="黑体" w:eastAsia="黑体" w:hAnsi="宋体" w:hint="eastAsia"/>
          <w:color w:val="000000"/>
          <w:kern w:val="0"/>
          <w:sz w:val="32"/>
          <w:szCs w:val="32"/>
          <w:lang w:bidi="ar"/>
        </w:rPr>
        <w:t>部门决算单位构成</w:t>
      </w:r>
    </w:p>
    <w:p w:rsidR="00F87D11" w:rsidRDefault="00432835">
      <w:pPr>
        <w:pStyle w:val="a3"/>
        <w:spacing w:line="580" w:lineRule="exact"/>
        <w:ind w:right="314" w:firstLineChars="200" w:firstLine="640"/>
        <w:rPr>
          <w:rFonts w:ascii="仿宋_GB2312" w:eastAsia="仿宋" w:hAnsi="仿宋_GB2312" w:cs="仿宋_GB2312"/>
        </w:rPr>
      </w:pPr>
      <w:r>
        <w:rPr>
          <w:rFonts w:ascii="仿宋_GB2312" w:eastAsia="仿宋_GB2312" w:hAnsi="仿宋_GB2312" w:cs="仿宋_GB2312" w:hint="eastAsia"/>
        </w:rPr>
        <w:t>纳入</w:t>
      </w:r>
      <w:r>
        <w:rPr>
          <w:rFonts w:ascii="仿宋_GB2312" w:eastAsia="仿宋_GB2312" w:hAnsi="仿宋_GB2312" w:cs="仿宋_GB2312" w:hint="eastAsia"/>
        </w:rPr>
        <w:t>2021</w:t>
      </w:r>
      <w:r>
        <w:rPr>
          <w:rFonts w:ascii="仿宋_GB2312" w:eastAsia="仿宋_GB2312" w:hAnsi="仿宋_GB2312" w:cs="仿宋_GB2312" w:hint="eastAsia"/>
        </w:rPr>
        <w:t>年本部门决算编制范围的单位共</w:t>
      </w:r>
      <w:r>
        <w:rPr>
          <w:rFonts w:ascii="仿宋_GB2312" w:eastAsia="仿宋_GB2312" w:hAnsi="仿宋_GB2312" w:cs="仿宋_GB2312" w:hint="eastAsia"/>
        </w:rPr>
        <w:t>1</w:t>
      </w:r>
      <w:r>
        <w:rPr>
          <w:rFonts w:ascii="仿宋_GB2312" w:eastAsia="仿宋_GB2312" w:hAnsi="仿宋_GB2312" w:cs="仿宋_GB2312" w:hint="eastAsia"/>
        </w:rPr>
        <w:t>个</w:t>
      </w:r>
      <w:r>
        <w:rPr>
          <w:rFonts w:ascii="仿宋_GB2312" w:eastAsia="仿宋_GB2312" w:hAnsi="仿宋_GB2312" w:cs="仿宋_GB2312" w:hint="eastAsia"/>
        </w:rPr>
        <w:t>，</w:t>
      </w:r>
      <w:r>
        <w:rPr>
          <w:rFonts w:ascii="仿宋_GB2312" w:eastAsia="仿宋_GB2312" w:hint="eastAsia"/>
        </w:rPr>
        <w:t>镇坪县</w:t>
      </w:r>
      <w:r>
        <w:rPr>
          <w:rFonts w:ascii="仿宋_GB2312" w:eastAsia="仿宋_GB2312" w:hint="eastAsia"/>
        </w:rPr>
        <w:lastRenderedPageBreak/>
        <w:t>道路运输</w:t>
      </w:r>
      <w:r>
        <w:rPr>
          <w:rFonts w:ascii="仿宋_GB2312" w:eastAsia="仿宋_GB2312" w:hint="eastAsia"/>
        </w:rPr>
        <w:t>服务中心</w:t>
      </w:r>
      <w:r>
        <w:rPr>
          <w:rFonts w:ascii="仿宋" w:eastAsia="仿宋" w:hAnsi="仿宋" w:cs="仿宋" w:hint="eastAsia"/>
        </w:rPr>
        <w:t>为县</w:t>
      </w:r>
      <w:r>
        <w:rPr>
          <w:rFonts w:ascii="仿宋" w:eastAsia="仿宋" w:hAnsi="仿宋" w:cs="仿宋" w:hint="eastAsia"/>
        </w:rPr>
        <w:t>交通运输</w:t>
      </w:r>
      <w:r>
        <w:rPr>
          <w:rFonts w:ascii="仿宋" w:eastAsia="仿宋" w:hAnsi="仿宋" w:cs="仿宋" w:hint="eastAsia"/>
        </w:rPr>
        <w:t>局下属</w:t>
      </w:r>
      <w:r>
        <w:rPr>
          <w:rFonts w:ascii="仿宋" w:eastAsia="仿宋" w:hAnsi="仿宋" w:cs="仿宋" w:hint="eastAsia"/>
        </w:rPr>
        <w:t>副</w:t>
      </w:r>
      <w:r>
        <w:rPr>
          <w:rFonts w:ascii="仿宋" w:eastAsia="仿宋" w:hAnsi="仿宋" w:cs="仿宋" w:hint="eastAsia"/>
        </w:rPr>
        <w:t>科级财政全额预算事业单位</w:t>
      </w:r>
      <w:r>
        <w:rPr>
          <w:rFonts w:ascii="仿宋" w:eastAsia="仿宋" w:hAnsi="仿宋" w:cs="仿宋" w:hint="eastAsia"/>
        </w:rPr>
        <w:t>。</w:t>
      </w:r>
    </w:p>
    <w:tbl>
      <w:tblPr>
        <w:tblStyle w:val="aa"/>
        <w:tblW w:w="8959" w:type="dxa"/>
        <w:tblLayout w:type="fixed"/>
        <w:tblLook w:val="04A0" w:firstRow="1" w:lastRow="0" w:firstColumn="1" w:lastColumn="0" w:noHBand="0" w:noVBand="1"/>
      </w:tblPr>
      <w:tblGrid>
        <w:gridCol w:w="1681"/>
        <w:gridCol w:w="7278"/>
      </w:tblGrid>
      <w:tr w:rsidR="00F87D11">
        <w:trPr>
          <w:trHeight w:val="678"/>
        </w:trPr>
        <w:tc>
          <w:tcPr>
            <w:tcW w:w="1681" w:type="dxa"/>
            <w:vAlign w:val="center"/>
          </w:tcPr>
          <w:p w:rsidR="00F87D11" w:rsidRDefault="00432835">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F87D11" w:rsidRDefault="00432835">
            <w:pPr>
              <w:jc w:val="center"/>
              <w:rPr>
                <w:rFonts w:ascii="黑体" w:eastAsia="黑体" w:hAnsi="黑体"/>
                <w:sz w:val="32"/>
                <w:szCs w:val="32"/>
              </w:rPr>
            </w:pPr>
            <w:r>
              <w:rPr>
                <w:rFonts w:ascii="黑体" w:eastAsia="黑体" w:hAnsi="黑体" w:hint="eastAsia"/>
                <w:sz w:val="32"/>
                <w:szCs w:val="32"/>
              </w:rPr>
              <w:t>单位名称</w:t>
            </w:r>
          </w:p>
        </w:tc>
      </w:tr>
      <w:tr w:rsidR="00F87D11">
        <w:trPr>
          <w:trHeight w:val="678"/>
        </w:trPr>
        <w:tc>
          <w:tcPr>
            <w:tcW w:w="1681" w:type="dxa"/>
            <w:vAlign w:val="center"/>
          </w:tcPr>
          <w:p w:rsidR="00F87D11" w:rsidRDefault="0043283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F87D11" w:rsidRDefault="00432835">
            <w:pPr>
              <w:jc w:val="center"/>
              <w:rPr>
                <w:rFonts w:ascii="仿宋_GB2312" w:eastAsia="仿宋_GB2312" w:hAnsi="仿宋_GB2312" w:cs="仿宋_GB2312"/>
                <w:sz w:val="32"/>
                <w:szCs w:val="32"/>
              </w:rPr>
            </w:pPr>
            <w:r>
              <w:rPr>
                <w:rFonts w:ascii="仿宋_GB2312" w:eastAsia="仿宋_GB2312" w:hint="eastAsia"/>
                <w:sz w:val="32"/>
                <w:szCs w:val="32"/>
              </w:rPr>
              <w:t>镇坪县道路运输</w:t>
            </w:r>
            <w:r>
              <w:rPr>
                <w:rFonts w:ascii="仿宋_GB2312" w:eastAsia="仿宋_GB2312" w:hint="eastAsia"/>
                <w:sz w:val="32"/>
                <w:szCs w:val="32"/>
              </w:rPr>
              <w:t>服务中心</w:t>
            </w:r>
          </w:p>
        </w:tc>
      </w:tr>
    </w:tbl>
    <w:p w:rsidR="00F87D11" w:rsidRDefault="00F87D11">
      <w:pPr>
        <w:widowControl/>
        <w:jc w:val="center"/>
        <w:rPr>
          <w:rFonts w:ascii="黑体" w:eastAsia="黑体" w:hAnsi="宋体"/>
          <w:color w:val="000000"/>
          <w:kern w:val="0"/>
          <w:sz w:val="44"/>
          <w:szCs w:val="44"/>
          <w:lang w:bidi="ar"/>
        </w:rPr>
      </w:pPr>
    </w:p>
    <w:p w:rsidR="00F87D11" w:rsidRDefault="00432835">
      <w:pPr>
        <w:ind w:firstLineChars="200" w:firstLine="640"/>
        <w:rPr>
          <w:rFonts w:ascii="黑体" w:eastAsia="黑体" w:hAnsi="黑体"/>
          <w:sz w:val="32"/>
          <w:szCs w:val="32"/>
        </w:rPr>
      </w:pPr>
      <w:r>
        <w:rPr>
          <w:rFonts w:ascii="黑体" w:eastAsia="黑体" w:hAnsi="黑体" w:hint="eastAsia"/>
          <w:sz w:val="32"/>
          <w:szCs w:val="32"/>
        </w:rPr>
        <w:t>三、部门人员情况</w:t>
      </w:r>
    </w:p>
    <w:p w:rsidR="00F87D11" w:rsidRDefault="00432835">
      <w:pPr>
        <w:widowControl/>
        <w:ind w:firstLine="640"/>
        <w:jc w:val="left"/>
        <w:rPr>
          <w:rFonts w:ascii="方正小标宋简体" w:eastAsia="方正小标宋简体" w:hAnsi="方正小标宋简体" w:cs="方正小标宋简体"/>
          <w:color w:val="000000"/>
          <w:kern w:val="0"/>
          <w:sz w:val="44"/>
          <w:szCs w:val="44"/>
        </w:rPr>
      </w:pPr>
      <w:r>
        <w:rPr>
          <w:rFonts w:ascii="仿宋_GB2312" w:eastAsia="仿宋_GB2312" w:hAnsi="仿宋_GB2312" w:cs="仿宋_GB2312" w:hint="eastAsia"/>
          <w:sz w:val="32"/>
          <w:szCs w:val="32"/>
        </w:rPr>
        <w:t>截</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年底，本部门人员编制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人，其中行政编制</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人；实有人员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人，其中行政</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人、事业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p>
    <w:p w:rsidR="00F87D11" w:rsidRDefault="00432835">
      <w:pPr>
        <w:pStyle w:val="3"/>
        <w:rPr>
          <w:rFonts w:eastAsia="仿宋_GB2312"/>
        </w:rPr>
      </w:pPr>
      <w:r>
        <w:rPr>
          <w:rFonts w:ascii="黑体" w:eastAsia="黑体" w:hAnsi="宋体" w:hint="eastAsia"/>
          <w:noProof/>
          <w:color w:val="000000"/>
          <w:kern w:val="0"/>
          <w:sz w:val="44"/>
          <w:szCs w:val="44"/>
        </w:rPr>
        <w:drawing>
          <wp:anchor distT="0" distB="0" distL="114300" distR="114300" simplePos="0" relativeHeight="251659264" behindDoc="0" locked="0" layoutInCell="1" allowOverlap="1">
            <wp:simplePos x="0" y="0"/>
            <wp:positionH relativeFrom="column">
              <wp:posOffset>585470</wp:posOffset>
            </wp:positionH>
            <wp:positionV relativeFrom="paragraph">
              <wp:posOffset>137795</wp:posOffset>
            </wp:positionV>
            <wp:extent cx="4319270" cy="2504440"/>
            <wp:effectExtent l="4445" t="5080" r="1968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87D11" w:rsidRDefault="00F87D11">
      <w:pPr>
        <w:widowControl/>
        <w:rPr>
          <w:rFonts w:ascii="黑体" w:eastAsia="黑体" w:hAnsi="宋体"/>
          <w:color w:val="000000"/>
          <w:kern w:val="0"/>
          <w:sz w:val="44"/>
          <w:szCs w:val="44"/>
          <w:lang w:bidi="ar"/>
        </w:rPr>
      </w:pPr>
    </w:p>
    <w:p w:rsidR="00F87D11" w:rsidRDefault="00F87D11">
      <w:pPr>
        <w:widowControl/>
        <w:jc w:val="center"/>
        <w:rPr>
          <w:rFonts w:ascii="黑体" w:eastAsia="黑体" w:hAnsi="宋体"/>
          <w:color w:val="000000"/>
          <w:kern w:val="0"/>
          <w:sz w:val="44"/>
          <w:szCs w:val="44"/>
          <w:lang w:bidi="ar"/>
        </w:rPr>
      </w:pPr>
    </w:p>
    <w:p w:rsidR="00F87D11" w:rsidRDefault="00F87D11">
      <w:pPr>
        <w:widowControl/>
        <w:jc w:val="center"/>
        <w:rPr>
          <w:rFonts w:ascii="黑体" w:eastAsia="黑体" w:hAnsi="宋体"/>
          <w:color w:val="000000"/>
          <w:kern w:val="0"/>
          <w:sz w:val="44"/>
          <w:szCs w:val="44"/>
          <w:lang w:bidi="ar"/>
        </w:rPr>
      </w:pPr>
    </w:p>
    <w:p w:rsidR="00F87D11" w:rsidRDefault="00F87D11">
      <w:pPr>
        <w:widowControl/>
        <w:rPr>
          <w:rFonts w:ascii="黑体" w:eastAsia="黑体" w:hAnsi="宋体"/>
          <w:color w:val="000000"/>
          <w:kern w:val="0"/>
          <w:sz w:val="44"/>
          <w:szCs w:val="44"/>
          <w:lang w:bidi="ar"/>
        </w:rPr>
      </w:pPr>
    </w:p>
    <w:p w:rsidR="00F87D11" w:rsidRDefault="00432835">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第二部分</w:t>
      </w:r>
      <w:r>
        <w:rPr>
          <w:rFonts w:ascii="方正小标宋简体" w:eastAsia="方正小标宋简体" w:hAnsi="方正小标宋简体" w:cs="方正小标宋简体" w:hint="eastAsia"/>
          <w:color w:val="000000"/>
          <w:kern w:val="0"/>
          <w:sz w:val="44"/>
          <w:szCs w:val="44"/>
        </w:rPr>
        <w:t xml:space="preserve"> 2021</w:t>
      </w:r>
      <w:r>
        <w:rPr>
          <w:rFonts w:ascii="方正小标宋简体" w:eastAsia="方正小标宋简体" w:hAnsi="方正小标宋简体" w:cs="方正小标宋简体" w:hint="eastAsia"/>
          <w:color w:val="000000"/>
          <w:kern w:val="0"/>
          <w:sz w:val="44"/>
          <w:szCs w:val="44"/>
        </w:rPr>
        <w:t>年度部门决算表</w:t>
      </w:r>
    </w:p>
    <w:p w:rsidR="00F87D11" w:rsidRDefault="00432835">
      <w:pPr>
        <w:widowControl/>
        <w:rPr>
          <w:rFonts w:ascii="黑体" w:eastAsia="黑体" w:hAnsi="宋体"/>
          <w:color w:val="000000"/>
          <w:kern w:val="0"/>
          <w:sz w:val="44"/>
          <w:szCs w:val="44"/>
          <w:lang w:bidi="ar"/>
        </w:rPr>
      </w:pPr>
      <w:r>
        <w:rPr>
          <w:rFonts w:ascii="仿宋" w:eastAsia="仿宋" w:hAnsi="仿宋" w:cs="仿宋" w:hint="eastAsia"/>
          <w:bCs/>
          <w:color w:val="000000"/>
          <w:kern w:val="0"/>
          <w:sz w:val="32"/>
          <w:szCs w:val="32"/>
        </w:rPr>
        <w:lastRenderedPageBreak/>
        <w:t xml:space="preserve">  </w:t>
      </w:r>
      <w:bookmarkStart w:id="1" w:name="_1740461918"/>
      <w:bookmarkEnd w:id="1"/>
      <w:r>
        <w:rPr>
          <w:rFonts w:ascii="仿宋" w:eastAsia="仿宋" w:hAnsi="仿宋" w:cs="仿宋" w:hint="eastAsia"/>
          <w:bCs/>
          <w:color w:val="000000"/>
          <w:kern w:val="0"/>
          <w:sz w:val="32"/>
          <w:szCs w:val="32"/>
        </w:rPr>
        <w:object w:dxaOrig="7683" w:dyaOrig="1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2pt;height:553.45pt" o:ole="">
            <v:imagedata r:id="rId8" o:title=""/>
          </v:shape>
          <o:OLEObject Type="Embed" ProgID="Excel.Sheet.12" ShapeID="_x0000_i1025" DrawAspect="Content" ObjectID="_1741084144" r:id="rId9"/>
        </w:object>
      </w:r>
    </w:p>
    <w:p w:rsidR="00F87D11" w:rsidRDefault="00432835">
      <w:pPr>
        <w:widowControl/>
        <w:jc w:val="center"/>
        <w:textAlignment w:val="center"/>
        <w:rPr>
          <w:rFonts w:ascii="宋体" w:hAnsi="宋体" w:cs="宋体"/>
          <w:b/>
          <w:color w:val="000000"/>
          <w:kern w:val="0"/>
          <w:sz w:val="40"/>
          <w:szCs w:val="40"/>
          <w:lang w:bidi="ar"/>
        </w:rPr>
      </w:pPr>
      <w:r>
        <w:rPr>
          <w:rFonts w:ascii="宋体" w:hAnsi="宋体" w:cs="宋体" w:hint="eastAsia"/>
          <w:b/>
          <w:color w:val="000000"/>
          <w:kern w:val="0"/>
          <w:sz w:val="40"/>
          <w:szCs w:val="40"/>
          <w:lang w:bidi="ar"/>
        </w:rPr>
        <w:br w:type="page"/>
      </w:r>
    </w:p>
    <w:p w:rsidR="00F87D11" w:rsidRDefault="00432835">
      <w:pPr>
        <w:jc w:val="center"/>
      </w:pPr>
      <w:r>
        <w:rPr>
          <w:noProof/>
        </w:rPr>
        <w:lastRenderedPageBreak/>
        <w:drawing>
          <wp:inline distT="0" distB="0" distL="114300" distR="114300">
            <wp:extent cx="5611495" cy="5460365"/>
            <wp:effectExtent l="0" t="0" r="825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611495" cy="5460365"/>
                    </a:xfrm>
                    <a:prstGeom prst="rect">
                      <a:avLst/>
                    </a:prstGeom>
                    <a:noFill/>
                    <a:ln>
                      <a:noFill/>
                    </a:ln>
                  </pic:spPr>
                </pic:pic>
              </a:graphicData>
            </a:graphic>
          </wp:inline>
        </w:drawing>
      </w:r>
    </w:p>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432835">
      <w:pPr>
        <w:jc w:val="center"/>
      </w:pPr>
      <w:r>
        <w:rPr>
          <w:noProof/>
        </w:rPr>
        <w:drawing>
          <wp:inline distT="0" distB="0" distL="114300" distR="114300">
            <wp:extent cx="5612130" cy="2379980"/>
            <wp:effectExtent l="0" t="0" r="7620" b="127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5612130" cy="2379980"/>
                    </a:xfrm>
                    <a:prstGeom prst="rect">
                      <a:avLst/>
                    </a:prstGeom>
                    <a:noFill/>
                    <a:ln>
                      <a:noFill/>
                    </a:ln>
                  </pic:spPr>
                </pic:pic>
              </a:graphicData>
            </a:graphic>
          </wp:inline>
        </w:drawing>
      </w:r>
    </w:p>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jc w:val="center"/>
      </w:pPr>
    </w:p>
    <w:p w:rsidR="00F87D11" w:rsidRDefault="00432835">
      <w:pPr>
        <w:jc w:val="center"/>
      </w:pPr>
      <w:r>
        <w:rPr>
          <w:noProof/>
        </w:rPr>
        <w:lastRenderedPageBreak/>
        <w:drawing>
          <wp:inline distT="0" distB="0" distL="114300" distR="114300">
            <wp:extent cx="5612130" cy="2818130"/>
            <wp:effectExtent l="0" t="0" r="7620" b="12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2"/>
                    <a:stretch>
                      <a:fillRect/>
                    </a:stretch>
                  </pic:blipFill>
                  <pic:spPr>
                    <a:xfrm>
                      <a:off x="0" y="0"/>
                      <a:ext cx="5612130" cy="2818130"/>
                    </a:xfrm>
                    <a:prstGeom prst="rect">
                      <a:avLst/>
                    </a:prstGeom>
                    <a:noFill/>
                    <a:ln>
                      <a:noFill/>
                    </a:ln>
                  </pic:spPr>
                </pic:pic>
              </a:graphicData>
            </a:graphic>
          </wp:inline>
        </w:drawing>
      </w: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F87D11">
      <w:pPr>
        <w:jc w:val="center"/>
      </w:pPr>
    </w:p>
    <w:p w:rsidR="00F87D11" w:rsidRDefault="00432835">
      <w:pPr>
        <w:widowControl/>
        <w:jc w:val="left"/>
      </w:pPr>
      <w:r>
        <w:rPr>
          <w:noProof/>
        </w:rPr>
        <w:lastRenderedPageBreak/>
        <w:drawing>
          <wp:inline distT="0" distB="0" distL="114300" distR="114300">
            <wp:extent cx="5608955" cy="4492625"/>
            <wp:effectExtent l="0" t="0" r="10795" b="317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3"/>
                    <a:stretch>
                      <a:fillRect/>
                    </a:stretch>
                  </pic:blipFill>
                  <pic:spPr>
                    <a:xfrm>
                      <a:off x="0" y="0"/>
                      <a:ext cx="5608955" cy="4492625"/>
                    </a:xfrm>
                    <a:prstGeom prst="rect">
                      <a:avLst/>
                    </a:prstGeom>
                    <a:noFill/>
                    <a:ln>
                      <a:noFill/>
                    </a:ln>
                  </pic:spPr>
                </pic:pic>
              </a:graphicData>
            </a:graphic>
          </wp:inline>
        </w:drawing>
      </w:r>
    </w:p>
    <w:p w:rsidR="00F87D11" w:rsidRDefault="00F87D11">
      <w:pPr>
        <w:pStyle w:val="3"/>
      </w:pPr>
    </w:p>
    <w:p w:rsidR="00F87D11" w:rsidRDefault="00F87D11">
      <w:pPr>
        <w:pStyle w:val="a3"/>
      </w:pPr>
    </w:p>
    <w:p w:rsidR="00F87D11" w:rsidRDefault="00F87D11"/>
    <w:p w:rsidR="00F87D11" w:rsidRDefault="00F87D11">
      <w:pPr>
        <w:pStyle w:val="3"/>
      </w:pPr>
    </w:p>
    <w:p w:rsidR="00F87D11" w:rsidRDefault="00432835">
      <w:pPr>
        <w:pStyle w:val="a3"/>
      </w:pPr>
      <w:r>
        <w:rPr>
          <w:noProof/>
        </w:rPr>
        <w:lastRenderedPageBreak/>
        <w:drawing>
          <wp:inline distT="0" distB="0" distL="114300" distR="114300">
            <wp:extent cx="5612765" cy="2916555"/>
            <wp:effectExtent l="0" t="0" r="6985" b="171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14"/>
                    <a:stretch>
                      <a:fillRect/>
                    </a:stretch>
                  </pic:blipFill>
                  <pic:spPr>
                    <a:xfrm>
                      <a:off x="0" y="0"/>
                      <a:ext cx="5612765" cy="2916555"/>
                    </a:xfrm>
                    <a:prstGeom prst="rect">
                      <a:avLst/>
                    </a:prstGeom>
                    <a:noFill/>
                    <a:ln>
                      <a:noFill/>
                    </a:ln>
                  </pic:spPr>
                </pic:pic>
              </a:graphicData>
            </a:graphic>
          </wp:inline>
        </w:drawing>
      </w:r>
    </w:p>
    <w:p w:rsidR="00F87D11" w:rsidRDefault="00F87D11"/>
    <w:p w:rsidR="00F87D11" w:rsidRDefault="00F87D11">
      <w:pPr>
        <w:pStyle w:val="3"/>
      </w:pPr>
    </w:p>
    <w:p w:rsidR="00F87D11" w:rsidRDefault="00432835">
      <w:pPr>
        <w:pStyle w:val="a3"/>
      </w:pPr>
      <w:r>
        <w:rPr>
          <w:noProof/>
        </w:rPr>
        <w:lastRenderedPageBreak/>
        <w:drawing>
          <wp:inline distT="0" distB="0" distL="114300" distR="114300">
            <wp:extent cx="5610860" cy="5508625"/>
            <wp:effectExtent l="0" t="0" r="8890" b="15875"/>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5"/>
                    <a:stretch>
                      <a:fillRect/>
                    </a:stretch>
                  </pic:blipFill>
                  <pic:spPr>
                    <a:xfrm>
                      <a:off x="0" y="0"/>
                      <a:ext cx="5610860" cy="5508625"/>
                    </a:xfrm>
                    <a:prstGeom prst="rect">
                      <a:avLst/>
                    </a:prstGeom>
                    <a:noFill/>
                    <a:ln>
                      <a:noFill/>
                    </a:ln>
                  </pic:spPr>
                </pic:pic>
              </a:graphicData>
            </a:graphic>
          </wp:inline>
        </w:drawing>
      </w:r>
    </w:p>
    <w:p w:rsidR="00F87D11" w:rsidRDefault="00F87D11"/>
    <w:p w:rsidR="00F87D11" w:rsidRDefault="00F87D11">
      <w:pPr>
        <w:pStyle w:val="3"/>
      </w:pPr>
    </w:p>
    <w:p w:rsidR="00F87D11" w:rsidRDefault="00F87D11">
      <w:pPr>
        <w:pStyle w:val="a3"/>
      </w:pPr>
    </w:p>
    <w:p w:rsidR="00F87D11" w:rsidRDefault="00432835">
      <w:r>
        <w:rPr>
          <w:noProof/>
        </w:rPr>
        <w:lastRenderedPageBreak/>
        <w:drawing>
          <wp:inline distT="0" distB="0" distL="114300" distR="114300">
            <wp:extent cx="5614035" cy="2160905"/>
            <wp:effectExtent l="0" t="0" r="5715" b="1079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16"/>
                    <a:stretch>
                      <a:fillRect/>
                    </a:stretch>
                  </pic:blipFill>
                  <pic:spPr>
                    <a:xfrm>
                      <a:off x="0" y="0"/>
                      <a:ext cx="5614035" cy="2160905"/>
                    </a:xfrm>
                    <a:prstGeom prst="rect">
                      <a:avLst/>
                    </a:prstGeom>
                    <a:noFill/>
                    <a:ln>
                      <a:noFill/>
                    </a:ln>
                  </pic:spPr>
                </pic:pic>
              </a:graphicData>
            </a:graphic>
          </wp:inline>
        </w:drawing>
      </w:r>
    </w:p>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432835">
      <w:r>
        <w:rPr>
          <w:noProof/>
        </w:rPr>
        <w:lastRenderedPageBreak/>
        <w:drawing>
          <wp:inline distT="0" distB="0" distL="114300" distR="114300">
            <wp:extent cx="5615305" cy="2782570"/>
            <wp:effectExtent l="0" t="0" r="4445" b="17780"/>
            <wp:docPr id="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17"/>
                    <a:stretch>
                      <a:fillRect/>
                    </a:stretch>
                  </pic:blipFill>
                  <pic:spPr>
                    <a:xfrm>
                      <a:off x="0" y="0"/>
                      <a:ext cx="5615305" cy="2782570"/>
                    </a:xfrm>
                    <a:prstGeom prst="rect">
                      <a:avLst/>
                    </a:prstGeom>
                    <a:noFill/>
                    <a:ln>
                      <a:noFill/>
                    </a:ln>
                  </pic:spPr>
                </pic:pic>
              </a:graphicData>
            </a:graphic>
          </wp:inline>
        </w:drawing>
      </w:r>
    </w:p>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F87D11"/>
    <w:p w:rsidR="00F87D11" w:rsidRDefault="00432835">
      <w:r>
        <w:rPr>
          <w:noProof/>
        </w:rPr>
        <w:lastRenderedPageBreak/>
        <w:drawing>
          <wp:inline distT="0" distB="0" distL="114300" distR="114300">
            <wp:extent cx="5610860" cy="2841625"/>
            <wp:effectExtent l="0" t="0" r="8890" b="15875"/>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18"/>
                    <a:stretch>
                      <a:fillRect/>
                    </a:stretch>
                  </pic:blipFill>
                  <pic:spPr>
                    <a:xfrm>
                      <a:off x="0" y="0"/>
                      <a:ext cx="5610860" cy="2841625"/>
                    </a:xfrm>
                    <a:prstGeom prst="rect">
                      <a:avLst/>
                    </a:prstGeom>
                    <a:noFill/>
                    <a:ln>
                      <a:noFill/>
                    </a:ln>
                  </pic:spPr>
                </pic:pic>
              </a:graphicData>
            </a:graphic>
          </wp:inline>
        </w:drawing>
      </w:r>
    </w:p>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 w:rsidR="00F87D11" w:rsidRDefault="00F87D11">
      <w:pPr>
        <w:pStyle w:val="3"/>
      </w:pPr>
    </w:p>
    <w:p w:rsidR="00F87D11" w:rsidRDefault="00F87D11">
      <w:pPr>
        <w:pStyle w:val="a3"/>
      </w:pPr>
    </w:p>
    <w:p w:rsidR="00F87D11" w:rsidRDefault="00F87D11">
      <w:pPr>
        <w:pStyle w:val="a3"/>
      </w:pPr>
    </w:p>
    <w:p w:rsidR="00F87D11" w:rsidRDefault="00F87D11"/>
    <w:p w:rsidR="00F87D11" w:rsidRDefault="00F87D11">
      <w:pPr>
        <w:pStyle w:val="3"/>
      </w:pPr>
    </w:p>
    <w:p w:rsidR="00F87D11" w:rsidRDefault="00432835">
      <w:pPr>
        <w:jc w:val="center"/>
        <w:rPr>
          <w:rFonts w:ascii="黑体" w:eastAsia="黑体" w:hAnsi="宋体"/>
          <w:color w:val="000000"/>
          <w:kern w:val="0"/>
          <w:sz w:val="44"/>
          <w:szCs w:val="44"/>
          <w:lang w:bidi="ar"/>
        </w:rPr>
      </w:pPr>
      <w:r>
        <w:rPr>
          <w:rFonts w:ascii="黑体" w:eastAsia="黑体" w:hAnsi="宋体" w:hint="eastAsia"/>
          <w:color w:val="000000"/>
          <w:kern w:val="0"/>
          <w:sz w:val="44"/>
          <w:szCs w:val="44"/>
          <w:lang w:bidi="ar"/>
        </w:rPr>
        <w:lastRenderedPageBreak/>
        <w:t>第三部分</w:t>
      </w:r>
      <w:r>
        <w:rPr>
          <w:rFonts w:ascii="黑体" w:eastAsia="黑体" w:hAnsi="宋体" w:hint="eastAsia"/>
          <w:color w:val="000000"/>
          <w:kern w:val="0"/>
          <w:sz w:val="44"/>
          <w:szCs w:val="44"/>
          <w:lang w:bidi="ar"/>
        </w:rPr>
        <w:t xml:space="preserve"> </w:t>
      </w:r>
      <w:r>
        <w:rPr>
          <w:rFonts w:ascii="黑体" w:eastAsia="黑体" w:hAnsi="宋体" w:hint="eastAsia"/>
          <w:color w:val="000000"/>
          <w:kern w:val="0"/>
          <w:sz w:val="44"/>
          <w:szCs w:val="44"/>
          <w:lang w:bidi="ar"/>
        </w:rPr>
        <w:t>2021</w:t>
      </w:r>
      <w:r>
        <w:rPr>
          <w:rFonts w:ascii="黑体" w:eastAsia="黑体" w:hAnsi="宋体" w:hint="eastAsia"/>
          <w:color w:val="000000"/>
          <w:kern w:val="0"/>
          <w:sz w:val="44"/>
          <w:szCs w:val="44"/>
          <w:lang w:bidi="ar"/>
        </w:rPr>
        <w:t xml:space="preserve"> </w:t>
      </w:r>
      <w:r>
        <w:rPr>
          <w:rFonts w:ascii="黑体" w:eastAsia="黑体" w:hAnsi="宋体" w:hint="eastAsia"/>
          <w:color w:val="000000"/>
          <w:kern w:val="0"/>
          <w:sz w:val="44"/>
          <w:szCs w:val="44"/>
          <w:lang w:bidi="ar"/>
        </w:rPr>
        <w:t>年部门决算情况说明</w:t>
      </w:r>
    </w:p>
    <w:p w:rsidR="00F87D11" w:rsidRDefault="00F87D11">
      <w:pPr>
        <w:widowControl/>
        <w:rPr>
          <w:rFonts w:ascii="黑体" w:eastAsia="黑体" w:hAnsi="宋体"/>
          <w:color w:val="000000"/>
          <w:kern w:val="0"/>
          <w:sz w:val="44"/>
          <w:szCs w:val="44"/>
          <w:lang w:bidi="ar"/>
        </w:rPr>
      </w:pPr>
    </w:p>
    <w:p w:rsidR="00F87D11" w:rsidRDefault="00432835">
      <w:pPr>
        <w:widowControl/>
        <w:numPr>
          <w:ilvl w:val="0"/>
          <w:numId w:val="3"/>
        </w:numPr>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收入支出决算总体情况说明</w:t>
      </w:r>
      <w:r>
        <w:rPr>
          <w:rFonts w:ascii="黑体" w:eastAsia="黑体" w:hAnsi="黑体" w:hint="eastAsia"/>
          <w:color w:val="000000"/>
          <w:kern w:val="0"/>
          <w:sz w:val="32"/>
          <w:szCs w:val="32"/>
          <w:lang w:bidi="ar"/>
        </w:rPr>
        <w:t xml:space="preserve"> </w:t>
      </w:r>
    </w:p>
    <w:p w:rsidR="00F87D11" w:rsidRDefault="00432835">
      <w:pPr>
        <w:spacing w:line="52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2021</w:t>
      </w:r>
      <w:r>
        <w:rPr>
          <w:rFonts w:ascii="仿宋_GB2312" w:eastAsia="仿宋_GB2312" w:hint="eastAsia"/>
          <w:sz w:val="32"/>
          <w:szCs w:val="32"/>
        </w:rPr>
        <w:t>年收入总额</w:t>
      </w:r>
      <w:r>
        <w:rPr>
          <w:rFonts w:ascii="仿宋_GB2312" w:eastAsia="仿宋_GB2312" w:hint="eastAsia"/>
          <w:sz w:val="32"/>
          <w:szCs w:val="32"/>
        </w:rPr>
        <w:t>34.25</w:t>
      </w:r>
      <w:r>
        <w:rPr>
          <w:rFonts w:ascii="仿宋_GB2312" w:eastAsia="仿宋_GB2312" w:hint="eastAsia"/>
          <w:sz w:val="32"/>
          <w:szCs w:val="32"/>
        </w:rPr>
        <w:t>万元，较上年</w:t>
      </w:r>
      <w:r>
        <w:rPr>
          <w:rFonts w:ascii="仿宋_GB2312" w:eastAsia="仿宋_GB2312" w:hAnsi="仿宋" w:hint="eastAsia"/>
          <w:sz w:val="32"/>
          <w:szCs w:val="32"/>
        </w:rPr>
        <w:t>减少</w:t>
      </w:r>
      <w:r>
        <w:rPr>
          <w:rFonts w:ascii="仿宋_GB2312" w:eastAsia="仿宋_GB2312" w:hint="eastAsia"/>
          <w:sz w:val="32"/>
          <w:szCs w:val="32"/>
        </w:rPr>
        <w:t>37.88</w:t>
      </w:r>
      <w:r>
        <w:rPr>
          <w:rFonts w:ascii="仿宋_GB2312" w:eastAsia="仿宋_GB2312" w:hint="eastAsia"/>
          <w:sz w:val="32"/>
          <w:szCs w:val="32"/>
        </w:rPr>
        <w:t>万元，</w:t>
      </w:r>
      <w:r>
        <w:rPr>
          <w:rFonts w:ascii="仿宋_GB2312" w:eastAsia="仿宋_GB2312" w:hAnsi="仿宋" w:hint="eastAsia"/>
          <w:sz w:val="32"/>
          <w:szCs w:val="32"/>
        </w:rPr>
        <w:t>降</w:t>
      </w:r>
      <w:r>
        <w:rPr>
          <w:rFonts w:ascii="仿宋_GB2312" w:eastAsia="仿宋_GB2312" w:hAnsi="仿宋" w:hint="eastAsia"/>
          <w:sz w:val="32"/>
          <w:szCs w:val="32"/>
        </w:rPr>
        <w:t>幅</w:t>
      </w:r>
      <w:r>
        <w:rPr>
          <w:rFonts w:ascii="仿宋_GB2312" w:eastAsia="仿宋_GB2312" w:hAnsi="仿宋" w:hint="eastAsia"/>
          <w:sz w:val="32"/>
          <w:szCs w:val="32"/>
        </w:rPr>
        <w:t>52.52</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仿宋" w:hint="eastAsia"/>
          <w:sz w:val="32"/>
          <w:szCs w:val="32"/>
        </w:rPr>
        <w:t>降低</w:t>
      </w:r>
      <w:r>
        <w:rPr>
          <w:rFonts w:ascii="仿宋_GB2312" w:eastAsia="仿宋_GB2312" w:hint="eastAsia"/>
          <w:sz w:val="32"/>
          <w:szCs w:val="32"/>
        </w:rPr>
        <w:t>的主要原因</w:t>
      </w:r>
      <w:r>
        <w:rPr>
          <w:rFonts w:ascii="仿宋_GB2312" w:eastAsia="仿宋_GB2312" w:hint="eastAsia"/>
          <w:sz w:val="32"/>
          <w:szCs w:val="32"/>
        </w:rPr>
        <w:t>是机构改革人员划转，人员经费财政拨款收入减少</w:t>
      </w:r>
      <w:r>
        <w:rPr>
          <w:rFonts w:ascii="仿宋_GB2312" w:eastAsia="仿宋_GB2312" w:hint="eastAsia"/>
          <w:sz w:val="32"/>
          <w:szCs w:val="32"/>
        </w:rPr>
        <w:t>。</w:t>
      </w:r>
    </w:p>
    <w:p w:rsidR="00F87D11" w:rsidRDefault="00432835">
      <w:pPr>
        <w:spacing w:line="520" w:lineRule="exact"/>
        <w:ind w:firstLineChars="200" w:firstLine="640"/>
        <w:rPr>
          <w:rFonts w:ascii="仿宋_GB2312" w:eastAsia="仿宋_GB2312"/>
          <w:sz w:val="32"/>
          <w:szCs w:val="32"/>
        </w:rPr>
      </w:pPr>
      <w:r>
        <w:rPr>
          <w:rFonts w:ascii="仿宋_GB2312" w:eastAsia="仿宋_GB2312" w:hAnsi="仿宋" w:hint="eastAsia"/>
          <w:sz w:val="32"/>
          <w:szCs w:val="32"/>
        </w:rPr>
        <w:t>2.</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int="eastAsia"/>
          <w:sz w:val="32"/>
          <w:szCs w:val="32"/>
        </w:rPr>
        <w:t>支出总额</w:t>
      </w:r>
      <w:r>
        <w:rPr>
          <w:rFonts w:ascii="仿宋_GB2312" w:eastAsia="仿宋_GB2312" w:hint="eastAsia"/>
          <w:sz w:val="32"/>
          <w:szCs w:val="32"/>
        </w:rPr>
        <w:t>34.25</w:t>
      </w:r>
      <w:r>
        <w:rPr>
          <w:rFonts w:ascii="仿宋_GB2312" w:eastAsia="仿宋_GB2312" w:hint="eastAsia"/>
          <w:sz w:val="32"/>
          <w:szCs w:val="32"/>
        </w:rPr>
        <w:t>万元，较上年</w:t>
      </w:r>
      <w:r>
        <w:rPr>
          <w:rFonts w:ascii="仿宋_GB2312" w:eastAsia="仿宋_GB2312" w:hAnsi="仿宋" w:hint="eastAsia"/>
          <w:sz w:val="32"/>
          <w:szCs w:val="32"/>
        </w:rPr>
        <w:t>减少</w:t>
      </w:r>
      <w:r>
        <w:rPr>
          <w:rFonts w:ascii="仿宋_GB2312" w:eastAsia="仿宋_GB2312" w:hint="eastAsia"/>
          <w:sz w:val="32"/>
          <w:szCs w:val="32"/>
        </w:rPr>
        <w:t>37.88</w:t>
      </w:r>
      <w:r>
        <w:rPr>
          <w:rFonts w:ascii="仿宋_GB2312" w:eastAsia="仿宋_GB2312" w:hint="eastAsia"/>
          <w:sz w:val="32"/>
          <w:szCs w:val="32"/>
        </w:rPr>
        <w:t>万元，</w:t>
      </w:r>
      <w:r>
        <w:rPr>
          <w:rFonts w:ascii="仿宋_GB2312" w:eastAsia="仿宋_GB2312" w:hAnsi="仿宋" w:hint="eastAsia"/>
          <w:sz w:val="32"/>
          <w:szCs w:val="32"/>
        </w:rPr>
        <w:t>降幅</w:t>
      </w:r>
      <w:r>
        <w:rPr>
          <w:rFonts w:ascii="仿宋_GB2312" w:eastAsia="仿宋_GB2312" w:hint="eastAsia"/>
          <w:sz w:val="32"/>
          <w:szCs w:val="32"/>
        </w:rPr>
        <w:t>52.52</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仿宋" w:hint="eastAsia"/>
          <w:sz w:val="32"/>
          <w:szCs w:val="32"/>
        </w:rPr>
        <w:t>降低</w:t>
      </w:r>
      <w:r>
        <w:rPr>
          <w:rFonts w:ascii="仿宋_GB2312" w:eastAsia="仿宋_GB2312" w:hint="eastAsia"/>
          <w:sz w:val="32"/>
          <w:szCs w:val="32"/>
        </w:rPr>
        <w:t>的主要原因</w:t>
      </w:r>
      <w:r>
        <w:rPr>
          <w:rFonts w:ascii="仿宋_GB2312" w:eastAsia="仿宋_GB2312" w:hint="eastAsia"/>
          <w:sz w:val="32"/>
          <w:szCs w:val="32"/>
        </w:rPr>
        <w:t>是机构改革人员划转，人员经费支出减少</w:t>
      </w:r>
      <w:r>
        <w:rPr>
          <w:rFonts w:ascii="仿宋_GB2312" w:eastAsia="仿宋_GB2312" w:hint="eastAsia"/>
          <w:sz w:val="32"/>
          <w:szCs w:val="32"/>
        </w:rPr>
        <w:t>。</w:t>
      </w:r>
    </w:p>
    <w:p w:rsidR="00F87D11" w:rsidRDefault="00F87D11">
      <w:pPr>
        <w:widowControl/>
        <w:jc w:val="left"/>
      </w:pPr>
    </w:p>
    <w:p w:rsidR="00F87D11" w:rsidRDefault="00432835">
      <w:pPr>
        <w:widowControl/>
        <w:ind w:firstLineChars="200" w:firstLine="420"/>
        <w:jc w:val="left"/>
      </w:pPr>
      <w:r>
        <w:rPr>
          <w:rFonts w:hint="eastAsia"/>
          <w:noProof/>
        </w:rPr>
        <w:drawing>
          <wp:inline distT="0" distB="0" distL="114300" distR="114300">
            <wp:extent cx="4477385" cy="3281680"/>
            <wp:effectExtent l="4445" t="4445" r="1397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7D11" w:rsidRDefault="00F87D11">
      <w:pPr>
        <w:widowControl/>
        <w:ind w:firstLineChars="200" w:firstLine="420"/>
        <w:jc w:val="left"/>
      </w:pPr>
    </w:p>
    <w:p w:rsidR="00F87D11" w:rsidRDefault="00F87D11">
      <w:pPr>
        <w:widowControl/>
        <w:ind w:firstLineChars="200" w:firstLine="420"/>
        <w:jc w:val="left"/>
      </w:pPr>
    </w:p>
    <w:p w:rsidR="00F87D11" w:rsidRDefault="00F87D11">
      <w:pPr>
        <w:pStyle w:val="3"/>
      </w:pPr>
    </w:p>
    <w:p w:rsidR="00F87D11" w:rsidRDefault="00F87D11">
      <w:pPr>
        <w:widowControl/>
        <w:ind w:firstLineChars="200" w:firstLine="420"/>
        <w:jc w:val="left"/>
      </w:pPr>
    </w:p>
    <w:p w:rsidR="00F87D11" w:rsidRDefault="00F87D11">
      <w:pPr>
        <w:widowControl/>
        <w:ind w:firstLineChars="200" w:firstLine="420"/>
        <w:jc w:val="left"/>
      </w:pPr>
    </w:p>
    <w:p w:rsidR="00F87D11" w:rsidRDefault="00432835">
      <w:pPr>
        <w:widowControl/>
        <w:numPr>
          <w:ilvl w:val="0"/>
          <w:numId w:val="3"/>
        </w:numPr>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lastRenderedPageBreak/>
        <w:t>收入决算情况说明</w:t>
      </w:r>
    </w:p>
    <w:p w:rsidR="00F87D11" w:rsidRDefault="00432835">
      <w:pPr>
        <w:widowControl/>
        <w:ind w:firstLineChars="200" w:firstLine="640"/>
        <w:jc w:val="left"/>
      </w:pPr>
      <w:r>
        <w:rPr>
          <w:rFonts w:ascii="仿宋_GB2312" w:eastAsia="仿宋_GB2312" w:hAnsi="宋体" w:cs="仿宋_GB2312" w:hint="eastAsia"/>
          <w:color w:val="000000"/>
          <w:kern w:val="0"/>
          <w:sz w:val="32"/>
          <w:szCs w:val="32"/>
          <w:lang w:bidi="ar"/>
        </w:rPr>
        <w:t>2021</w:t>
      </w:r>
      <w:r>
        <w:rPr>
          <w:rFonts w:ascii="仿宋_GB2312" w:eastAsia="仿宋_GB2312" w:hAnsi="宋体" w:cs="仿宋_GB2312"/>
          <w:color w:val="000000"/>
          <w:kern w:val="0"/>
          <w:sz w:val="32"/>
          <w:szCs w:val="32"/>
          <w:lang w:bidi="ar"/>
        </w:rPr>
        <w:t>年收入合计</w:t>
      </w:r>
      <w:r>
        <w:rPr>
          <w:rFonts w:ascii="仿宋_GB2312" w:eastAsia="仿宋_GB2312" w:hint="eastAsia"/>
          <w:sz w:val="32"/>
          <w:szCs w:val="32"/>
        </w:rPr>
        <w:t>34.25</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其中一般公共预算财政拨款收入</w:t>
      </w:r>
      <w:r>
        <w:rPr>
          <w:rFonts w:ascii="仿宋_GB2312" w:eastAsia="仿宋_GB2312" w:hint="eastAsia"/>
          <w:sz w:val="32"/>
          <w:szCs w:val="32"/>
        </w:rPr>
        <w:t>34.25</w:t>
      </w:r>
      <w:r>
        <w:rPr>
          <w:rFonts w:ascii="仿宋_GB2312" w:eastAsia="仿宋_GB2312" w:hAnsi="宋体" w:cs="仿宋_GB2312" w:hint="eastAsia"/>
          <w:color w:val="000000"/>
          <w:kern w:val="0"/>
          <w:sz w:val="32"/>
          <w:szCs w:val="32"/>
          <w:lang w:bidi="ar"/>
        </w:rPr>
        <w:t>万元</w:t>
      </w:r>
      <w:r>
        <w:rPr>
          <w:rFonts w:ascii="仿宋_GB2312" w:eastAsia="仿宋_GB2312" w:hint="eastAsia"/>
          <w:sz w:val="32"/>
          <w:szCs w:val="32"/>
        </w:rPr>
        <w:t>。</w:t>
      </w:r>
    </w:p>
    <w:p w:rsidR="00F87D11" w:rsidRDefault="00432835">
      <w:pPr>
        <w:widowControl/>
        <w:ind w:firstLineChars="200" w:firstLine="640"/>
        <w:jc w:val="left"/>
        <w:rPr>
          <w:rFonts w:ascii="黑体" w:eastAsia="黑体" w:hAnsi="黑体"/>
        </w:rPr>
      </w:pPr>
      <w:r>
        <w:rPr>
          <w:rFonts w:ascii="黑体" w:eastAsia="黑体" w:hAnsi="黑体" w:hint="eastAsia"/>
          <w:color w:val="000000"/>
          <w:kern w:val="0"/>
          <w:sz w:val="32"/>
          <w:szCs w:val="32"/>
          <w:lang w:bidi="ar"/>
        </w:rPr>
        <w:t>三、支出决算情况说明</w:t>
      </w:r>
      <w:r>
        <w:rPr>
          <w:rFonts w:ascii="黑体" w:eastAsia="黑体" w:hAnsi="黑体" w:hint="eastAsia"/>
          <w:color w:val="000000"/>
          <w:kern w:val="0"/>
          <w:sz w:val="32"/>
          <w:szCs w:val="32"/>
          <w:lang w:bidi="ar"/>
        </w:rPr>
        <w:t xml:space="preserve">  </w:t>
      </w:r>
    </w:p>
    <w:p w:rsidR="00F87D11" w:rsidRDefault="0043283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2021</w:t>
      </w:r>
      <w:r>
        <w:rPr>
          <w:rFonts w:ascii="仿宋_GB2312" w:eastAsia="仿宋_GB2312" w:hAnsi="宋体" w:cs="仿宋_GB2312"/>
          <w:color w:val="000000"/>
          <w:kern w:val="0"/>
          <w:sz w:val="32"/>
          <w:szCs w:val="32"/>
          <w:lang w:bidi="ar"/>
        </w:rPr>
        <w:t>年支出合计</w:t>
      </w:r>
      <w:r>
        <w:rPr>
          <w:rFonts w:ascii="仿宋_GB2312" w:eastAsia="仿宋_GB2312" w:hint="eastAsia"/>
          <w:sz w:val="32"/>
          <w:szCs w:val="32"/>
        </w:rPr>
        <w:t>34.25</w:t>
      </w:r>
      <w:r>
        <w:rPr>
          <w:rFonts w:ascii="仿宋_GB2312" w:eastAsia="仿宋_GB2312" w:hAnsi="宋体" w:cs="仿宋_GB2312"/>
          <w:color w:val="000000"/>
          <w:kern w:val="0"/>
          <w:sz w:val="32"/>
          <w:szCs w:val="32"/>
          <w:lang w:bidi="ar"/>
        </w:rPr>
        <w:t>万元，其中：基本支出</w:t>
      </w:r>
      <w:r>
        <w:rPr>
          <w:rFonts w:ascii="仿宋_GB2312" w:eastAsia="仿宋_GB2312" w:hint="eastAsia"/>
          <w:sz w:val="32"/>
          <w:szCs w:val="32"/>
        </w:rPr>
        <w:t>34.25</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占比</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，主要是为保障机构正常运转，完成日常工作任务而发生的各项支出，包括人员经费和公用经费</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noProof/>
          <w:color w:val="000000"/>
          <w:kern w:val="0"/>
          <w:sz w:val="32"/>
          <w:szCs w:val="32"/>
        </w:rPr>
        <w:drawing>
          <wp:inline distT="0" distB="0" distL="114300" distR="114300">
            <wp:extent cx="5080000" cy="371475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7D11" w:rsidRDefault="00F87D11">
      <w:pPr>
        <w:widowControl/>
        <w:ind w:firstLineChars="200" w:firstLine="640"/>
        <w:jc w:val="left"/>
        <w:rPr>
          <w:rFonts w:ascii="黑体" w:eastAsia="黑体" w:hAnsi="黑体"/>
          <w:color w:val="000000"/>
          <w:kern w:val="0"/>
          <w:sz w:val="32"/>
          <w:szCs w:val="32"/>
          <w:lang w:bidi="ar"/>
        </w:rPr>
      </w:pPr>
    </w:p>
    <w:p w:rsidR="00F87D11" w:rsidRDefault="00432835">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四、财政拨款收入支出决算总体情况说明</w:t>
      </w:r>
      <w:r>
        <w:rPr>
          <w:rFonts w:ascii="黑体" w:eastAsia="黑体" w:hAnsi="黑体" w:hint="eastAsia"/>
          <w:color w:val="000000"/>
          <w:kern w:val="0"/>
          <w:sz w:val="32"/>
          <w:szCs w:val="32"/>
          <w:lang w:bidi="ar"/>
        </w:rPr>
        <w:t xml:space="preserve">  </w:t>
      </w:r>
    </w:p>
    <w:p w:rsidR="00F87D11" w:rsidRDefault="00432835">
      <w:pPr>
        <w:spacing w:line="52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年收入总额</w:t>
      </w:r>
      <w:r>
        <w:rPr>
          <w:rFonts w:ascii="仿宋_GB2312" w:eastAsia="仿宋_GB2312" w:hint="eastAsia"/>
          <w:sz w:val="32"/>
          <w:szCs w:val="32"/>
        </w:rPr>
        <w:t>34.25</w:t>
      </w:r>
      <w:r>
        <w:rPr>
          <w:rFonts w:ascii="仿宋_GB2312" w:eastAsia="仿宋_GB2312" w:hint="eastAsia"/>
          <w:sz w:val="32"/>
          <w:szCs w:val="32"/>
        </w:rPr>
        <w:t>万元，较上年</w:t>
      </w:r>
      <w:r>
        <w:rPr>
          <w:rFonts w:ascii="仿宋_GB2312" w:eastAsia="仿宋_GB2312" w:hAnsi="仿宋" w:hint="eastAsia"/>
          <w:sz w:val="32"/>
          <w:szCs w:val="32"/>
        </w:rPr>
        <w:t>减少</w:t>
      </w:r>
      <w:r>
        <w:rPr>
          <w:rFonts w:ascii="仿宋_GB2312" w:eastAsia="仿宋_GB2312" w:hint="eastAsia"/>
          <w:sz w:val="32"/>
          <w:szCs w:val="32"/>
        </w:rPr>
        <w:t>37.88</w:t>
      </w:r>
      <w:r>
        <w:rPr>
          <w:rFonts w:ascii="仿宋_GB2312" w:eastAsia="仿宋_GB2312" w:hint="eastAsia"/>
          <w:sz w:val="32"/>
          <w:szCs w:val="32"/>
        </w:rPr>
        <w:t>万元，</w:t>
      </w:r>
      <w:r>
        <w:rPr>
          <w:rFonts w:ascii="仿宋_GB2312" w:eastAsia="仿宋_GB2312" w:hAnsi="仿宋" w:hint="eastAsia"/>
          <w:sz w:val="32"/>
          <w:szCs w:val="32"/>
        </w:rPr>
        <w:t>降</w:t>
      </w:r>
      <w:r>
        <w:rPr>
          <w:rFonts w:ascii="仿宋_GB2312" w:eastAsia="仿宋_GB2312" w:hAnsi="仿宋" w:hint="eastAsia"/>
          <w:sz w:val="32"/>
          <w:szCs w:val="32"/>
        </w:rPr>
        <w:t>幅</w:t>
      </w:r>
      <w:r>
        <w:rPr>
          <w:rFonts w:ascii="仿宋_GB2312" w:eastAsia="仿宋_GB2312" w:hAnsi="仿宋" w:hint="eastAsia"/>
          <w:sz w:val="32"/>
          <w:szCs w:val="32"/>
        </w:rPr>
        <w:t>52.52</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仿宋" w:hint="eastAsia"/>
          <w:sz w:val="32"/>
          <w:szCs w:val="32"/>
        </w:rPr>
        <w:t>降低</w:t>
      </w:r>
      <w:r>
        <w:rPr>
          <w:rFonts w:ascii="仿宋_GB2312" w:eastAsia="仿宋_GB2312" w:hint="eastAsia"/>
          <w:sz w:val="32"/>
          <w:szCs w:val="32"/>
        </w:rPr>
        <w:t>的主要原因</w:t>
      </w:r>
      <w:r>
        <w:rPr>
          <w:rFonts w:ascii="仿宋_GB2312" w:eastAsia="仿宋_GB2312" w:hint="eastAsia"/>
          <w:sz w:val="32"/>
          <w:szCs w:val="32"/>
        </w:rPr>
        <w:t>是机构改革人员划转，人员经费财</w:t>
      </w:r>
      <w:r>
        <w:rPr>
          <w:rFonts w:ascii="仿宋_GB2312" w:eastAsia="仿宋_GB2312" w:hint="eastAsia"/>
          <w:sz w:val="32"/>
          <w:szCs w:val="32"/>
        </w:rPr>
        <w:lastRenderedPageBreak/>
        <w:t>政拨款收入减少</w:t>
      </w:r>
      <w:r>
        <w:rPr>
          <w:rFonts w:ascii="仿宋_GB2312" w:eastAsia="仿宋_GB2312" w:hint="eastAsia"/>
          <w:sz w:val="32"/>
          <w:szCs w:val="32"/>
        </w:rPr>
        <w:t>。</w:t>
      </w:r>
    </w:p>
    <w:p w:rsidR="00F87D11" w:rsidRDefault="00432835">
      <w:pPr>
        <w:spacing w:line="520" w:lineRule="exact"/>
        <w:ind w:firstLineChars="200" w:firstLine="640"/>
        <w:rPr>
          <w:rFonts w:ascii="仿宋_GB2312" w:eastAsia="仿宋_GB2312"/>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int="eastAsia"/>
          <w:sz w:val="32"/>
          <w:szCs w:val="32"/>
        </w:rPr>
        <w:t>支出总额</w:t>
      </w:r>
      <w:r>
        <w:rPr>
          <w:rFonts w:ascii="仿宋_GB2312" w:eastAsia="仿宋_GB2312" w:hint="eastAsia"/>
          <w:sz w:val="32"/>
          <w:szCs w:val="32"/>
        </w:rPr>
        <w:t>34.25</w:t>
      </w:r>
      <w:r>
        <w:rPr>
          <w:rFonts w:ascii="仿宋_GB2312" w:eastAsia="仿宋_GB2312" w:hint="eastAsia"/>
          <w:sz w:val="32"/>
          <w:szCs w:val="32"/>
        </w:rPr>
        <w:t>万元，较上年</w:t>
      </w:r>
      <w:r>
        <w:rPr>
          <w:rFonts w:ascii="仿宋_GB2312" w:eastAsia="仿宋_GB2312" w:hAnsi="仿宋" w:hint="eastAsia"/>
          <w:sz w:val="32"/>
          <w:szCs w:val="32"/>
        </w:rPr>
        <w:t>减少</w:t>
      </w:r>
      <w:r>
        <w:rPr>
          <w:rFonts w:ascii="仿宋_GB2312" w:eastAsia="仿宋_GB2312" w:hint="eastAsia"/>
          <w:sz w:val="32"/>
          <w:szCs w:val="32"/>
        </w:rPr>
        <w:t>37.88</w:t>
      </w:r>
      <w:r>
        <w:rPr>
          <w:rFonts w:ascii="仿宋_GB2312" w:eastAsia="仿宋_GB2312" w:hint="eastAsia"/>
          <w:sz w:val="32"/>
          <w:szCs w:val="32"/>
        </w:rPr>
        <w:t>万元，</w:t>
      </w:r>
      <w:r>
        <w:rPr>
          <w:rFonts w:ascii="仿宋_GB2312" w:eastAsia="仿宋_GB2312" w:hAnsi="仿宋" w:hint="eastAsia"/>
          <w:sz w:val="32"/>
          <w:szCs w:val="32"/>
        </w:rPr>
        <w:t>降幅</w:t>
      </w:r>
      <w:r>
        <w:rPr>
          <w:rFonts w:ascii="仿宋_GB2312" w:eastAsia="仿宋_GB2312" w:hint="eastAsia"/>
          <w:sz w:val="32"/>
          <w:szCs w:val="32"/>
        </w:rPr>
        <w:t>52.52</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仿宋" w:hint="eastAsia"/>
          <w:sz w:val="32"/>
          <w:szCs w:val="32"/>
        </w:rPr>
        <w:t>降低</w:t>
      </w:r>
      <w:r>
        <w:rPr>
          <w:rFonts w:ascii="仿宋_GB2312" w:eastAsia="仿宋_GB2312" w:hint="eastAsia"/>
          <w:sz w:val="32"/>
          <w:szCs w:val="32"/>
        </w:rPr>
        <w:t>的主要原因</w:t>
      </w:r>
      <w:r>
        <w:rPr>
          <w:rFonts w:ascii="仿宋_GB2312" w:eastAsia="仿宋_GB2312" w:hint="eastAsia"/>
          <w:sz w:val="32"/>
          <w:szCs w:val="32"/>
        </w:rPr>
        <w:t>是机构改革人员划转，人员经费支出减少</w:t>
      </w:r>
      <w:r>
        <w:rPr>
          <w:rFonts w:ascii="仿宋_GB2312" w:eastAsia="仿宋_GB2312" w:hint="eastAsia"/>
          <w:sz w:val="32"/>
          <w:szCs w:val="32"/>
        </w:rPr>
        <w:t>。</w:t>
      </w:r>
    </w:p>
    <w:p w:rsidR="00F87D11" w:rsidRDefault="00F87D11">
      <w:pPr>
        <w:spacing w:line="520" w:lineRule="exact"/>
        <w:ind w:firstLineChars="200" w:firstLine="640"/>
        <w:rPr>
          <w:rFonts w:ascii="仿宋_GB2312" w:eastAsia="仿宋_GB2312"/>
          <w:sz w:val="32"/>
          <w:szCs w:val="32"/>
        </w:rPr>
      </w:pPr>
    </w:p>
    <w:p w:rsidR="00F87D11" w:rsidRDefault="00432835">
      <w:pPr>
        <w:widowControl/>
        <w:ind w:firstLineChars="200" w:firstLine="640"/>
        <w:jc w:val="left"/>
        <w:rPr>
          <w:rFonts w:ascii="仿宋_GB2312" w:eastAsia="仿宋_GB2312" w:hAnsi="仿宋"/>
          <w:sz w:val="32"/>
          <w:szCs w:val="32"/>
        </w:rPr>
      </w:pPr>
      <w:r>
        <w:rPr>
          <w:rFonts w:ascii="仿宋_GB2312" w:eastAsia="仿宋_GB2312" w:hAnsi="仿宋" w:hint="eastAsia"/>
          <w:noProof/>
          <w:sz w:val="32"/>
          <w:szCs w:val="32"/>
        </w:rPr>
        <w:drawing>
          <wp:inline distT="0" distB="0" distL="114300" distR="114300">
            <wp:extent cx="4403090" cy="3481705"/>
            <wp:effectExtent l="4445" t="4445" r="1206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7D11" w:rsidRDefault="00432835">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五、一般公共预算财政拨款支出决算情况说明</w:t>
      </w:r>
    </w:p>
    <w:p w:rsidR="00F87D11" w:rsidRDefault="00432835">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b/>
          <w:color w:val="000000"/>
          <w:kern w:val="0"/>
          <w:sz w:val="32"/>
          <w:szCs w:val="32"/>
          <w:lang w:bidi="ar"/>
        </w:rPr>
        <w:t>（一）财政拨款支出决算总体情况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rsidR="00F87D11" w:rsidRDefault="00432835">
      <w:pPr>
        <w:spacing w:line="520" w:lineRule="exact"/>
        <w:ind w:firstLineChars="200" w:firstLine="640"/>
        <w:rPr>
          <w:rFonts w:ascii="仿宋_GB2312" w:eastAsia="仿宋_GB2312"/>
          <w:sz w:val="32"/>
          <w:szCs w:val="32"/>
        </w:rPr>
      </w:pPr>
      <w:r>
        <w:rPr>
          <w:rFonts w:ascii="仿宋_GB2312" w:eastAsia="仿宋_GB2312" w:hAnsi="宋体" w:cs="仿宋_GB2312" w:hint="eastAsia"/>
          <w:color w:val="000000"/>
          <w:kern w:val="0"/>
          <w:sz w:val="32"/>
          <w:szCs w:val="32"/>
          <w:lang w:bidi="ar"/>
        </w:rPr>
        <w:t>2021</w:t>
      </w:r>
      <w:r>
        <w:rPr>
          <w:rFonts w:ascii="仿宋_GB2312" w:eastAsia="仿宋_GB2312" w:hAnsi="宋体" w:cs="仿宋_GB2312"/>
          <w:color w:val="000000"/>
          <w:kern w:val="0"/>
          <w:sz w:val="32"/>
          <w:szCs w:val="32"/>
          <w:lang w:bidi="ar"/>
        </w:rPr>
        <w:t>年财政拨款支出</w:t>
      </w:r>
      <w:r>
        <w:rPr>
          <w:rFonts w:ascii="仿宋_GB2312" w:eastAsia="仿宋_GB2312" w:hint="eastAsia"/>
          <w:sz w:val="32"/>
          <w:szCs w:val="32"/>
        </w:rPr>
        <w:t>34.25</w:t>
      </w:r>
      <w:r>
        <w:rPr>
          <w:rFonts w:ascii="仿宋_GB2312" w:eastAsia="仿宋_GB2312" w:hAnsi="宋体" w:cs="仿宋_GB2312"/>
          <w:color w:val="000000"/>
          <w:kern w:val="0"/>
          <w:sz w:val="32"/>
          <w:szCs w:val="32"/>
          <w:lang w:bidi="ar"/>
        </w:rPr>
        <w:t>万元，占本年支出合计的</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。与</w:t>
      </w:r>
      <w:r>
        <w:rPr>
          <w:rFonts w:ascii="仿宋_GB2312" w:eastAsia="仿宋_GB2312" w:hAnsi="宋体" w:cs="仿宋_GB2312" w:hint="eastAsia"/>
          <w:color w:val="000000"/>
          <w:kern w:val="0"/>
          <w:sz w:val="32"/>
          <w:szCs w:val="32"/>
          <w:lang w:bidi="ar"/>
        </w:rPr>
        <w:t>上年</w:t>
      </w:r>
      <w:r>
        <w:rPr>
          <w:rFonts w:ascii="仿宋_GB2312" w:eastAsia="仿宋_GB2312" w:hAnsi="宋体" w:cs="仿宋_GB2312"/>
          <w:color w:val="000000"/>
          <w:kern w:val="0"/>
          <w:sz w:val="32"/>
          <w:szCs w:val="32"/>
          <w:lang w:bidi="ar"/>
        </w:rPr>
        <w:t>相比，财政拨款支出</w:t>
      </w:r>
      <w:r>
        <w:rPr>
          <w:rFonts w:ascii="仿宋_GB2312" w:eastAsia="仿宋_GB2312" w:hAnsi="仿宋" w:hint="eastAsia"/>
          <w:sz w:val="32"/>
          <w:szCs w:val="32"/>
        </w:rPr>
        <w:t>减少</w:t>
      </w:r>
      <w:r>
        <w:rPr>
          <w:rFonts w:ascii="仿宋_GB2312" w:eastAsia="仿宋_GB2312" w:hint="eastAsia"/>
          <w:sz w:val="32"/>
          <w:szCs w:val="32"/>
        </w:rPr>
        <w:t>37.88</w:t>
      </w:r>
      <w:r>
        <w:rPr>
          <w:rFonts w:ascii="仿宋_GB2312" w:eastAsia="仿宋_GB2312" w:hint="eastAsia"/>
          <w:sz w:val="32"/>
          <w:szCs w:val="32"/>
        </w:rPr>
        <w:t>万元，</w:t>
      </w:r>
      <w:r>
        <w:rPr>
          <w:rFonts w:ascii="仿宋_GB2312" w:eastAsia="仿宋_GB2312" w:hAnsi="仿宋" w:hint="eastAsia"/>
          <w:sz w:val="32"/>
          <w:szCs w:val="32"/>
        </w:rPr>
        <w:t>降幅</w:t>
      </w:r>
      <w:r>
        <w:rPr>
          <w:rFonts w:ascii="仿宋_GB2312" w:eastAsia="仿宋_GB2312" w:hint="eastAsia"/>
          <w:sz w:val="32"/>
          <w:szCs w:val="32"/>
        </w:rPr>
        <w:t>52.52</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Ansi="仿宋" w:hint="eastAsia"/>
          <w:sz w:val="32"/>
          <w:szCs w:val="32"/>
        </w:rPr>
        <w:t>减少</w:t>
      </w:r>
      <w:r>
        <w:rPr>
          <w:rFonts w:ascii="仿宋_GB2312" w:eastAsia="仿宋_GB2312" w:hint="eastAsia"/>
          <w:sz w:val="32"/>
          <w:szCs w:val="32"/>
        </w:rPr>
        <w:t>的主要原因</w:t>
      </w:r>
      <w:r>
        <w:rPr>
          <w:rFonts w:ascii="仿宋_GB2312" w:eastAsia="仿宋_GB2312" w:hint="eastAsia"/>
          <w:sz w:val="32"/>
          <w:szCs w:val="32"/>
        </w:rPr>
        <w:t>是机构改革人员划转，人员经费支出减少</w:t>
      </w:r>
      <w:r>
        <w:rPr>
          <w:rFonts w:ascii="仿宋_GB2312" w:eastAsia="仿宋_GB2312" w:hint="eastAsia"/>
          <w:sz w:val="32"/>
          <w:szCs w:val="32"/>
        </w:rPr>
        <w:t>。</w:t>
      </w:r>
    </w:p>
    <w:p w:rsidR="00F87D11" w:rsidRDefault="00F87D11">
      <w:pPr>
        <w:spacing w:line="520" w:lineRule="exact"/>
        <w:ind w:firstLineChars="200" w:firstLine="640"/>
        <w:rPr>
          <w:rFonts w:ascii="仿宋_GB2312" w:eastAsia="仿宋_GB2312"/>
          <w:sz w:val="32"/>
          <w:szCs w:val="32"/>
        </w:rPr>
      </w:pPr>
    </w:p>
    <w:p w:rsidR="00F87D11" w:rsidRDefault="00F87D11">
      <w:pPr>
        <w:pStyle w:val="3"/>
      </w:pPr>
    </w:p>
    <w:p w:rsidR="00F87D11" w:rsidRDefault="00F87D11">
      <w:pPr>
        <w:widowControl/>
        <w:ind w:firstLineChars="200" w:firstLine="420"/>
        <w:jc w:val="left"/>
      </w:pPr>
    </w:p>
    <w:p w:rsidR="00F87D11" w:rsidRDefault="00432835">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lastRenderedPageBreak/>
        <w:t>（二）</w:t>
      </w:r>
      <w:r>
        <w:rPr>
          <w:rFonts w:ascii="楷体_GB2312" w:eastAsia="楷体_GB2312" w:hAnsi="宋体" w:cs="楷体_GB2312"/>
          <w:b/>
          <w:color w:val="000000"/>
          <w:kern w:val="0"/>
          <w:sz w:val="32"/>
          <w:szCs w:val="32"/>
          <w:lang w:bidi="ar"/>
        </w:rPr>
        <w:t>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rsidR="00F87D11" w:rsidRDefault="00432835">
      <w:pPr>
        <w:widowControl/>
        <w:ind w:firstLineChars="200" w:firstLine="640"/>
        <w:jc w:val="left"/>
      </w:pPr>
      <w:r>
        <w:rPr>
          <w:rFonts w:ascii="仿宋_GB2312" w:eastAsia="仿宋_GB2312" w:hAnsi="宋体" w:cs="仿宋_GB2312" w:hint="eastAsia"/>
          <w:color w:val="000000"/>
          <w:kern w:val="0"/>
          <w:sz w:val="32"/>
          <w:szCs w:val="32"/>
          <w:lang w:bidi="ar"/>
        </w:rPr>
        <w:t>2021</w:t>
      </w:r>
      <w:r>
        <w:rPr>
          <w:rFonts w:ascii="仿宋_GB2312" w:eastAsia="仿宋_GB2312" w:hAnsi="宋体" w:cs="仿宋_GB2312"/>
          <w:color w:val="000000"/>
          <w:kern w:val="0"/>
          <w:sz w:val="32"/>
          <w:szCs w:val="32"/>
          <w:lang w:bidi="ar"/>
        </w:rPr>
        <w:t xml:space="preserve"> </w:t>
      </w:r>
      <w:r>
        <w:rPr>
          <w:rFonts w:ascii="仿宋_GB2312" w:eastAsia="仿宋_GB2312" w:hAnsi="宋体" w:cs="仿宋_GB2312"/>
          <w:color w:val="000000"/>
          <w:kern w:val="0"/>
          <w:sz w:val="32"/>
          <w:szCs w:val="32"/>
          <w:lang w:bidi="ar"/>
        </w:rPr>
        <w:t>年财政拨款支出年初预算为</w:t>
      </w:r>
      <w:r>
        <w:rPr>
          <w:rFonts w:ascii="仿宋_GB2312" w:eastAsia="仿宋_GB2312" w:hAnsi="宋体" w:cs="仿宋_GB2312" w:hint="eastAsia"/>
          <w:color w:val="000000"/>
          <w:kern w:val="0"/>
          <w:sz w:val="32"/>
          <w:szCs w:val="32"/>
          <w:lang w:bidi="ar"/>
        </w:rPr>
        <w:t>57.73</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34.25</w:t>
      </w:r>
      <w:r>
        <w:rPr>
          <w:rFonts w:ascii="仿宋_GB2312" w:eastAsia="仿宋_GB2312" w:hAnsi="宋体" w:cs="仿宋_GB2312"/>
          <w:color w:val="000000"/>
          <w:kern w:val="0"/>
          <w:sz w:val="32"/>
          <w:szCs w:val="32"/>
          <w:lang w:bidi="ar"/>
        </w:rPr>
        <w:t>万元，完成年初预算的</w:t>
      </w:r>
      <w:r>
        <w:rPr>
          <w:rFonts w:ascii="仿宋_GB2312" w:eastAsia="仿宋_GB2312" w:hAnsi="宋体" w:cs="仿宋_GB2312" w:hint="eastAsia"/>
          <w:color w:val="000000"/>
          <w:kern w:val="0"/>
          <w:sz w:val="32"/>
          <w:szCs w:val="32"/>
          <w:lang w:bidi="ar"/>
        </w:rPr>
        <w:t>59.33</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按照功能分类科目，</w:t>
      </w:r>
      <w:r>
        <w:rPr>
          <w:rFonts w:ascii="仿宋_GB2312" w:eastAsia="仿宋_GB2312" w:hAnsi="宋体" w:cs="仿宋_GB2312"/>
          <w:color w:val="000000"/>
          <w:kern w:val="0"/>
          <w:sz w:val="32"/>
          <w:szCs w:val="32"/>
          <w:lang w:bidi="ar"/>
        </w:rPr>
        <w:t>其中：</w:t>
      </w:r>
      <w:r>
        <w:rPr>
          <w:rFonts w:ascii="仿宋_GB2312" w:eastAsia="仿宋_GB2312" w:hAnsi="宋体" w:cs="仿宋_GB2312"/>
          <w:color w:val="000000"/>
          <w:kern w:val="0"/>
          <w:sz w:val="32"/>
          <w:szCs w:val="32"/>
          <w:lang w:bidi="ar"/>
        </w:rPr>
        <w:t xml:space="preserve"> </w:t>
      </w:r>
    </w:p>
    <w:p w:rsidR="00F87D11" w:rsidRDefault="00432835">
      <w:pPr>
        <w:widowControl/>
        <w:ind w:firstLineChars="200" w:firstLine="643"/>
        <w:jc w:val="left"/>
        <w:rPr>
          <w:rFonts w:ascii="仿宋_GB2312" w:eastAsia="仿宋_GB2312" w:hAnsi="宋体" w:cs="仿宋_GB2312"/>
          <w:b/>
          <w:color w:val="000000"/>
          <w:kern w:val="0"/>
          <w:sz w:val="32"/>
          <w:szCs w:val="32"/>
          <w:lang w:bidi="ar"/>
        </w:rPr>
      </w:pPr>
      <w:r>
        <w:rPr>
          <w:rFonts w:ascii="仿宋_GB2312" w:eastAsia="仿宋_GB2312" w:hAnsi="宋体" w:cs="仿宋_GB2312" w:hint="eastAsia"/>
          <w:b/>
          <w:color w:val="000000"/>
          <w:kern w:val="0"/>
          <w:sz w:val="32"/>
          <w:szCs w:val="32"/>
          <w:lang w:bidi="ar"/>
        </w:rPr>
        <w:t>交通运输支出</w:t>
      </w:r>
      <w:r>
        <w:rPr>
          <w:rFonts w:ascii="仿宋_GB2312" w:eastAsia="仿宋_GB2312" w:hAnsi="宋体" w:cs="仿宋_GB2312" w:hint="eastAsia"/>
          <w:b/>
          <w:color w:val="000000"/>
          <w:kern w:val="0"/>
          <w:sz w:val="32"/>
          <w:szCs w:val="32"/>
          <w:lang w:bidi="ar"/>
        </w:rPr>
        <w:t>34.25</w:t>
      </w:r>
      <w:r>
        <w:rPr>
          <w:rFonts w:ascii="仿宋_GB2312" w:eastAsia="仿宋_GB2312" w:hAnsi="宋体" w:cs="仿宋_GB2312" w:hint="eastAsia"/>
          <w:b/>
          <w:color w:val="000000"/>
          <w:kern w:val="0"/>
          <w:sz w:val="32"/>
          <w:szCs w:val="32"/>
          <w:lang w:bidi="ar"/>
        </w:rPr>
        <w:t>万元。</w:t>
      </w:r>
    </w:p>
    <w:p w:rsidR="00F87D11" w:rsidRDefault="00432835">
      <w:pPr>
        <w:widowControl/>
        <w:ind w:firstLineChars="200" w:firstLine="640"/>
        <w:jc w:val="left"/>
        <w:rPr>
          <w:rFonts w:ascii="仿宋_GB2312" w:eastAsia="仿宋_GB2312" w:hAnsi="宋体" w:cs="仿宋_GB2312"/>
          <w:color w:val="000000"/>
          <w:kern w:val="0"/>
          <w:sz w:val="32"/>
          <w:szCs w:val="32"/>
          <w:highlight w:val="yellow"/>
          <w:lang w:bidi="ar"/>
        </w:rPr>
      </w:pPr>
      <w:r>
        <w:rPr>
          <w:rFonts w:ascii="仿宋_GB2312" w:eastAsia="仿宋_GB2312" w:hAnsi="宋体" w:cs="仿宋_GB2312" w:hint="eastAsia"/>
          <w:bCs/>
          <w:color w:val="000000"/>
          <w:kern w:val="0"/>
          <w:sz w:val="32"/>
          <w:szCs w:val="32"/>
          <w:lang w:bidi="ar"/>
        </w:rPr>
        <w:t>年预算数为</w:t>
      </w:r>
      <w:r>
        <w:rPr>
          <w:rFonts w:ascii="仿宋_GB2312" w:eastAsia="仿宋_GB2312" w:hAnsi="宋体" w:cs="仿宋_GB2312" w:hint="eastAsia"/>
          <w:b/>
          <w:color w:val="000000"/>
          <w:kern w:val="0"/>
          <w:sz w:val="32"/>
          <w:szCs w:val="32"/>
          <w:lang w:bidi="ar"/>
        </w:rPr>
        <w:t>57.73</w:t>
      </w:r>
      <w:r>
        <w:rPr>
          <w:rFonts w:ascii="仿宋_GB2312" w:eastAsia="仿宋_GB2312" w:hAnsi="宋体" w:cs="仿宋_GB2312"/>
          <w:color w:val="000000"/>
          <w:kern w:val="0"/>
          <w:sz w:val="32"/>
          <w:szCs w:val="32"/>
          <w:lang w:bidi="ar"/>
        </w:rPr>
        <w:t>万</w:t>
      </w:r>
      <w:r>
        <w:rPr>
          <w:rFonts w:ascii="仿宋_GB2312" w:eastAsia="仿宋_GB2312" w:hAnsi="宋体" w:cs="仿宋_GB2312"/>
          <w:color w:val="000000"/>
          <w:kern w:val="0"/>
          <w:sz w:val="32"/>
          <w:szCs w:val="32"/>
          <w:lang w:bidi="ar"/>
        </w:rPr>
        <w:t>元</w:t>
      </w:r>
      <w:r>
        <w:rPr>
          <w:rFonts w:ascii="仿宋_GB2312" w:eastAsia="仿宋_GB2312" w:hAnsi="宋体" w:cs="仿宋_GB2312" w:hint="eastAsia"/>
          <w:color w:val="000000"/>
          <w:kern w:val="0"/>
          <w:sz w:val="32"/>
          <w:szCs w:val="32"/>
          <w:lang w:bidi="ar"/>
        </w:rPr>
        <w:t>，支出决算数为</w:t>
      </w:r>
      <w:r>
        <w:rPr>
          <w:rFonts w:ascii="仿宋_GB2312" w:eastAsia="仿宋_GB2312" w:hAnsi="宋体" w:cs="仿宋_GB2312" w:hint="eastAsia"/>
          <w:color w:val="000000"/>
          <w:kern w:val="0"/>
          <w:sz w:val="32"/>
          <w:szCs w:val="32"/>
          <w:lang w:bidi="ar"/>
        </w:rPr>
        <w:t>34.25</w:t>
      </w:r>
      <w:r>
        <w:rPr>
          <w:rFonts w:ascii="仿宋_GB2312" w:eastAsia="仿宋_GB2312" w:hAnsi="宋体" w:cs="仿宋_GB2312" w:hint="eastAsia"/>
          <w:color w:val="000000"/>
          <w:kern w:val="0"/>
          <w:sz w:val="32"/>
          <w:szCs w:val="32"/>
          <w:lang w:bidi="ar"/>
        </w:rPr>
        <w:t>万元，完成全年预算数</w:t>
      </w:r>
      <w:r>
        <w:rPr>
          <w:rFonts w:ascii="仿宋_GB2312" w:eastAsia="仿宋_GB2312" w:hAnsi="宋体" w:cs="仿宋_GB2312" w:hint="eastAsia"/>
          <w:color w:val="000000"/>
          <w:kern w:val="0"/>
          <w:sz w:val="32"/>
          <w:szCs w:val="32"/>
          <w:lang w:bidi="ar"/>
        </w:rPr>
        <w:t>的</w:t>
      </w:r>
      <w:r>
        <w:rPr>
          <w:rFonts w:ascii="仿宋_GB2312" w:eastAsia="仿宋_GB2312" w:hAnsi="宋体" w:cs="仿宋_GB2312" w:hint="eastAsia"/>
          <w:color w:val="000000"/>
          <w:kern w:val="0"/>
          <w:sz w:val="32"/>
          <w:szCs w:val="32"/>
          <w:lang w:bidi="ar"/>
        </w:rPr>
        <w:t>59.33</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w:t>
      </w:r>
    </w:p>
    <w:p w:rsidR="00F87D11" w:rsidRDefault="00432835">
      <w:pPr>
        <w:numPr>
          <w:ilvl w:val="0"/>
          <w:numId w:val="4"/>
        </w:numPr>
        <w:spacing w:line="360" w:lineRule="auto"/>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一般公共预算财政拨款基本支出决算情况说明</w:t>
      </w:r>
      <w:r>
        <w:rPr>
          <w:rFonts w:ascii="黑体" w:eastAsia="黑体" w:hAnsi="黑体" w:hint="eastAsia"/>
          <w:color w:val="000000"/>
          <w:kern w:val="0"/>
          <w:sz w:val="32"/>
          <w:szCs w:val="32"/>
          <w:lang w:bidi="ar"/>
        </w:rPr>
        <w:t xml:space="preserve"> </w:t>
      </w:r>
    </w:p>
    <w:p w:rsidR="00F87D11" w:rsidRDefault="00432835">
      <w:pPr>
        <w:spacing w:line="360" w:lineRule="auto"/>
        <w:ind w:firstLineChars="200" w:firstLine="62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2021</w:t>
      </w:r>
      <w:r>
        <w:rPr>
          <w:rFonts w:ascii="仿宋_GB2312" w:eastAsia="仿宋_GB2312" w:hAnsi="仿宋_GB2312" w:cs="仿宋_GB2312"/>
          <w:color w:val="000000"/>
          <w:kern w:val="0"/>
          <w:sz w:val="31"/>
          <w:szCs w:val="31"/>
          <w:lang w:bidi="ar"/>
        </w:rPr>
        <w:t>年一般公共预算财政拨款基本支出</w:t>
      </w:r>
      <w:r>
        <w:rPr>
          <w:rFonts w:ascii="仿宋_GB2312" w:eastAsia="仿宋_GB2312" w:hAnsi="仿宋_GB2312" w:cs="仿宋_GB2312" w:hint="eastAsia"/>
          <w:color w:val="000000"/>
          <w:kern w:val="0"/>
          <w:sz w:val="31"/>
          <w:szCs w:val="31"/>
          <w:lang w:bidi="ar"/>
        </w:rPr>
        <w:t>34.25</w:t>
      </w:r>
      <w:r>
        <w:rPr>
          <w:rFonts w:ascii="仿宋_GB2312" w:eastAsia="仿宋_GB2312" w:hAnsi="仿宋_GB2312" w:cs="仿宋_GB2312"/>
          <w:color w:val="000000"/>
          <w:kern w:val="0"/>
          <w:sz w:val="31"/>
          <w:szCs w:val="31"/>
          <w:lang w:bidi="ar"/>
        </w:rPr>
        <w:t>万元，包括：人员经费支</w:t>
      </w:r>
      <w:r>
        <w:rPr>
          <w:rFonts w:ascii="仿宋_GB2312" w:eastAsia="仿宋_GB2312" w:hAnsi="仿宋_GB2312" w:cs="仿宋_GB2312" w:hint="eastAsia"/>
          <w:color w:val="000000"/>
          <w:kern w:val="0"/>
          <w:sz w:val="31"/>
          <w:szCs w:val="31"/>
          <w:lang w:bidi="ar"/>
        </w:rPr>
        <w:t>28.92</w:t>
      </w:r>
      <w:r>
        <w:rPr>
          <w:rFonts w:ascii="仿宋_GB2312" w:eastAsia="仿宋_GB2312" w:hAnsi="仿宋_GB2312" w:cs="仿宋_GB2312"/>
          <w:color w:val="000000"/>
          <w:kern w:val="0"/>
          <w:sz w:val="31"/>
          <w:szCs w:val="31"/>
          <w:lang w:bidi="ar"/>
        </w:rPr>
        <w:t>万元</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公用经费支出</w:t>
      </w:r>
      <w:r>
        <w:rPr>
          <w:rFonts w:ascii="仿宋_GB2312" w:eastAsia="仿宋_GB2312" w:hAnsi="仿宋_GB2312" w:cs="仿宋_GB2312" w:hint="eastAsia"/>
          <w:color w:val="000000"/>
          <w:kern w:val="0"/>
          <w:sz w:val="31"/>
          <w:szCs w:val="31"/>
          <w:lang w:bidi="ar"/>
        </w:rPr>
        <w:t>5.33</w:t>
      </w:r>
      <w:r>
        <w:rPr>
          <w:rFonts w:ascii="仿宋_GB2312" w:eastAsia="仿宋_GB2312" w:hAnsi="仿宋_GB2312" w:cs="仿宋_GB2312"/>
          <w:color w:val="000000"/>
          <w:kern w:val="0"/>
          <w:sz w:val="31"/>
          <w:szCs w:val="31"/>
          <w:lang w:bidi="ar"/>
        </w:rPr>
        <w:t>万元。</w:t>
      </w:r>
    </w:p>
    <w:p w:rsidR="00F87D11" w:rsidRDefault="00432835">
      <w:pPr>
        <w:widowControl/>
        <w:ind w:firstLineChars="200" w:firstLine="643"/>
        <w:jc w:val="left"/>
        <w:rPr>
          <w:rFonts w:ascii="仿宋_GB2312" w:eastAsia="仿宋_GB2312" w:hAnsi="宋体" w:cs="仿宋_GB2312"/>
          <w:color w:val="000000"/>
          <w:kern w:val="0"/>
          <w:sz w:val="32"/>
          <w:szCs w:val="32"/>
          <w:lang w:bidi="ar"/>
        </w:rPr>
      </w:pPr>
      <w:r>
        <w:rPr>
          <w:rFonts w:ascii="仿宋_GB2312" w:eastAsia="仿宋_GB2312" w:hAnsi="宋体" w:cs="仿宋_GB2312"/>
          <w:b/>
          <w:bCs/>
          <w:color w:val="000000"/>
          <w:kern w:val="0"/>
          <w:sz w:val="32"/>
          <w:szCs w:val="32"/>
          <w:lang w:bidi="ar"/>
        </w:rPr>
        <w:t>人员经费</w:t>
      </w:r>
      <w:r>
        <w:rPr>
          <w:rFonts w:ascii="仿宋_GB2312" w:eastAsia="仿宋_GB2312" w:hAnsi="宋体" w:cs="仿宋_GB2312" w:hint="eastAsia"/>
          <w:color w:val="000000"/>
          <w:kern w:val="0"/>
          <w:sz w:val="32"/>
          <w:szCs w:val="32"/>
          <w:lang w:bidi="ar"/>
        </w:rPr>
        <w:t>115.25</w:t>
      </w:r>
      <w:r>
        <w:rPr>
          <w:rFonts w:ascii="仿宋_GB2312" w:eastAsia="仿宋_GB2312" w:hAnsi="宋体" w:cs="仿宋_GB2312"/>
          <w:color w:val="000000"/>
          <w:kern w:val="0"/>
          <w:sz w:val="32"/>
          <w:szCs w:val="32"/>
          <w:lang w:bidi="ar"/>
        </w:rPr>
        <w:t>万元，主要包括</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基本工资</w:t>
      </w:r>
      <w:r>
        <w:rPr>
          <w:rFonts w:ascii="仿宋_GB2312" w:eastAsia="仿宋_GB2312" w:hAnsi="宋体" w:cs="仿宋_GB2312" w:hint="eastAsia"/>
          <w:color w:val="000000"/>
          <w:kern w:val="0"/>
          <w:sz w:val="32"/>
          <w:szCs w:val="32"/>
          <w:lang w:bidi="ar"/>
        </w:rPr>
        <w:t>7.74</w:t>
      </w:r>
      <w:r>
        <w:rPr>
          <w:rFonts w:ascii="仿宋_GB2312" w:eastAsia="仿宋_GB2312" w:hAnsi="宋体" w:cs="仿宋_GB2312" w:hint="eastAsia"/>
          <w:color w:val="000000"/>
          <w:kern w:val="0"/>
          <w:sz w:val="32"/>
          <w:szCs w:val="32"/>
          <w:lang w:bidi="ar"/>
        </w:rPr>
        <w:t>万元、</w:t>
      </w:r>
    </w:p>
    <w:p w:rsidR="00F87D11" w:rsidRDefault="00432835">
      <w:pPr>
        <w:widowControl/>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津贴补贴</w:t>
      </w:r>
      <w:r>
        <w:rPr>
          <w:rFonts w:ascii="仿宋_GB2312" w:eastAsia="仿宋_GB2312" w:hAnsi="宋体" w:cs="仿宋_GB2312" w:hint="eastAsia"/>
          <w:color w:val="000000"/>
          <w:kern w:val="0"/>
          <w:sz w:val="32"/>
          <w:szCs w:val="32"/>
          <w:lang w:bidi="ar"/>
        </w:rPr>
        <w:t>0.46</w:t>
      </w:r>
      <w:r>
        <w:rPr>
          <w:rFonts w:ascii="仿宋_GB2312" w:eastAsia="仿宋_GB2312" w:hAnsi="宋体" w:cs="仿宋_GB2312" w:hint="eastAsia"/>
          <w:color w:val="000000"/>
          <w:kern w:val="0"/>
          <w:sz w:val="32"/>
          <w:szCs w:val="32"/>
          <w:lang w:bidi="ar"/>
        </w:rPr>
        <w:t>万元、绩效工资</w:t>
      </w:r>
      <w:r>
        <w:rPr>
          <w:rFonts w:ascii="仿宋_GB2312" w:eastAsia="仿宋_GB2312" w:hAnsi="宋体" w:cs="仿宋_GB2312" w:hint="eastAsia"/>
          <w:color w:val="000000"/>
          <w:kern w:val="0"/>
          <w:sz w:val="32"/>
          <w:szCs w:val="32"/>
          <w:lang w:bidi="ar"/>
        </w:rPr>
        <w:t>1.59</w:t>
      </w:r>
      <w:r>
        <w:rPr>
          <w:rFonts w:ascii="仿宋_GB2312" w:eastAsia="仿宋_GB2312" w:hAnsi="宋体" w:cs="仿宋_GB2312" w:hint="eastAsia"/>
          <w:color w:val="000000"/>
          <w:kern w:val="0"/>
          <w:sz w:val="32"/>
          <w:szCs w:val="32"/>
          <w:lang w:bidi="ar"/>
        </w:rPr>
        <w:t>万元，机关事业单位基本养老保险缴费</w:t>
      </w:r>
      <w:r>
        <w:rPr>
          <w:rFonts w:ascii="仿宋_GB2312" w:eastAsia="仿宋_GB2312" w:hAnsi="宋体" w:cs="仿宋_GB2312" w:hint="eastAsia"/>
          <w:color w:val="000000"/>
          <w:kern w:val="0"/>
          <w:sz w:val="32"/>
          <w:szCs w:val="32"/>
          <w:lang w:bidi="ar"/>
        </w:rPr>
        <w:t>1.44</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职业年金缴费</w:t>
      </w:r>
      <w:r>
        <w:rPr>
          <w:rFonts w:ascii="仿宋_GB2312" w:eastAsia="仿宋_GB2312" w:hAnsi="宋体" w:cs="仿宋_GB2312" w:hint="eastAsia"/>
          <w:color w:val="000000"/>
          <w:kern w:val="0"/>
          <w:sz w:val="32"/>
          <w:szCs w:val="32"/>
          <w:lang w:bidi="ar"/>
        </w:rPr>
        <w:t>0.74</w:t>
      </w:r>
      <w:r>
        <w:rPr>
          <w:rFonts w:ascii="仿宋_GB2312" w:eastAsia="仿宋_GB2312" w:hAnsi="宋体" w:cs="仿宋_GB2312" w:hint="eastAsia"/>
          <w:color w:val="000000"/>
          <w:kern w:val="0"/>
          <w:sz w:val="32"/>
          <w:szCs w:val="32"/>
          <w:lang w:bidi="ar"/>
        </w:rPr>
        <w:t>万元、基础性绩效奖</w:t>
      </w:r>
      <w:r>
        <w:rPr>
          <w:rFonts w:ascii="仿宋_GB2312" w:eastAsia="仿宋_GB2312" w:hAnsi="宋体" w:cs="仿宋_GB2312" w:hint="eastAsia"/>
          <w:color w:val="000000"/>
          <w:kern w:val="0"/>
          <w:sz w:val="32"/>
          <w:szCs w:val="32"/>
          <w:lang w:bidi="ar"/>
        </w:rPr>
        <w:t>1.31</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职工基本医疗保险缴费</w:t>
      </w:r>
      <w:r>
        <w:rPr>
          <w:rFonts w:ascii="仿宋_GB2312" w:eastAsia="仿宋_GB2312" w:hAnsi="宋体" w:cs="仿宋_GB2312" w:hint="eastAsia"/>
          <w:color w:val="000000"/>
          <w:kern w:val="0"/>
          <w:sz w:val="32"/>
          <w:szCs w:val="32"/>
          <w:lang w:bidi="ar"/>
        </w:rPr>
        <w:t>2.24</w:t>
      </w:r>
      <w:r>
        <w:rPr>
          <w:rFonts w:ascii="仿宋_GB2312" w:eastAsia="仿宋_GB2312" w:hAnsi="宋体" w:cs="仿宋_GB2312" w:hint="eastAsia"/>
          <w:color w:val="000000"/>
          <w:kern w:val="0"/>
          <w:sz w:val="32"/>
          <w:szCs w:val="32"/>
          <w:lang w:bidi="ar"/>
        </w:rPr>
        <w:t>万元、其他社会保障缴费</w:t>
      </w:r>
      <w:r>
        <w:rPr>
          <w:rFonts w:ascii="仿宋_GB2312" w:eastAsia="仿宋_GB2312" w:hAnsi="宋体" w:cs="仿宋_GB2312" w:hint="eastAsia"/>
          <w:color w:val="000000"/>
          <w:kern w:val="0"/>
          <w:sz w:val="32"/>
          <w:szCs w:val="32"/>
          <w:lang w:bidi="ar"/>
        </w:rPr>
        <w:t>0.26</w:t>
      </w:r>
      <w:r>
        <w:rPr>
          <w:rFonts w:ascii="仿宋_GB2312" w:eastAsia="仿宋_GB2312" w:hAnsi="宋体" w:cs="仿宋_GB2312" w:hint="eastAsia"/>
          <w:color w:val="000000"/>
          <w:kern w:val="0"/>
          <w:sz w:val="32"/>
          <w:szCs w:val="32"/>
          <w:lang w:bidi="ar"/>
        </w:rPr>
        <w:t>万元、住房公积金</w:t>
      </w: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对个人和家庭的补助</w:t>
      </w:r>
      <w:r>
        <w:rPr>
          <w:rFonts w:ascii="仿宋_GB2312" w:eastAsia="仿宋_GB2312" w:hAnsi="宋体" w:cs="仿宋_GB2312" w:hint="eastAsia"/>
          <w:color w:val="000000"/>
          <w:kern w:val="0"/>
          <w:sz w:val="32"/>
          <w:szCs w:val="32"/>
          <w:lang w:bidi="ar"/>
        </w:rPr>
        <w:t>7.4</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其他工资福利支出</w:t>
      </w:r>
      <w:r>
        <w:rPr>
          <w:rFonts w:ascii="仿宋_GB2312" w:eastAsia="仿宋_GB2312" w:hAnsi="宋体" w:cs="仿宋_GB2312" w:hint="eastAsia"/>
          <w:color w:val="000000"/>
          <w:kern w:val="0"/>
          <w:sz w:val="32"/>
          <w:szCs w:val="32"/>
          <w:lang w:bidi="ar"/>
        </w:rPr>
        <w:t>2.73</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w:t>
      </w:r>
    </w:p>
    <w:p w:rsidR="00F87D11" w:rsidRDefault="00432835">
      <w:pPr>
        <w:widowControl/>
        <w:ind w:firstLineChars="200" w:firstLine="643"/>
        <w:jc w:val="left"/>
        <w:rPr>
          <w:rFonts w:ascii="仿宋_GB2312" w:eastAsia="仿宋_GB2312" w:hAnsi="宋体" w:cs="仿宋_GB2312"/>
          <w:color w:val="000000"/>
          <w:kern w:val="0"/>
          <w:sz w:val="32"/>
          <w:szCs w:val="32"/>
          <w:lang w:bidi="ar"/>
        </w:rPr>
      </w:pPr>
      <w:r>
        <w:rPr>
          <w:rFonts w:ascii="仿宋_GB2312" w:eastAsia="仿宋_GB2312" w:hAnsi="宋体" w:cs="仿宋_GB2312"/>
          <w:b/>
          <w:bCs/>
          <w:color w:val="000000"/>
          <w:kern w:val="0"/>
          <w:sz w:val="32"/>
          <w:szCs w:val="32"/>
          <w:lang w:bidi="ar"/>
        </w:rPr>
        <w:t>公用经费</w:t>
      </w:r>
      <w:r>
        <w:rPr>
          <w:rFonts w:ascii="仿宋_GB2312" w:eastAsia="仿宋_GB2312" w:hAnsi="宋体" w:cs="仿宋_GB2312" w:hint="eastAsia"/>
          <w:color w:val="000000"/>
          <w:kern w:val="0"/>
          <w:sz w:val="32"/>
          <w:szCs w:val="32"/>
          <w:lang w:bidi="ar"/>
        </w:rPr>
        <w:t>5.33</w:t>
      </w:r>
      <w:r>
        <w:rPr>
          <w:rFonts w:ascii="仿宋_GB2312" w:eastAsia="仿宋_GB2312" w:hAnsi="宋体" w:cs="仿宋_GB2312"/>
          <w:color w:val="000000"/>
          <w:kern w:val="0"/>
          <w:sz w:val="32"/>
          <w:szCs w:val="32"/>
          <w:lang w:bidi="ar"/>
        </w:rPr>
        <w:t>万元，主要包括</w:t>
      </w:r>
      <w:r>
        <w:rPr>
          <w:rFonts w:ascii="仿宋_GB2312" w:eastAsia="仿宋_GB2312" w:hAnsi="宋体" w:cs="仿宋_GB2312" w:hint="eastAsia"/>
          <w:color w:val="000000"/>
          <w:kern w:val="0"/>
          <w:sz w:val="32"/>
          <w:szCs w:val="32"/>
          <w:lang w:bidi="ar"/>
        </w:rPr>
        <w:t>：办公费</w:t>
      </w:r>
      <w:r>
        <w:rPr>
          <w:rFonts w:ascii="仿宋_GB2312" w:eastAsia="仿宋_GB2312" w:hAnsi="宋体" w:cs="仿宋_GB2312" w:hint="eastAsia"/>
          <w:color w:val="000000"/>
          <w:kern w:val="0"/>
          <w:sz w:val="32"/>
          <w:szCs w:val="32"/>
          <w:lang w:bidi="ar"/>
        </w:rPr>
        <w:t>1.64</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电费</w:t>
      </w:r>
      <w:r>
        <w:rPr>
          <w:rFonts w:ascii="仿宋_GB2312" w:eastAsia="仿宋_GB2312" w:hAnsi="宋体" w:cs="仿宋_GB2312" w:hint="eastAsia"/>
          <w:color w:val="000000"/>
          <w:kern w:val="0"/>
          <w:sz w:val="32"/>
          <w:szCs w:val="32"/>
          <w:lang w:bidi="ar"/>
        </w:rPr>
        <w:t>0.02</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hint="eastAsia"/>
          <w:color w:val="000000"/>
          <w:kern w:val="0"/>
          <w:sz w:val="32"/>
          <w:szCs w:val="32"/>
          <w:lang w:bidi="ar"/>
        </w:rPr>
        <w:t>邮电费</w:t>
      </w:r>
      <w:r>
        <w:rPr>
          <w:rFonts w:ascii="仿宋_GB2312" w:eastAsia="仿宋_GB2312" w:hAnsi="宋体" w:cs="仿宋_GB2312" w:hint="eastAsia"/>
          <w:color w:val="000000"/>
          <w:kern w:val="0"/>
          <w:sz w:val="32"/>
          <w:szCs w:val="32"/>
          <w:lang w:bidi="ar"/>
        </w:rPr>
        <w:t>0.04</w:t>
      </w:r>
      <w:r>
        <w:rPr>
          <w:rFonts w:ascii="仿宋_GB2312" w:eastAsia="仿宋_GB2312" w:hAnsi="宋体" w:cs="仿宋_GB2312" w:hint="eastAsia"/>
          <w:color w:val="000000"/>
          <w:kern w:val="0"/>
          <w:sz w:val="32"/>
          <w:szCs w:val="32"/>
          <w:lang w:bidi="ar"/>
        </w:rPr>
        <w:t>万元、差旅费</w:t>
      </w:r>
      <w:r>
        <w:rPr>
          <w:rFonts w:ascii="仿宋_GB2312" w:eastAsia="仿宋_GB2312" w:hAnsi="宋体" w:cs="仿宋_GB2312" w:hint="eastAsia"/>
          <w:color w:val="000000"/>
          <w:kern w:val="0"/>
          <w:sz w:val="32"/>
          <w:szCs w:val="32"/>
          <w:lang w:bidi="ar"/>
        </w:rPr>
        <w:t>0.02</w:t>
      </w:r>
      <w:r>
        <w:rPr>
          <w:rFonts w:ascii="仿宋_GB2312" w:eastAsia="仿宋_GB2312" w:hAnsi="宋体" w:cs="仿宋_GB2312" w:hint="eastAsia"/>
          <w:color w:val="000000"/>
          <w:kern w:val="0"/>
          <w:sz w:val="32"/>
          <w:szCs w:val="32"/>
          <w:lang w:bidi="ar"/>
        </w:rPr>
        <w:t>万元、维修费</w:t>
      </w:r>
      <w:r>
        <w:rPr>
          <w:rFonts w:ascii="仿宋_GB2312" w:eastAsia="仿宋_GB2312" w:hAnsi="宋体" w:cs="仿宋_GB2312" w:hint="eastAsia"/>
          <w:color w:val="000000"/>
          <w:kern w:val="0"/>
          <w:sz w:val="32"/>
          <w:szCs w:val="32"/>
          <w:lang w:bidi="ar"/>
        </w:rPr>
        <w:t>0.1</w:t>
      </w:r>
      <w:r>
        <w:rPr>
          <w:rFonts w:ascii="仿宋_GB2312" w:eastAsia="仿宋_GB2312" w:hAnsi="宋体" w:cs="仿宋_GB2312" w:hint="eastAsia"/>
          <w:color w:val="000000"/>
          <w:kern w:val="0"/>
          <w:sz w:val="32"/>
          <w:szCs w:val="32"/>
          <w:lang w:bidi="ar"/>
        </w:rPr>
        <w:t>万元、工会经费</w:t>
      </w:r>
      <w:r>
        <w:rPr>
          <w:rFonts w:ascii="仿宋_GB2312" w:eastAsia="仿宋_GB2312" w:hAnsi="宋体" w:cs="仿宋_GB2312" w:hint="eastAsia"/>
          <w:color w:val="000000"/>
          <w:kern w:val="0"/>
          <w:sz w:val="32"/>
          <w:szCs w:val="32"/>
          <w:lang w:bidi="ar"/>
        </w:rPr>
        <w:t>1.78</w:t>
      </w:r>
      <w:r>
        <w:rPr>
          <w:rFonts w:ascii="仿宋_GB2312" w:eastAsia="仿宋_GB2312" w:hAnsi="宋体" w:cs="仿宋_GB2312" w:hint="eastAsia"/>
          <w:color w:val="000000"/>
          <w:kern w:val="0"/>
          <w:sz w:val="32"/>
          <w:szCs w:val="32"/>
          <w:lang w:bidi="ar"/>
        </w:rPr>
        <w:t>万元、福利费</w:t>
      </w:r>
      <w:r>
        <w:rPr>
          <w:rFonts w:ascii="仿宋_GB2312" w:eastAsia="仿宋_GB2312" w:hAnsi="宋体" w:cs="仿宋_GB2312" w:hint="eastAsia"/>
          <w:color w:val="000000"/>
          <w:kern w:val="0"/>
          <w:sz w:val="32"/>
          <w:szCs w:val="32"/>
          <w:lang w:bidi="ar"/>
        </w:rPr>
        <w:t>0.19</w:t>
      </w:r>
      <w:r>
        <w:rPr>
          <w:rFonts w:ascii="仿宋_GB2312" w:eastAsia="仿宋_GB2312" w:hAnsi="宋体" w:cs="仿宋_GB2312" w:hint="eastAsia"/>
          <w:color w:val="000000"/>
          <w:kern w:val="0"/>
          <w:sz w:val="32"/>
          <w:szCs w:val="32"/>
          <w:lang w:bidi="ar"/>
        </w:rPr>
        <w:t>万元、公务用车运行维护费</w:t>
      </w:r>
      <w:r>
        <w:rPr>
          <w:rFonts w:ascii="仿宋_GB2312" w:eastAsia="仿宋_GB2312" w:hAnsi="宋体" w:cs="仿宋_GB2312" w:hint="eastAsia"/>
          <w:color w:val="000000"/>
          <w:kern w:val="0"/>
          <w:sz w:val="32"/>
          <w:szCs w:val="32"/>
          <w:lang w:bidi="ar"/>
        </w:rPr>
        <w:t>1.55</w:t>
      </w:r>
      <w:r>
        <w:rPr>
          <w:rFonts w:ascii="仿宋_GB2312" w:eastAsia="仿宋_GB2312" w:hAnsi="宋体" w:cs="仿宋_GB2312" w:hint="eastAsia"/>
          <w:color w:val="000000"/>
          <w:kern w:val="0"/>
          <w:sz w:val="32"/>
          <w:szCs w:val="32"/>
          <w:lang w:bidi="ar"/>
        </w:rPr>
        <w:t>万</w:t>
      </w:r>
      <w:r>
        <w:rPr>
          <w:rFonts w:ascii="仿宋_GB2312" w:eastAsia="仿宋_GB2312" w:hAnsi="宋体" w:cs="仿宋_GB2312" w:hint="eastAsia"/>
          <w:color w:val="000000"/>
          <w:kern w:val="0"/>
          <w:sz w:val="32"/>
          <w:szCs w:val="32"/>
          <w:lang w:bidi="ar"/>
        </w:rPr>
        <w:t>元。</w:t>
      </w:r>
    </w:p>
    <w:p w:rsidR="00F87D11" w:rsidRDefault="00F87D11">
      <w:pPr>
        <w:ind w:firstLineChars="200" w:firstLine="640"/>
        <w:rPr>
          <w:rFonts w:ascii="黑体" w:eastAsia="黑体" w:hAnsi="黑体"/>
          <w:color w:val="000000"/>
          <w:kern w:val="0"/>
          <w:sz w:val="32"/>
          <w:szCs w:val="32"/>
          <w:lang w:bidi="ar"/>
        </w:rPr>
      </w:pPr>
    </w:p>
    <w:p w:rsidR="00F87D11" w:rsidRDefault="00432835">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lastRenderedPageBreak/>
        <w:t>七、一般公共预算财政拨款“三公”经费及会议费、培训费支出决算情况说明</w:t>
      </w:r>
      <w:r>
        <w:rPr>
          <w:rFonts w:ascii="黑体" w:eastAsia="黑体" w:hAnsi="黑体" w:hint="eastAsia"/>
          <w:color w:val="000000"/>
          <w:kern w:val="0"/>
          <w:sz w:val="32"/>
          <w:szCs w:val="32"/>
          <w:lang w:bidi="ar"/>
        </w:rPr>
        <w:t xml:space="preserve"> </w:t>
      </w:r>
    </w:p>
    <w:p w:rsidR="00F87D11" w:rsidRDefault="00432835">
      <w:pPr>
        <w:widowControl/>
        <w:ind w:firstLineChars="200" w:firstLine="643"/>
        <w:jc w:val="left"/>
      </w:pPr>
      <w:r>
        <w:rPr>
          <w:rFonts w:ascii="楷体_GB2312" w:eastAsia="楷体_GB2312" w:hAnsi="宋体" w:cs="楷体_GB2312"/>
          <w:b/>
          <w:color w:val="000000"/>
          <w:kern w:val="0"/>
          <w:sz w:val="32"/>
          <w:szCs w:val="32"/>
          <w:lang w:bidi="ar"/>
        </w:rPr>
        <w:t>（一）</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经费财政拨款支出决算总体情况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 xml:space="preserve"> </w:t>
      </w:r>
    </w:p>
    <w:p w:rsidR="00F87D11" w:rsidRDefault="00432835">
      <w:pPr>
        <w:widowControl/>
        <w:ind w:firstLineChars="200" w:firstLine="640"/>
        <w:jc w:val="left"/>
      </w:pPr>
      <w:r>
        <w:rPr>
          <w:rFonts w:ascii="仿宋_GB2312" w:eastAsia="仿宋_GB2312" w:hAnsi="宋体" w:cs="仿宋_GB2312" w:hint="eastAsia"/>
          <w:color w:val="000000"/>
          <w:kern w:val="0"/>
          <w:sz w:val="32"/>
          <w:szCs w:val="32"/>
          <w:lang w:bidi="ar"/>
        </w:rPr>
        <w:t>2021</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经费财政拨款支出预算为</w:t>
      </w:r>
      <w:r>
        <w:rPr>
          <w:rFonts w:ascii="仿宋_GB2312" w:eastAsia="仿宋_GB2312" w:hAnsi="宋体" w:cs="仿宋_GB2312" w:hint="eastAsia"/>
          <w:color w:val="000000"/>
          <w:kern w:val="0"/>
          <w:sz w:val="32"/>
          <w:szCs w:val="32"/>
          <w:lang w:bidi="ar"/>
        </w:rPr>
        <w:t>5</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1.55</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31</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w:t>
      </w:r>
    </w:p>
    <w:p w:rsidR="00F87D11" w:rsidRDefault="00432835">
      <w:pPr>
        <w:spacing w:line="360" w:lineRule="auto"/>
        <w:ind w:firstLineChars="200" w:firstLine="643"/>
        <w:rPr>
          <w:rFonts w:ascii="仿宋_GB2312" w:eastAsia="仿宋_GB2312" w:hAnsi="仿宋_GB2312" w:cs="仿宋_GB2312"/>
          <w:sz w:val="32"/>
          <w:szCs w:val="32"/>
        </w:rPr>
      </w:pPr>
      <w:r>
        <w:rPr>
          <w:rFonts w:ascii="楷体_GB2312" w:eastAsia="楷体_GB2312" w:hAnsi="宋体" w:cs="楷体_GB2312" w:hint="eastAsia"/>
          <w:b/>
          <w:color w:val="000000"/>
          <w:kern w:val="0"/>
          <w:sz w:val="32"/>
          <w:szCs w:val="32"/>
          <w:lang w:bidi="ar"/>
        </w:rPr>
        <w:t>（二）</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三公</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经费财政拨款支出决算具体情况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p>
    <w:p w:rsidR="00F87D11" w:rsidRDefault="00432835">
      <w:pPr>
        <w:widowControl/>
        <w:ind w:firstLineChars="200" w:firstLine="640"/>
        <w:jc w:val="left"/>
      </w:pPr>
      <w:r>
        <w:rPr>
          <w:rFonts w:ascii="仿宋_GB2312" w:eastAsia="仿宋_GB2312" w:hAnsi="宋体" w:cs="仿宋_GB2312" w:hint="eastAsia"/>
          <w:color w:val="000000"/>
          <w:kern w:val="0"/>
          <w:sz w:val="32"/>
          <w:szCs w:val="32"/>
          <w:lang w:bidi="ar"/>
        </w:rPr>
        <w:t>2021</w:t>
      </w:r>
      <w:r>
        <w:rPr>
          <w:rFonts w:ascii="仿宋_GB2312" w:eastAsia="仿宋_GB2312" w:hAnsi="宋体" w:cs="仿宋_GB2312"/>
          <w:color w:val="000000"/>
          <w:kern w:val="0"/>
          <w:sz w:val="32"/>
          <w:szCs w:val="32"/>
          <w:lang w:bidi="ar"/>
        </w:rPr>
        <w:t>年</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经费财政拨款支出决算中，因公出国（境）费支出决算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；公务用车购置</w:t>
      </w:r>
      <w:r>
        <w:rPr>
          <w:rFonts w:ascii="仿宋_GB2312" w:eastAsia="仿宋_GB2312" w:hAnsi="宋体" w:cs="仿宋_GB2312" w:hint="eastAsia"/>
          <w:color w:val="000000"/>
          <w:kern w:val="0"/>
          <w:sz w:val="32"/>
          <w:szCs w:val="32"/>
          <w:lang w:bidi="ar"/>
        </w:rPr>
        <w:t>费支出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lang w:bidi="ar"/>
        </w:rPr>
        <w:t>费支出决算</w:t>
      </w:r>
      <w:r>
        <w:rPr>
          <w:rFonts w:ascii="仿宋_GB2312" w:eastAsia="仿宋_GB2312" w:hAnsi="宋体" w:cs="仿宋_GB2312" w:hint="eastAsia"/>
          <w:color w:val="000000"/>
          <w:kern w:val="0"/>
          <w:sz w:val="32"/>
          <w:szCs w:val="32"/>
          <w:lang w:bidi="ar"/>
        </w:rPr>
        <w:t>1.55</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；公务接待费支出决算</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。具体情况如下：</w:t>
      </w:r>
    </w:p>
    <w:p w:rsidR="00F87D11" w:rsidRDefault="00432835">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F87D11" w:rsidRDefault="00432835">
      <w:pPr>
        <w:widowControl/>
        <w:ind w:firstLineChars="200" w:firstLine="640"/>
        <w:jc w:val="left"/>
      </w:pPr>
      <w:r>
        <w:rPr>
          <w:rFonts w:ascii="仿宋_GB2312" w:eastAsia="仿宋_GB2312" w:hAnsi="仿宋" w:hint="eastAsia"/>
          <w:sz w:val="32"/>
          <w:szCs w:val="32"/>
        </w:rPr>
        <w:t>2021</w:t>
      </w:r>
      <w:r>
        <w:rPr>
          <w:rFonts w:ascii="仿宋_GB2312" w:eastAsia="仿宋_GB2312" w:hAnsi="仿宋" w:hint="eastAsia"/>
          <w:sz w:val="32"/>
          <w:szCs w:val="32"/>
        </w:rPr>
        <w:t>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决算数</w:t>
      </w:r>
      <w:r>
        <w:rPr>
          <w:rFonts w:ascii="仿宋_GB2312" w:eastAsia="仿宋_GB2312" w:hAnsi="宋体" w:cs="仿宋_GB2312" w:hint="eastAsia"/>
          <w:color w:val="000000"/>
          <w:kern w:val="0"/>
          <w:sz w:val="32"/>
          <w:szCs w:val="32"/>
          <w:lang w:bidi="ar"/>
        </w:rPr>
        <w:t>较</w:t>
      </w:r>
      <w:r>
        <w:rPr>
          <w:rFonts w:ascii="仿宋_GB2312" w:eastAsia="仿宋_GB2312" w:hAnsi="宋体" w:cs="仿宋_GB2312"/>
          <w:color w:val="000000"/>
          <w:kern w:val="0"/>
          <w:sz w:val="32"/>
          <w:szCs w:val="32"/>
          <w:lang w:bidi="ar"/>
        </w:rPr>
        <w:t>预算数</w:t>
      </w:r>
      <w:r>
        <w:rPr>
          <w:rFonts w:ascii="仿宋_GB2312" w:eastAsia="仿宋_GB2312" w:hAnsi="宋体" w:cs="仿宋_GB2312" w:hint="eastAsia"/>
          <w:color w:val="000000"/>
          <w:kern w:val="0"/>
          <w:sz w:val="32"/>
          <w:szCs w:val="32"/>
          <w:lang w:bidi="ar"/>
        </w:rPr>
        <w:t>减少（增加）</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万元，</w:t>
      </w:r>
      <w:r>
        <w:rPr>
          <w:rFonts w:ascii="仿宋_GB2312" w:eastAsia="仿宋_GB2312" w:hAnsi="宋体" w:cs="仿宋_GB2312"/>
          <w:color w:val="000000"/>
          <w:kern w:val="0"/>
          <w:sz w:val="32"/>
          <w:szCs w:val="32"/>
          <w:lang w:bidi="ar"/>
        </w:rPr>
        <w:t>主要原因是</w:t>
      </w:r>
      <w:r>
        <w:rPr>
          <w:rFonts w:ascii="仿宋_GB2312" w:eastAsia="仿宋_GB2312" w:hAnsi="宋体" w:cs="仿宋_GB2312" w:hint="eastAsia"/>
          <w:color w:val="000000"/>
          <w:kern w:val="0"/>
          <w:sz w:val="32"/>
          <w:szCs w:val="32"/>
          <w:lang w:bidi="ar"/>
        </w:rPr>
        <w:t>本单位历年没有安排因公出国（境）的预算，年度也无实际支出。</w:t>
      </w:r>
    </w:p>
    <w:p w:rsidR="00F87D11" w:rsidRDefault="00432835">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F87D11" w:rsidRDefault="00432835">
      <w:pPr>
        <w:widowControl/>
        <w:ind w:firstLineChars="200" w:firstLine="640"/>
        <w:jc w:val="left"/>
        <w:rPr>
          <w:rFonts w:eastAsia="仿宋_GB2312"/>
        </w:rPr>
      </w:pPr>
      <w:r>
        <w:rPr>
          <w:rFonts w:ascii="仿宋_GB2312" w:eastAsia="仿宋_GB2312" w:hAnsi="仿宋" w:hint="eastAsia"/>
          <w:sz w:val="32"/>
          <w:szCs w:val="32"/>
        </w:rPr>
        <w:t>2021</w:t>
      </w:r>
      <w:r>
        <w:rPr>
          <w:rFonts w:ascii="仿宋_GB2312" w:eastAsia="仿宋_GB2312" w:hAnsi="仿宋"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p>
    <w:p w:rsidR="00F87D11" w:rsidRDefault="00432835">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F87D11" w:rsidRDefault="0043283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公车改革后，我单位</w:t>
      </w:r>
      <w:r>
        <w:rPr>
          <w:rFonts w:ascii="仿宋_GB2312" w:eastAsia="仿宋_GB2312" w:hAnsi="仿宋" w:hint="eastAsia"/>
          <w:sz w:val="32"/>
          <w:szCs w:val="32"/>
        </w:rPr>
        <w:t>有业务用车一辆</w:t>
      </w:r>
      <w:r>
        <w:rPr>
          <w:rFonts w:ascii="仿宋_GB2312" w:eastAsia="仿宋_GB2312" w:hAnsi="仿宋" w:hint="eastAsia"/>
          <w:sz w:val="32"/>
          <w:szCs w:val="32"/>
        </w:rPr>
        <w:t>，</w:t>
      </w:r>
      <w:r>
        <w:rPr>
          <w:rFonts w:ascii="仿宋_GB2312" w:eastAsia="仿宋_GB2312" w:hAnsi="仿宋" w:hint="eastAsia"/>
          <w:sz w:val="32"/>
          <w:szCs w:val="32"/>
        </w:rPr>
        <w:t>2021</w:t>
      </w:r>
      <w:r>
        <w:rPr>
          <w:rFonts w:ascii="仿宋_GB2312" w:eastAsia="仿宋_GB2312" w:hAnsi="仿宋" w:hint="eastAsia"/>
          <w:sz w:val="32"/>
          <w:szCs w:val="32"/>
        </w:rPr>
        <w:t>年公车运行维护费</w:t>
      </w:r>
      <w:r>
        <w:rPr>
          <w:rFonts w:ascii="仿宋_GB2312" w:eastAsia="仿宋_GB2312" w:hAnsi="仿宋" w:hint="eastAsia"/>
          <w:sz w:val="32"/>
          <w:szCs w:val="32"/>
        </w:rPr>
        <w:t>1.55</w:t>
      </w:r>
      <w:r>
        <w:rPr>
          <w:rFonts w:ascii="仿宋_GB2312" w:eastAsia="仿宋_GB2312" w:hAnsi="仿宋" w:hint="eastAsia"/>
          <w:sz w:val="32"/>
          <w:szCs w:val="32"/>
        </w:rPr>
        <w:t>万元</w:t>
      </w:r>
      <w:r>
        <w:rPr>
          <w:rFonts w:ascii="仿宋_GB2312" w:eastAsia="仿宋_GB2312" w:hAnsi="宋体" w:cs="仿宋_GB2312" w:hint="eastAsia"/>
          <w:color w:val="000000"/>
          <w:kern w:val="0"/>
          <w:sz w:val="32"/>
          <w:szCs w:val="32"/>
          <w:lang w:bidi="ar"/>
        </w:rPr>
        <w:t>。</w:t>
      </w:r>
    </w:p>
    <w:p w:rsidR="00F87D11" w:rsidRDefault="00432835">
      <w:pPr>
        <w:ind w:firstLineChars="200" w:firstLine="643"/>
        <w:rPr>
          <w:rFonts w:ascii="仿宋_GB2312" w:eastAsia="仿宋_GB2312" w:hAnsi="仿宋"/>
          <w:sz w:val="32"/>
          <w:szCs w:val="32"/>
        </w:rPr>
      </w:pPr>
      <w:r>
        <w:rPr>
          <w:rFonts w:ascii="仿宋_GB2312" w:eastAsia="仿宋_GB2312" w:hAnsi="仿宋" w:hint="eastAsia"/>
          <w:b/>
          <w:bCs/>
          <w:sz w:val="32"/>
          <w:szCs w:val="32"/>
        </w:rPr>
        <w:lastRenderedPageBreak/>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lang w:bidi="ar"/>
        </w:rPr>
        <w:t>说明</w:t>
      </w:r>
      <w:r>
        <w:rPr>
          <w:rFonts w:ascii="仿宋_GB2312" w:eastAsia="仿宋_GB2312" w:hAnsi="仿宋" w:hint="eastAsia"/>
          <w:b/>
          <w:bCs/>
          <w:sz w:val="32"/>
          <w:szCs w:val="32"/>
        </w:rPr>
        <w:t>。</w:t>
      </w:r>
    </w:p>
    <w:p w:rsidR="00F87D11" w:rsidRDefault="0043283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2021</w:t>
      </w:r>
      <w:r>
        <w:rPr>
          <w:rFonts w:ascii="仿宋_GB2312" w:eastAsia="仿宋_GB2312" w:hAnsi="仿宋" w:hint="eastAsia"/>
          <w:sz w:val="32"/>
          <w:szCs w:val="32"/>
        </w:rPr>
        <w:t>年公务接待</w:t>
      </w:r>
      <w:r>
        <w:rPr>
          <w:rFonts w:ascii="仿宋_GB2312" w:eastAsia="仿宋_GB2312" w:hAnsi="仿宋"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人次，年初</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万元，完成预算的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w:t>
      </w:r>
    </w:p>
    <w:p w:rsidR="00F87D11" w:rsidRDefault="00432835">
      <w:pPr>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（三）培训费支出情况说明。</w:t>
      </w:r>
    </w:p>
    <w:p w:rsidR="00F87D11" w:rsidRDefault="0043283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p>
    <w:p w:rsidR="00F87D11" w:rsidRDefault="00432835">
      <w:pPr>
        <w:spacing w:line="360" w:lineRule="auto"/>
        <w:ind w:firstLineChars="200" w:firstLine="643"/>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（四）会议费支出情况说明。</w:t>
      </w:r>
    </w:p>
    <w:p w:rsidR="00F87D11" w:rsidRDefault="00432835">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lang w:bidi="ar"/>
        </w:rPr>
        <w:t>预算为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w:t>
      </w:r>
      <w:r>
        <w:rPr>
          <w:rFonts w:ascii="仿宋_GB2312" w:eastAsia="仿宋_GB2312" w:hAnsi="宋体" w:cs="仿宋_GB2312" w:hint="eastAsia"/>
          <w:color w:val="000000"/>
          <w:kern w:val="0"/>
          <w:sz w:val="32"/>
          <w:szCs w:val="32"/>
          <w:lang w:bidi="ar"/>
        </w:rPr>
        <w:t>。</w:t>
      </w:r>
    </w:p>
    <w:p w:rsidR="00F87D11" w:rsidRDefault="00432835">
      <w:pPr>
        <w:ind w:firstLineChars="200" w:firstLine="640"/>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八、政府性基金预算财政拨款收入支出情况说明</w:t>
      </w:r>
      <w:r>
        <w:rPr>
          <w:rFonts w:ascii="黑体" w:eastAsia="黑体" w:hAnsi="黑体" w:hint="eastAsia"/>
          <w:color w:val="000000"/>
          <w:kern w:val="0"/>
          <w:sz w:val="32"/>
          <w:szCs w:val="32"/>
          <w:lang w:bidi="ar"/>
        </w:rPr>
        <w:t xml:space="preserve"> </w:t>
      </w:r>
    </w:p>
    <w:p w:rsidR="00F87D11" w:rsidRDefault="0043283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F87D11" w:rsidRDefault="00432835">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九、国有资本经营财政拨款收入支出情况说明</w:t>
      </w:r>
    </w:p>
    <w:p w:rsidR="00F87D11" w:rsidRDefault="0043283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本部门无国有资本经营决算拨款收支，并已公开空表。</w:t>
      </w:r>
    </w:p>
    <w:p w:rsidR="00F87D11" w:rsidRDefault="00432835">
      <w:pPr>
        <w:widowControl/>
        <w:ind w:firstLineChars="200" w:firstLine="640"/>
        <w:jc w:val="left"/>
        <w:rPr>
          <w:rFonts w:ascii="黑体" w:eastAsia="黑体" w:hAnsi="黑体"/>
          <w:color w:val="000000"/>
          <w:kern w:val="0"/>
          <w:sz w:val="32"/>
          <w:szCs w:val="32"/>
          <w:lang w:bidi="ar"/>
        </w:rPr>
      </w:pPr>
      <w:r>
        <w:rPr>
          <w:rFonts w:ascii="黑体" w:eastAsia="黑体" w:hAnsi="黑体" w:hint="eastAsia"/>
          <w:color w:val="000000"/>
          <w:kern w:val="0"/>
          <w:sz w:val="32"/>
          <w:szCs w:val="32"/>
          <w:lang w:bidi="ar"/>
        </w:rPr>
        <w:t>十、预算绩效情况说明</w:t>
      </w:r>
    </w:p>
    <w:p w:rsidR="00F87D11" w:rsidRDefault="00432835">
      <w:pPr>
        <w:widowControl/>
        <w:ind w:leftChars="304" w:left="1281" w:hangingChars="200" w:hanging="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（一）</w:t>
      </w:r>
      <w:r>
        <w:rPr>
          <w:rFonts w:ascii="楷体_GB2312" w:eastAsia="楷体_GB2312" w:hAnsi="宋体" w:cs="楷体_GB2312"/>
          <w:b/>
          <w:color w:val="000000"/>
          <w:kern w:val="0"/>
          <w:sz w:val="32"/>
          <w:szCs w:val="32"/>
          <w:lang w:bidi="ar"/>
        </w:rPr>
        <w:t>预算绩效管理工作开展情况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r>
        <w:rPr>
          <w:rFonts w:ascii="楷体_GB2312" w:eastAsia="楷体_GB2312" w:hAnsi="宋体" w:cs="楷体_GB2312" w:hint="eastAsia"/>
          <w:b/>
          <w:color w:val="000000"/>
          <w:kern w:val="0"/>
          <w:sz w:val="32"/>
          <w:szCs w:val="32"/>
          <w:lang w:bidi="ar"/>
        </w:rPr>
        <w:t xml:space="preserve"> </w:t>
      </w:r>
    </w:p>
    <w:p w:rsidR="00F87D11" w:rsidRDefault="00432835">
      <w:pPr>
        <w:widowControl/>
        <w:ind w:leftChars="304" w:left="1278" w:hangingChars="200" w:hanging="640"/>
        <w:jc w:val="left"/>
        <w:rPr>
          <w:rFonts w:ascii="楷体_GB2312" w:eastAsia="楷体_GB2312" w:hAnsi="宋体" w:cs="楷体_GB2312"/>
          <w:b/>
          <w:color w:val="000000"/>
          <w:kern w:val="0"/>
          <w:sz w:val="32"/>
          <w:szCs w:val="32"/>
          <w:lang w:bidi="ar"/>
        </w:rPr>
      </w:pP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年无公共预算项目。</w:t>
      </w:r>
      <w:r>
        <w:rPr>
          <w:rFonts w:ascii="仿宋_GB2312" w:eastAsia="仿宋_GB2312" w:hAnsi="仿宋_GB2312" w:cs="仿宋_GB2312" w:hint="eastAsia"/>
          <w:sz w:val="32"/>
          <w:szCs w:val="32"/>
        </w:rPr>
        <w:t xml:space="preserve">   </w:t>
      </w:r>
      <w:r>
        <w:rPr>
          <w:rFonts w:ascii="楷体_GB2312" w:eastAsia="楷体_GB2312" w:hAnsi="宋体" w:cs="楷体_GB2312" w:hint="eastAsia"/>
          <w:b/>
          <w:color w:val="000000"/>
          <w:kern w:val="0"/>
          <w:sz w:val="32"/>
          <w:szCs w:val="32"/>
          <w:lang w:bidi="ar"/>
        </w:rPr>
        <w:t xml:space="preserve"> </w:t>
      </w:r>
    </w:p>
    <w:p w:rsidR="00F87D11" w:rsidRDefault="00432835">
      <w:pPr>
        <w:widowControl/>
        <w:numPr>
          <w:ilvl w:val="0"/>
          <w:numId w:val="2"/>
        </w:numPr>
        <w:ind w:firstLineChars="200" w:firstLine="643"/>
        <w:jc w:val="left"/>
        <w:rPr>
          <w:rFonts w:ascii="仿宋_GB2312" w:eastAsia="仿宋_GB2312" w:hAnsi="仿宋_GB2312" w:cs="仿宋_GB2312"/>
          <w:color w:val="000000"/>
          <w:kern w:val="0"/>
          <w:sz w:val="31"/>
          <w:szCs w:val="31"/>
          <w:lang w:bidi="ar"/>
        </w:rPr>
      </w:pPr>
      <w:r>
        <w:rPr>
          <w:rFonts w:ascii="楷体_GB2312" w:eastAsia="楷体_GB2312" w:hAnsi="宋体" w:cs="楷体_GB2312"/>
          <w:b/>
          <w:color w:val="000000"/>
          <w:kern w:val="0"/>
          <w:sz w:val="32"/>
          <w:szCs w:val="32"/>
          <w:lang w:bidi="ar"/>
        </w:rPr>
        <w:t>部门决算中项目绩效自评结果。</w:t>
      </w:r>
      <w:r>
        <w:rPr>
          <w:rFonts w:ascii="仿宋_GB2312" w:eastAsia="仿宋_GB2312" w:hAnsi="仿宋_GB2312" w:cs="仿宋_GB2312"/>
          <w:color w:val="000000"/>
          <w:kern w:val="0"/>
          <w:sz w:val="31"/>
          <w:szCs w:val="31"/>
          <w:lang w:bidi="ar"/>
        </w:rPr>
        <w:t xml:space="preserve"> </w:t>
      </w:r>
    </w:p>
    <w:p w:rsidR="00F87D11" w:rsidRDefault="00432835" w:rsidP="00432835">
      <w:pPr>
        <w:widowControl/>
        <w:ind w:leftChars="200" w:left="420"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无</w:t>
      </w:r>
    </w:p>
    <w:p w:rsidR="00F87D11" w:rsidRDefault="00432835">
      <w:pPr>
        <w:ind w:firstLineChars="300" w:firstLine="960"/>
        <w:rPr>
          <w:rFonts w:ascii="黑体" w:eastAsia="黑体" w:hAnsi="黑体"/>
          <w:sz w:val="32"/>
          <w:szCs w:val="32"/>
        </w:rPr>
      </w:pPr>
      <w:r>
        <w:rPr>
          <w:rFonts w:ascii="黑体" w:eastAsia="黑体" w:hAnsi="黑体" w:hint="eastAsia"/>
          <w:color w:val="000000"/>
          <w:kern w:val="0"/>
          <w:sz w:val="32"/>
          <w:szCs w:val="32"/>
          <w:lang w:bidi="ar"/>
        </w:rPr>
        <w:t>十一、其他重要事项说明</w:t>
      </w:r>
    </w:p>
    <w:p w:rsidR="00F87D11" w:rsidRDefault="00432835">
      <w:pPr>
        <w:widowControl/>
        <w:ind w:firstLineChars="200" w:firstLine="643"/>
        <w:jc w:val="left"/>
      </w:pPr>
      <w:r>
        <w:rPr>
          <w:rFonts w:ascii="楷体_GB2312" w:eastAsia="楷体_GB2312" w:hAnsi="宋体" w:cs="楷体_GB2312"/>
          <w:b/>
          <w:color w:val="000000"/>
          <w:kern w:val="0"/>
          <w:sz w:val="32"/>
          <w:szCs w:val="32"/>
          <w:lang w:bidi="ar"/>
        </w:rPr>
        <w:t>（一）机关运行经费支出情况</w:t>
      </w:r>
      <w:r>
        <w:rPr>
          <w:rFonts w:ascii="楷体_GB2312" w:eastAsia="楷体_GB2312" w:hAnsi="宋体" w:cs="楷体_GB2312" w:hint="eastAsia"/>
          <w:b/>
          <w:color w:val="000000"/>
          <w:kern w:val="0"/>
          <w:sz w:val="32"/>
          <w:szCs w:val="32"/>
          <w:lang w:bidi="ar"/>
        </w:rPr>
        <w:t>说明</w:t>
      </w:r>
      <w:r>
        <w:rPr>
          <w:rFonts w:ascii="楷体_GB2312" w:eastAsia="楷体_GB2312" w:hAnsi="宋体" w:cs="楷体_GB2312"/>
          <w:b/>
          <w:color w:val="000000"/>
          <w:kern w:val="0"/>
          <w:sz w:val="32"/>
          <w:szCs w:val="32"/>
          <w:lang w:bidi="ar"/>
        </w:rPr>
        <w:t>。</w:t>
      </w:r>
      <w:r>
        <w:rPr>
          <w:rFonts w:ascii="楷体_GB2312" w:eastAsia="楷体_GB2312" w:hAnsi="宋体" w:cs="楷体_GB2312"/>
          <w:b/>
          <w:color w:val="000000"/>
          <w:kern w:val="0"/>
          <w:sz w:val="32"/>
          <w:szCs w:val="32"/>
          <w:lang w:bidi="ar"/>
        </w:rPr>
        <w:t xml:space="preserve"> </w:t>
      </w:r>
    </w:p>
    <w:p w:rsidR="00F87D11" w:rsidRDefault="00432835">
      <w:pPr>
        <w:widowControl/>
        <w:ind w:firstLineChars="200" w:firstLine="620"/>
        <w:jc w:val="left"/>
        <w:rPr>
          <w:rFonts w:ascii="仿宋_GB2312" w:eastAsia="仿宋_GB2312" w:hAnsi="宋体" w:cs="仿宋_GB2312"/>
          <w:color w:val="000000"/>
          <w:kern w:val="0"/>
          <w:sz w:val="32"/>
          <w:szCs w:val="32"/>
          <w:lang w:bidi="ar"/>
        </w:rPr>
      </w:pPr>
      <w:r>
        <w:rPr>
          <w:rFonts w:ascii="仿宋_GB2312" w:eastAsia="仿宋_GB2312" w:hAnsi="仿宋_GB2312" w:cs="仿宋_GB2312" w:hint="eastAsia"/>
          <w:color w:val="000000"/>
          <w:kern w:val="0"/>
          <w:sz w:val="31"/>
          <w:szCs w:val="31"/>
          <w:lang w:bidi="ar"/>
        </w:rPr>
        <w:t>2021</w:t>
      </w:r>
      <w:r>
        <w:rPr>
          <w:rFonts w:ascii="仿宋_GB2312" w:eastAsia="仿宋_GB2312" w:hAnsi="仿宋_GB2312" w:cs="仿宋_GB2312"/>
          <w:color w:val="000000"/>
          <w:kern w:val="0"/>
          <w:sz w:val="31"/>
          <w:szCs w:val="31"/>
          <w:lang w:bidi="ar"/>
        </w:rPr>
        <w:t>年机关运行经费</w:t>
      </w:r>
      <w:r>
        <w:rPr>
          <w:rFonts w:ascii="仿宋_GB2312" w:eastAsia="仿宋_GB2312" w:hAnsi="宋体" w:cs="仿宋_GB2312"/>
          <w:color w:val="000000"/>
          <w:kern w:val="0"/>
          <w:sz w:val="32"/>
          <w:szCs w:val="32"/>
          <w:lang w:bidi="ar"/>
        </w:rPr>
        <w:t>预算为</w:t>
      </w:r>
      <w:r>
        <w:rPr>
          <w:rFonts w:ascii="仿宋_GB2312" w:eastAsia="仿宋_GB2312" w:hAnsi="仿宋_GB2312" w:cs="仿宋_GB2312" w:hint="eastAsia"/>
          <w:color w:val="000000"/>
          <w:kern w:val="0"/>
          <w:sz w:val="31"/>
          <w:szCs w:val="31"/>
          <w:lang w:bidi="ar"/>
        </w:rPr>
        <w:t>0</w:t>
      </w:r>
      <w:r>
        <w:rPr>
          <w:rFonts w:ascii="仿宋_GB2312" w:eastAsia="仿宋_GB2312" w:hAnsi="宋体" w:cs="仿宋_GB2312"/>
          <w:color w:val="000000"/>
          <w:kern w:val="0"/>
          <w:sz w:val="32"/>
          <w:szCs w:val="32"/>
          <w:lang w:bidi="ar"/>
        </w:rPr>
        <w:t>万元，支出决算为</w:t>
      </w:r>
      <w:r>
        <w:rPr>
          <w:rFonts w:ascii="仿宋_GB2312" w:eastAsia="仿宋_GB2312" w:hAnsi="仿宋_GB2312" w:cs="仿宋_GB2312" w:hint="eastAsia"/>
          <w:color w:val="000000"/>
          <w:kern w:val="0"/>
          <w:sz w:val="31"/>
          <w:szCs w:val="31"/>
          <w:lang w:bidi="ar"/>
        </w:rPr>
        <w:t>0</w:t>
      </w:r>
      <w:r>
        <w:rPr>
          <w:rFonts w:ascii="仿宋_GB2312" w:eastAsia="仿宋_GB2312" w:hAnsi="宋体" w:cs="仿宋_GB2312"/>
          <w:color w:val="000000"/>
          <w:kern w:val="0"/>
          <w:sz w:val="32"/>
          <w:szCs w:val="32"/>
          <w:lang w:bidi="ar"/>
        </w:rPr>
        <w:t>万元。</w:t>
      </w:r>
    </w:p>
    <w:p w:rsidR="00F87D11" w:rsidRDefault="00432835">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（二）政府采购支出情明。</w:t>
      </w:r>
    </w:p>
    <w:p w:rsidR="00F87D11" w:rsidRDefault="00432835">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w:t>
      </w:r>
      <w:r>
        <w:rPr>
          <w:rFonts w:ascii="仿宋_GB2312" w:eastAsia="仿宋_GB2312" w:hAnsi="仿宋_GB2312" w:cs="仿宋_GB2312" w:hint="eastAsia"/>
          <w:sz w:val="32"/>
          <w:szCs w:val="32"/>
        </w:rPr>
        <w:t>年本部门政府采购支出总额共</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万元，全为政</w:t>
      </w:r>
      <w:r>
        <w:rPr>
          <w:rFonts w:ascii="仿宋_GB2312" w:eastAsia="仿宋_GB2312" w:hAnsi="仿宋_GB2312" w:cs="仿宋_GB2312" w:hint="eastAsia"/>
          <w:sz w:val="32"/>
          <w:szCs w:val="32"/>
        </w:rPr>
        <w:t>府采购货物类支出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万元、政府采购工程类支出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宋体" w:cs="仿宋_GB2312"/>
          <w:color w:val="000000"/>
          <w:kern w:val="0"/>
          <w:sz w:val="32"/>
          <w:szCs w:val="32"/>
          <w:lang w:bidi="ar"/>
        </w:rPr>
        <w:t>授予中小企业合同金额</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万元，占政府采购支出总额的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，其中：授予小微企业合同金额</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万元，占政府采购支出总额的</w:t>
      </w:r>
      <w:r>
        <w:rPr>
          <w:rFonts w:ascii="仿宋_GB2312" w:eastAsia="仿宋_GB2312" w:hAnsi="宋体" w:cs="仿宋_GB2312" w:hint="eastAsia"/>
          <w:color w:val="000000"/>
          <w:kern w:val="0"/>
          <w:sz w:val="32"/>
          <w:szCs w:val="32"/>
          <w:lang w:bidi="ar"/>
        </w:rPr>
        <w:t>0</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w:t>
      </w:r>
    </w:p>
    <w:p w:rsidR="00F87D11" w:rsidRDefault="00432835">
      <w:pPr>
        <w:widowControl/>
        <w:ind w:firstLineChars="200" w:firstLine="643"/>
        <w:jc w:val="left"/>
        <w:rPr>
          <w:rFonts w:ascii="楷体_GB2312" w:eastAsia="楷体_GB2312" w:hAnsi="宋体" w:cs="楷体_GB2312"/>
          <w:b/>
          <w:color w:val="000000"/>
          <w:kern w:val="0"/>
          <w:sz w:val="32"/>
          <w:szCs w:val="32"/>
          <w:lang w:bidi="ar"/>
        </w:rPr>
      </w:pPr>
      <w:r>
        <w:rPr>
          <w:rFonts w:ascii="楷体_GB2312" w:eastAsia="楷体_GB2312" w:hAnsi="宋体" w:cs="楷体_GB2312" w:hint="eastAsia"/>
          <w:b/>
          <w:color w:val="000000"/>
          <w:kern w:val="0"/>
          <w:sz w:val="32"/>
          <w:szCs w:val="32"/>
          <w:lang w:bidi="ar"/>
        </w:rPr>
        <w:t>（三）国有资产占用及购置情况说明。</w:t>
      </w:r>
    </w:p>
    <w:p w:rsidR="00F87D11" w:rsidRDefault="00432835">
      <w:pPr>
        <w:ind w:firstLine="640"/>
        <w:rPr>
          <w:rFonts w:ascii="黑体" w:eastAsia="黑体" w:hAnsi="宋体"/>
          <w:color w:val="000000"/>
          <w:kern w:val="0"/>
          <w:sz w:val="32"/>
          <w:szCs w:val="32"/>
          <w:lang w:bidi="ar"/>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年末，本单位共有车辆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F87D11" w:rsidRDefault="00F87D11">
      <w:pPr>
        <w:widowControl/>
        <w:jc w:val="left"/>
        <w:rPr>
          <w:rFonts w:ascii="黑体" w:eastAsia="黑体" w:hAnsi="宋体"/>
          <w:color w:val="000000"/>
          <w:kern w:val="0"/>
          <w:sz w:val="32"/>
          <w:szCs w:val="32"/>
          <w:lang w:bidi="ar"/>
        </w:rPr>
      </w:pPr>
    </w:p>
    <w:p w:rsidR="00F87D11" w:rsidRDefault="00432835">
      <w:pPr>
        <w:jc w:val="center"/>
        <w:rPr>
          <w:sz w:val="44"/>
          <w:szCs w:val="44"/>
        </w:rPr>
      </w:pPr>
      <w:r>
        <w:rPr>
          <w:rFonts w:ascii="黑体" w:eastAsia="黑体" w:hAnsi="宋体" w:hint="eastAsia"/>
          <w:color w:val="000000"/>
          <w:kern w:val="0"/>
          <w:sz w:val="44"/>
          <w:szCs w:val="44"/>
          <w:lang w:bidi="ar"/>
        </w:rPr>
        <w:t>第四部分</w:t>
      </w:r>
      <w:r>
        <w:rPr>
          <w:rFonts w:ascii="黑体" w:eastAsia="黑体" w:hAnsi="宋体" w:hint="eastAsia"/>
          <w:color w:val="000000"/>
          <w:kern w:val="0"/>
          <w:sz w:val="44"/>
          <w:szCs w:val="44"/>
          <w:lang w:bidi="ar"/>
        </w:rPr>
        <w:t xml:space="preserve"> </w:t>
      </w:r>
      <w:r>
        <w:rPr>
          <w:rFonts w:ascii="黑体" w:eastAsia="黑体" w:hAnsi="宋体" w:hint="eastAsia"/>
          <w:color w:val="000000"/>
          <w:kern w:val="0"/>
          <w:sz w:val="44"/>
          <w:szCs w:val="44"/>
          <w:lang w:bidi="ar"/>
        </w:rPr>
        <w:t>专业名词解释</w:t>
      </w:r>
    </w:p>
    <w:p w:rsidR="00F87D11" w:rsidRDefault="0043283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F87D11" w:rsidRDefault="0043283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F87D11" w:rsidRDefault="00432835">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F87D11" w:rsidRDefault="00432835">
      <w:pPr>
        <w:ind w:firstLine="640"/>
        <w:rPr>
          <w:rFonts w:ascii="黑体" w:eastAsia="黑体" w:hAnsi="宋体"/>
          <w:color w:val="000000"/>
          <w:kern w:val="0"/>
          <w:sz w:val="44"/>
          <w:szCs w:val="44"/>
          <w:lang w:bidi="ar"/>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sectPr w:rsidR="00F87D11">
      <w:pgSz w:w="11906" w:h="16838"/>
      <w:pgMar w:top="2098" w:right="1474" w:bottom="1984" w:left="1587" w:header="1531" w:footer="992" w:gutter="0"/>
      <w:cols w:space="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C317E"/>
    <w:multiLevelType w:val="singleLevel"/>
    <w:tmpl w:val="930C317E"/>
    <w:lvl w:ilvl="0">
      <w:start w:val="6"/>
      <w:numFmt w:val="chineseCounting"/>
      <w:suff w:val="nothing"/>
      <w:lvlText w:val="%1、"/>
      <w:lvlJc w:val="left"/>
      <w:rPr>
        <w:rFonts w:hint="eastAsia"/>
      </w:rPr>
    </w:lvl>
  </w:abstractNum>
  <w:abstractNum w:abstractNumId="1">
    <w:nsid w:val="E428FDFE"/>
    <w:multiLevelType w:val="singleLevel"/>
    <w:tmpl w:val="E428FDFE"/>
    <w:lvl w:ilvl="0">
      <w:start w:val="1"/>
      <w:numFmt w:val="chineseCounting"/>
      <w:suff w:val="nothing"/>
      <w:lvlText w:val="%1、"/>
      <w:lvlJc w:val="left"/>
      <w:rPr>
        <w:rFonts w:hint="eastAsia"/>
      </w:rPr>
    </w:lvl>
  </w:abstractNum>
  <w:abstractNum w:abstractNumId="2">
    <w:nsid w:val="32AAD1EC"/>
    <w:multiLevelType w:val="singleLevel"/>
    <w:tmpl w:val="32AAD1EC"/>
    <w:lvl w:ilvl="0">
      <w:start w:val="4"/>
      <w:numFmt w:val="chineseCounting"/>
      <w:suff w:val="space"/>
      <w:lvlText w:val="第%1部分"/>
      <w:lvlJc w:val="left"/>
      <w:rPr>
        <w:rFonts w:hint="eastAsia"/>
      </w:rPr>
    </w:lvl>
  </w:abstractNum>
  <w:abstractNum w:abstractNumId="3">
    <w:nsid w:val="5FBBDF74"/>
    <w:multiLevelType w:val="singleLevel"/>
    <w:tmpl w:val="5FBBDF74"/>
    <w:lvl w:ilvl="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20"/>
  <w:drawingGridHorizontalSpacing w:val="105"/>
  <w:drawingGridVerticalSpacing w:val="315"/>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GIxMmJmYzA4MWNjODExOTMyYTQyYzA5MjA0YjQifQ=="/>
  </w:docVars>
  <w:rsids>
    <w:rsidRoot w:val="31AA6038"/>
    <w:rsid w:val="00050E89"/>
    <w:rsid w:val="00146787"/>
    <w:rsid w:val="00164001"/>
    <w:rsid w:val="001D7568"/>
    <w:rsid w:val="002117DD"/>
    <w:rsid w:val="002424C8"/>
    <w:rsid w:val="002A7893"/>
    <w:rsid w:val="003364E9"/>
    <w:rsid w:val="00432835"/>
    <w:rsid w:val="00452E2E"/>
    <w:rsid w:val="004B6D6E"/>
    <w:rsid w:val="00561D77"/>
    <w:rsid w:val="00813F4A"/>
    <w:rsid w:val="00B80654"/>
    <w:rsid w:val="00C0098D"/>
    <w:rsid w:val="00C613A2"/>
    <w:rsid w:val="00D42CBE"/>
    <w:rsid w:val="00DD461E"/>
    <w:rsid w:val="00E22DED"/>
    <w:rsid w:val="00E8111E"/>
    <w:rsid w:val="00F87D11"/>
    <w:rsid w:val="010C1338"/>
    <w:rsid w:val="013B79AC"/>
    <w:rsid w:val="01663EF5"/>
    <w:rsid w:val="02213665"/>
    <w:rsid w:val="025B3189"/>
    <w:rsid w:val="02876CB0"/>
    <w:rsid w:val="02BE78C5"/>
    <w:rsid w:val="03952445"/>
    <w:rsid w:val="039675F7"/>
    <w:rsid w:val="03B72C16"/>
    <w:rsid w:val="03CA2248"/>
    <w:rsid w:val="04295E3B"/>
    <w:rsid w:val="044301BE"/>
    <w:rsid w:val="046914F0"/>
    <w:rsid w:val="04B94E06"/>
    <w:rsid w:val="061B0E1C"/>
    <w:rsid w:val="06303A51"/>
    <w:rsid w:val="06847A0C"/>
    <w:rsid w:val="07061B2A"/>
    <w:rsid w:val="07645630"/>
    <w:rsid w:val="0767540D"/>
    <w:rsid w:val="08724B88"/>
    <w:rsid w:val="08986EA8"/>
    <w:rsid w:val="08E3651B"/>
    <w:rsid w:val="0BB0695B"/>
    <w:rsid w:val="0BC11C5E"/>
    <w:rsid w:val="0C697683"/>
    <w:rsid w:val="0C7E1E7A"/>
    <w:rsid w:val="0CA25AAD"/>
    <w:rsid w:val="0D172FD0"/>
    <w:rsid w:val="0D3A41AD"/>
    <w:rsid w:val="0D593B35"/>
    <w:rsid w:val="0D8C05C4"/>
    <w:rsid w:val="0DA55480"/>
    <w:rsid w:val="0E6F775A"/>
    <w:rsid w:val="0F3131B8"/>
    <w:rsid w:val="0F695B9A"/>
    <w:rsid w:val="0FBB37E2"/>
    <w:rsid w:val="10540290"/>
    <w:rsid w:val="125E2600"/>
    <w:rsid w:val="12B86033"/>
    <w:rsid w:val="12BA2803"/>
    <w:rsid w:val="132E46A0"/>
    <w:rsid w:val="134D23E1"/>
    <w:rsid w:val="13B9148C"/>
    <w:rsid w:val="14411117"/>
    <w:rsid w:val="14B7058F"/>
    <w:rsid w:val="14C340EC"/>
    <w:rsid w:val="14D35D44"/>
    <w:rsid w:val="14E83A23"/>
    <w:rsid w:val="15251B41"/>
    <w:rsid w:val="15456985"/>
    <w:rsid w:val="15534455"/>
    <w:rsid w:val="1586116E"/>
    <w:rsid w:val="15C31397"/>
    <w:rsid w:val="161B568C"/>
    <w:rsid w:val="17093044"/>
    <w:rsid w:val="177C53F9"/>
    <w:rsid w:val="180C405C"/>
    <w:rsid w:val="18314EC9"/>
    <w:rsid w:val="18473802"/>
    <w:rsid w:val="1873622F"/>
    <w:rsid w:val="18782A3B"/>
    <w:rsid w:val="18BB4AD7"/>
    <w:rsid w:val="192F0793"/>
    <w:rsid w:val="19F0020D"/>
    <w:rsid w:val="1A093B57"/>
    <w:rsid w:val="1AB84CA5"/>
    <w:rsid w:val="1B4A3FDA"/>
    <w:rsid w:val="1B524C98"/>
    <w:rsid w:val="1B871FD1"/>
    <w:rsid w:val="1BAF2706"/>
    <w:rsid w:val="1C0474EA"/>
    <w:rsid w:val="1C2F20FA"/>
    <w:rsid w:val="1C5E2F73"/>
    <w:rsid w:val="1C684242"/>
    <w:rsid w:val="1C913207"/>
    <w:rsid w:val="1CA17C1B"/>
    <w:rsid w:val="1CA72C5F"/>
    <w:rsid w:val="1CAA5A29"/>
    <w:rsid w:val="1CD8551B"/>
    <w:rsid w:val="1D0A3734"/>
    <w:rsid w:val="1D157F63"/>
    <w:rsid w:val="1D352BE4"/>
    <w:rsid w:val="1D6E0C0D"/>
    <w:rsid w:val="1D8F3F8A"/>
    <w:rsid w:val="1DB349E3"/>
    <w:rsid w:val="1DCC3EB4"/>
    <w:rsid w:val="1DCF5241"/>
    <w:rsid w:val="1DFF61FB"/>
    <w:rsid w:val="1E000708"/>
    <w:rsid w:val="1E8B3914"/>
    <w:rsid w:val="1EE66FC9"/>
    <w:rsid w:val="1EEF0443"/>
    <w:rsid w:val="1F08757A"/>
    <w:rsid w:val="200F28E3"/>
    <w:rsid w:val="200F6C11"/>
    <w:rsid w:val="20720774"/>
    <w:rsid w:val="20915419"/>
    <w:rsid w:val="20937515"/>
    <w:rsid w:val="21792FA7"/>
    <w:rsid w:val="21A92E1D"/>
    <w:rsid w:val="221C15BB"/>
    <w:rsid w:val="22AA32F1"/>
    <w:rsid w:val="23A3538D"/>
    <w:rsid w:val="24797342"/>
    <w:rsid w:val="259A0BD9"/>
    <w:rsid w:val="25D17C0B"/>
    <w:rsid w:val="262B2686"/>
    <w:rsid w:val="27AE4C94"/>
    <w:rsid w:val="27E44A7D"/>
    <w:rsid w:val="281366B0"/>
    <w:rsid w:val="28137F5A"/>
    <w:rsid w:val="29065508"/>
    <w:rsid w:val="29482945"/>
    <w:rsid w:val="296A2F63"/>
    <w:rsid w:val="29785A6B"/>
    <w:rsid w:val="299846FF"/>
    <w:rsid w:val="29B2688B"/>
    <w:rsid w:val="29B866F8"/>
    <w:rsid w:val="29C40ED8"/>
    <w:rsid w:val="2A6241AE"/>
    <w:rsid w:val="2A716636"/>
    <w:rsid w:val="2B015B52"/>
    <w:rsid w:val="2B31477A"/>
    <w:rsid w:val="2BF56AAB"/>
    <w:rsid w:val="2C5F157F"/>
    <w:rsid w:val="2CAC42CA"/>
    <w:rsid w:val="2D0E6865"/>
    <w:rsid w:val="2D1F3974"/>
    <w:rsid w:val="2DB52EF2"/>
    <w:rsid w:val="2DC25A1F"/>
    <w:rsid w:val="2DDA23E8"/>
    <w:rsid w:val="2E491E7A"/>
    <w:rsid w:val="2E6C4253"/>
    <w:rsid w:val="30857786"/>
    <w:rsid w:val="308B1EDE"/>
    <w:rsid w:val="31851EC2"/>
    <w:rsid w:val="319B54BB"/>
    <w:rsid w:val="31AA6038"/>
    <w:rsid w:val="322B5253"/>
    <w:rsid w:val="323F323B"/>
    <w:rsid w:val="32525CAD"/>
    <w:rsid w:val="32A347B1"/>
    <w:rsid w:val="32B25FEF"/>
    <w:rsid w:val="33887EE3"/>
    <w:rsid w:val="33F70A3F"/>
    <w:rsid w:val="341B59E0"/>
    <w:rsid w:val="34677C61"/>
    <w:rsid w:val="34C800A8"/>
    <w:rsid w:val="350C38E4"/>
    <w:rsid w:val="357F6871"/>
    <w:rsid w:val="35AB5596"/>
    <w:rsid w:val="35EC5054"/>
    <w:rsid w:val="37800934"/>
    <w:rsid w:val="38A17CEA"/>
    <w:rsid w:val="38FF4281"/>
    <w:rsid w:val="39261A80"/>
    <w:rsid w:val="395A4D24"/>
    <w:rsid w:val="39C23436"/>
    <w:rsid w:val="39D94719"/>
    <w:rsid w:val="39EA52D1"/>
    <w:rsid w:val="3A2F5B79"/>
    <w:rsid w:val="3AC43F6B"/>
    <w:rsid w:val="3B121AD1"/>
    <w:rsid w:val="3B3209C6"/>
    <w:rsid w:val="3B356F1C"/>
    <w:rsid w:val="3B454429"/>
    <w:rsid w:val="3B5E4E68"/>
    <w:rsid w:val="3BC377A0"/>
    <w:rsid w:val="3C267904"/>
    <w:rsid w:val="3CDD790A"/>
    <w:rsid w:val="3CFD0D2E"/>
    <w:rsid w:val="3D5B39D2"/>
    <w:rsid w:val="3D926E19"/>
    <w:rsid w:val="3EE43159"/>
    <w:rsid w:val="3F253E6D"/>
    <w:rsid w:val="3F4406A3"/>
    <w:rsid w:val="40A127E4"/>
    <w:rsid w:val="40DD58A2"/>
    <w:rsid w:val="41293E7E"/>
    <w:rsid w:val="414B3B68"/>
    <w:rsid w:val="41603979"/>
    <w:rsid w:val="41CF436B"/>
    <w:rsid w:val="43177EDD"/>
    <w:rsid w:val="434D39D0"/>
    <w:rsid w:val="43F06464"/>
    <w:rsid w:val="44C02584"/>
    <w:rsid w:val="44EE6DD1"/>
    <w:rsid w:val="450E1709"/>
    <w:rsid w:val="45102DFE"/>
    <w:rsid w:val="45144233"/>
    <w:rsid w:val="458F4BCA"/>
    <w:rsid w:val="4619368A"/>
    <w:rsid w:val="462568A9"/>
    <w:rsid w:val="464738A3"/>
    <w:rsid w:val="4657221E"/>
    <w:rsid w:val="46752EE2"/>
    <w:rsid w:val="467C4DAF"/>
    <w:rsid w:val="469C6ED8"/>
    <w:rsid w:val="46F70DBB"/>
    <w:rsid w:val="476E3192"/>
    <w:rsid w:val="47A91526"/>
    <w:rsid w:val="483D511F"/>
    <w:rsid w:val="483E0537"/>
    <w:rsid w:val="48BA7800"/>
    <w:rsid w:val="48C64405"/>
    <w:rsid w:val="499F33E8"/>
    <w:rsid w:val="4A6247F5"/>
    <w:rsid w:val="4A9A1B85"/>
    <w:rsid w:val="4AF84D32"/>
    <w:rsid w:val="4B066AE0"/>
    <w:rsid w:val="4B185B0F"/>
    <w:rsid w:val="4B653038"/>
    <w:rsid w:val="4BA36765"/>
    <w:rsid w:val="4BE070D7"/>
    <w:rsid w:val="4BE82FB6"/>
    <w:rsid w:val="4C237DE8"/>
    <w:rsid w:val="4C574846"/>
    <w:rsid w:val="4C5D425D"/>
    <w:rsid w:val="4CF95DAA"/>
    <w:rsid w:val="4D1864BC"/>
    <w:rsid w:val="4D6E0FDF"/>
    <w:rsid w:val="4D7C0CA7"/>
    <w:rsid w:val="4DB17D4B"/>
    <w:rsid w:val="4DFA29D6"/>
    <w:rsid w:val="4E463F8D"/>
    <w:rsid w:val="4E7D2444"/>
    <w:rsid w:val="4EE4307A"/>
    <w:rsid w:val="4EE71A63"/>
    <w:rsid w:val="4F335B14"/>
    <w:rsid w:val="4FD75C0D"/>
    <w:rsid w:val="501E7068"/>
    <w:rsid w:val="50624D0F"/>
    <w:rsid w:val="50776760"/>
    <w:rsid w:val="507A3C86"/>
    <w:rsid w:val="50AB48CC"/>
    <w:rsid w:val="50BD0814"/>
    <w:rsid w:val="51064742"/>
    <w:rsid w:val="511E620E"/>
    <w:rsid w:val="5153143F"/>
    <w:rsid w:val="51DF0C6F"/>
    <w:rsid w:val="52092540"/>
    <w:rsid w:val="52410C5B"/>
    <w:rsid w:val="52882DD0"/>
    <w:rsid w:val="536E7A0C"/>
    <w:rsid w:val="53A758AF"/>
    <w:rsid w:val="53C30CFC"/>
    <w:rsid w:val="53D20C63"/>
    <w:rsid w:val="546B6F7E"/>
    <w:rsid w:val="54C44CB6"/>
    <w:rsid w:val="54F12DEE"/>
    <w:rsid w:val="554C7472"/>
    <w:rsid w:val="556D03DE"/>
    <w:rsid w:val="55D71529"/>
    <w:rsid w:val="57544433"/>
    <w:rsid w:val="57A930DC"/>
    <w:rsid w:val="57AE0946"/>
    <w:rsid w:val="581F3C8C"/>
    <w:rsid w:val="58A527B1"/>
    <w:rsid w:val="59240D1F"/>
    <w:rsid w:val="5A6A6FBC"/>
    <w:rsid w:val="5A74417A"/>
    <w:rsid w:val="5AE50B9B"/>
    <w:rsid w:val="5B7C2881"/>
    <w:rsid w:val="5B8D564A"/>
    <w:rsid w:val="5BDC10EE"/>
    <w:rsid w:val="5BEE4DAE"/>
    <w:rsid w:val="5C13120D"/>
    <w:rsid w:val="5C302A36"/>
    <w:rsid w:val="5C342CA1"/>
    <w:rsid w:val="5C6E6AF1"/>
    <w:rsid w:val="5C782F8A"/>
    <w:rsid w:val="5C93740B"/>
    <w:rsid w:val="5CB4056C"/>
    <w:rsid w:val="5CD66584"/>
    <w:rsid w:val="5CF1012D"/>
    <w:rsid w:val="5D1A27D4"/>
    <w:rsid w:val="5D4A6946"/>
    <w:rsid w:val="5E511549"/>
    <w:rsid w:val="5E9C7B84"/>
    <w:rsid w:val="5EEE6998"/>
    <w:rsid w:val="5F367DDF"/>
    <w:rsid w:val="5F5760ED"/>
    <w:rsid w:val="5F577D10"/>
    <w:rsid w:val="5F8A605E"/>
    <w:rsid w:val="5FDC1FC3"/>
    <w:rsid w:val="5FF70D35"/>
    <w:rsid w:val="60340DAF"/>
    <w:rsid w:val="60892AE8"/>
    <w:rsid w:val="60956361"/>
    <w:rsid w:val="60EA640C"/>
    <w:rsid w:val="61B14D14"/>
    <w:rsid w:val="62024F72"/>
    <w:rsid w:val="62874BFA"/>
    <w:rsid w:val="62B35349"/>
    <w:rsid w:val="62DC13CF"/>
    <w:rsid w:val="62E418BB"/>
    <w:rsid w:val="62FB6C2D"/>
    <w:rsid w:val="6322497F"/>
    <w:rsid w:val="632C5798"/>
    <w:rsid w:val="637D228D"/>
    <w:rsid w:val="638259F2"/>
    <w:rsid w:val="63AC3014"/>
    <w:rsid w:val="63AC6C37"/>
    <w:rsid w:val="63D33C19"/>
    <w:rsid w:val="6434795D"/>
    <w:rsid w:val="646B6892"/>
    <w:rsid w:val="65074FBA"/>
    <w:rsid w:val="655A458C"/>
    <w:rsid w:val="658B58A8"/>
    <w:rsid w:val="6595070C"/>
    <w:rsid w:val="6602534E"/>
    <w:rsid w:val="661C4A59"/>
    <w:rsid w:val="668E0A04"/>
    <w:rsid w:val="672E73F8"/>
    <w:rsid w:val="67365DF5"/>
    <w:rsid w:val="6A0F7D2D"/>
    <w:rsid w:val="6A3360A2"/>
    <w:rsid w:val="6A3F5417"/>
    <w:rsid w:val="6A55604B"/>
    <w:rsid w:val="6AB85357"/>
    <w:rsid w:val="6AC65D4A"/>
    <w:rsid w:val="6B353D63"/>
    <w:rsid w:val="6BFC4D4C"/>
    <w:rsid w:val="6C285317"/>
    <w:rsid w:val="6C3A52D9"/>
    <w:rsid w:val="6C79285C"/>
    <w:rsid w:val="6D704EF5"/>
    <w:rsid w:val="6D7D7F63"/>
    <w:rsid w:val="6EAC6020"/>
    <w:rsid w:val="6F487259"/>
    <w:rsid w:val="7075649A"/>
    <w:rsid w:val="708350B8"/>
    <w:rsid w:val="71086DB5"/>
    <w:rsid w:val="71872296"/>
    <w:rsid w:val="71D6719B"/>
    <w:rsid w:val="71F52A05"/>
    <w:rsid w:val="72007D77"/>
    <w:rsid w:val="72C33D3D"/>
    <w:rsid w:val="72E42F33"/>
    <w:rsid w:val="73964FA7"/>
    <w:rsid w:val="73BF33B7"/>
    <w:rsid w:val="74504E30"/>
    <w:rsid w:val="748C590E"/>
    <w:rsid w:val="74B950BA"/>
    <w:rsid w:val="75262239"/>
    <w:rsid w:val="75501175"/>
    <w:rsid w:val="75575362"/>
    <w:rsid w:val="755E7E87"/>
    <w:rsid w:val="75C31473"/>
    <w:rsid w:val="75C537CD"/>
    <w:rsid w:val="75CE7D56"/>
    <w:rsid w:val="75D2576D"/>
    <w:rsid w:val="76647EEF"/>
    <w:rsid w:val="767F6808"/>
    <w:rsid w:val="768738FB"/>
    <w:rsid w:val="76B77473"/>
    <w:rsid w:val="77446CCB"/>
    <w:rsid w:val="778F364E"/>
    <w:rsid w:val="77912DE6"/>
    <w:rsid w:val="77B4395A"/>
    <w:rsid w:val="77DC661C"/>
    <w:rsid w:val="78126FE6"/>
    <w:rsid w:val="78950ED9"/>
    <w:rsid w:val="78CF16FD"/>
    <w:rsid w:val="797536A2"/>
    <w:rsid w:val="7A7B784E"/>
    <w:rsid w:val="7A8A19B7"/>
    <w:rsid w:val="7AA7574B"/>
    <w:rsid w:val="7AC95D6D"/>
    <w:rsid w:val="7AF55621"/>
    <w:rsid w:val="7BF028E6"/>
    <w:rsid w:val="7C1F5F14"/>
    <w:rsid w:val="7C3E5E46"/>
    <w:rsid w:val="7C9F55E9"/>
    <w:rsid w:val="7CD711C6"/>
    <w:rsid w:val="7CFB39ED"/>
    <w:rsid w:val="7DB57DB8"/>
    <w:rsid w:val="7DD5734B"/>
    <w:rsid w:val="7EE759C2"/>
    <w:rsid w:val="7F1471C8"/>
    <w:rsid w:val="7FBB2D84"/>
    <w:rsid w:val="7FCD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黑体"/>
      <w:kern w:val="2"/>
      <w:sz w:val="21"/>
      <w:szCs w:val="24"/>
    </w:rPr>
  </w:style>
  <w:style w:type="paragraph" w:styleId="9">
    <w:name w:val="heading 9"/>
    <w:basedOn w:val="a"/>
    <w:next w:val="a"/>
    <w:qFormat/>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a3"/>
    <w:uiPriority w:val="99"/>
    <w:qFormat/>
    <w:pPr>
      <w:spacing w:after="120"/>
    </w:pPr>
    <w:rPr>
      <w:sz w:val="16"/>
      <w:szCs w:val="16"/>
    </w:rPr>
  </w:style>
  <w:style w:type="paragraph" w:styleId="a3">
    <w:name w:val="Body Text"/>
    <w:basedOn w:val="a"/>
    <w:next w:val="a"/>
    <w:uiPriority w:val="99"/>
    <w:qFormat/>
    <w:rPr>
      <w:sz w:val="32"/>
      <w:szCs w:val="32"/>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annotation reference"/>
    <w:basedOn w:val="a0"/>
    <w:qFormat/>
    <w:rPr>
      <w:sz w:val="21"/>
      <w:szCs w:val="21"/>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5"/>
    <w:qFormat/>
    <w:rPr>
      <w:rFonts w:ascii="Calibri" w:hAnsi="Calibri" w:cs="黑体"/>
      <w:kern w:val="2"/>
      <w:sz w:val="21"/>
      <w:szCs w:val="24"/>
    </w:rPr>
  </w:style>
  <w:style w:type="character" w:customStyle="1" w:styleId="Char">
    <w:name w:val="批注主题 Char"/>
    <w:basedOn w:val="Char0"/>
    <w:link w:val="a4"/>
    <w:qFormat/>
    <w:rPr>
      <w:rFonts w:ascii="Calibri" w:hAnsi="Calibri" w:cs="黑体"/>
      <w:b/>
      <w:bCs/>
      <w:kern w:val="2"/>
      <w:sz w:val="21"/>
      <w:szCs w:val="24"/>
    </w:rPr>
  </w:style>
  <w:style w:type="character" w:customStyle="1" w:styleId="Char1">
    <w:name w:val="批注框文本 Char"/>
    <w:basedOn w:val="a0"/>
    <w:link w:val="a6"/>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Calibri" w:eastAsia="宋体" w:hAnsi="Calibri" w:cs="黑体"/>
      <w:kern w:val="2"/>
      <w:sz w:val="21"/>
      <w:szCs w:val="24"/>
    </w:rPr>
  </w:style>
  <w:style w:type="paragraph" w:styleId="9">
    <w:name w:val="heading 9"/>
    <w:basedOn w:val="a"/>
    <w:next w:val="a"/>
    <w:qFormat/>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a3"/>
    <w:uiPriority w:val="99"/>
    <w:qFormat/>
    <w:pPr>
      <w:spacing w:after="120"/>
    </w:pPr>
    <w:rPr>
      <w:sz w:val="16"/>
      <w:szCs w:val="16"/>
    </w:rPr>
  </w:style>
  <w:style w:type="paragraph" w:styleId="a3">
    <w:name w:val="Body Text"/>
    <w:basedOn w:val="a"/>
    <w:next w:val="a"/>
    <w:uiPriority w:val="99"/>
    <w:qFormat/>
    <w:rPr>
      <w:sz w:val="32"/>
      <w:szCs w:val="32"/>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annotation reference"/>
    <w:basedOn w:val="a0"/>
    <w:qFormat/>
    <w:rPr>
      <w:sz w:val="21"/>
      <w:szCs w:val="21"/>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5"/>
    <w:qFormat/>
    <w:rPr>
      <w:rFonts w:ascii="Calibri" w:hAnsi="Calibri" w:cs="黑体"/>
      <w:kern w:val="2"/>
      <w:sz w:val="21"/>
      <w:szCs w:val="24"/>
    </w:rPr>
  </w:style>
  <w:style w:type="character" w:customStyle="1" w:styleId="Char">
    <w:name w:val="批注主题 Char"/>
    <w:basedOn w:val="Char0"/>
    <w:link w:val="a4"/>
    <w:qFormat/>
    <w:rPr>
      <w:rFonts w:ascii="Calibri" w:hAnsi="Calibri" w:cs="黑体"/>
      <w:b/>
      <w:bCs/>
      <w:kern w:val="2"/>
      <w:sz w:val="21"/>
      <w:szCs w:val="24"/>
    </w:rPr>
  </w:style>
  <w:style w:type="character" w:customStyle="1" w:styleId="Char1">
    <w:name w:val="批注框文本 Char"/>
    <w:basedOn w:val="a0"/>
    <w:link w:val="a6"/>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63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package" Target="embeddings/Microsoft_Excel_Worksheet2.xlsx"/><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人员结构图</a:t>
            </a:r>
          </a:p>
        </c:rich>
      </c:tx>
      <c:layout>
        <c:manualLayout>
          <c:xMode val="edge"/>
          <c:yMode val="edge"/>
          <c:x val="0.39642036799346198"/>
          <c:y val="4.0641046726239201E-2"/>
        </c:manualLayout>
      </c:layout>
      <c:overlay val="0"/>
      <c:spPr>
        <a:noFill/>
        <a:ln>
          <a:noFill/>
        </a:ln>
        <a:effectLst/>
      </c:spPr>
    </c:title>
    <c:autoTitleDeleted val="0"/>
    <c:plotArea>
      <c:layout>
        <c:manualLayout>
          <c:layoutTarget val="inner"/>
          <c:xMode val="edge"/>
          <c:yMode val="edge"/>
          <c:x val="6.0736689721730699E-2"/>
          <c:y val="0.14534534534534499"/>
          <c:w val="0.911587869156403"/>
          <c:h val="0.64093121693121702"/>
        </c:manualLayout>
      </c:layout>
      <c:barChart>
        <c:barDir val="col"/>
        <c:grouping val="clustered"/>
        <c:varyColors val="0"/>
        <c:ser>
          <c:idx val="1"/>
          <c:order val="0"/>
          <c:tx>
            <c:strRef>
              <c:f>"事业人员"</c:f>
              <c:strCache>
                <c:ptCount val="1"/>
                <c:pt idx="0">
                  <c:v>事业人员</c:v>
                </c:pt>
              </c:strCache>
            </c:strRef>
          </c:tx>
          <c:spPr>
            <a:solidFill>
              <a:schemeClr val="accent2"/>
            </a:solidFill>
            <a:ln>
              <a:noFill/>
            </a:ln>
            <a:effectLst/>
          </c:spPr>
          <c:invertIfNegative val="0"/>
          <c:cat>
            <c:strRef>
              <c:f>Sheet1!$A$1:$D$1</c:f>
              <c:strCache>
                <c:ptCount val="4"/>
                <c:pt idx="0">
                  <c:v> </c:v>
                </c:pt>
                <c:pt idx="1">
                  <c:v>编制人数</c:v>
                </c:pt>
                <c:pt idx="2">
                  <c:v>实有人员</c:v>
                </c:pt>
                <c:pt idx="3">
                  <c:v>退休人员</c:v>
                </c:pt>
              </c:strCache>
            </c:strRef>
          </c:cat>
          <c:val>
            <c:numRef>
              <c:f>Sheet1!$A$2:$D$2</c:f>
              <c:numCache>
                <c:formatCode>General</c:formatCode>
                <c:ptCount val="4"/>
                <c:pt idx="0">
                  <c:v>0</c:v>
                </c:pt>
                <c:pt idx="1">
                  <c:v>6</c:v>
                </c:pt>
                <c:pt idx="2">
                  <c:v>2</c:v>
                </c:pt>
                <c:pt idx="3">
                  <c:v>2</c:v>
                </c:pt>
              </c:numCache>
            </c:numRef>
          </c:val>
        </c:ser>
        <c:dLbls>
          <c:showLegendKey val="0"/>
          <c:showVal val="0"/>
          <c:showCatName val="0"/>
          <c:showSerName val="0"/>
          <c:showPercent val="0"/>
          <c:showBubbleSize val="0"/>
        </c:dLbls>
        <c:gapWidth val="219"/>
        <c:overlap val="-27"/>
        <c:axId val="220909568"/>
        <c:axId val="188774656"/>
        <c:extLst>
          <c:ext xmlns:c15="http://schemas.microsoft.com/office/drawing/2012/chart" uri="{02D57815-91ED-43cb-92C2-25804820EDAC}">
            <c15:filteredBarSeries>
              <c15:ser>
                <c:idx val="0"/>
                <c:order val="1"/>
                <c:spPr>
                  <a:solidFill>
                    <a:schemeClr val="accent1"/>
                  </a:solidFill>
                  <a:ln>
                    <a:noFill/>
                  </a:ln>
                  <a:effectLst/>
                </c:spPr>
                <c:invertIfNegative val="0"/>
                <c:dLbls>
                  <c:delete val="1"/>
                </c:dLbls>
                <c:cat>
                  <c:strRef>
                    <c:extLst>
                      <c:ext uri="{02D57815-91ED-43cb-92C2-25804820EDAC}">
                        <c15:fullRef>
                          <c15:sqref/>
                        </c15:fullRef>
                        <c15:formulaRef>
                          <c15:sqref>Sheet1!$A$1:$D$1</c15:sqref>
                        </c15:formulaRef>
                      </c:ext>
                    </c:extLst>
                    <c:strCache>
                      <c:ptCount val="4"/>
                      <c:pt idx="0">
                        <c:v> </c:v>
                      </c:pt>
                      <c:pt idx="1">
                        <c:v>编制人数</c:v>
                      </c:pt>
                      <c:pt idx="2">
                        <c:v>实有人员</c:v>
                      </c:pt>
                      <c:pt idx="3">
                        <c:v>退休人员</c:v>
                      </c:pt>
                    </c:strCache>
                  </c:strRef>
                </c:cat>
                <c:val>
                  <c:numRef>
                    <c:extLst>
                      <c:ext uri="{02D57815-91ED-43cb-92C2-25804820EDAC}">
                        <c15:formulaRef>
                          <c15:sqref>Sheet1!$A$3:$D$3</c15:sqref>
                        </c15:formulaRef>
                      </c:ext>
                    </c:extLst>
                    <c:numCache>
                      <c:formatCode>General</c:formatCode>
                      <c:ptCount val="4"/>
                    </c:numCache>
                  </c:numRef>
                </c:val>
              </c15:ser>
            </c15:filteredBarSeries>
          </c:ext>
        </c:extLst>
      </c:barChart>
      <c:catAx>
        <c:axId val="220909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8774656"/>
        <c:crosses val="autoZero"/>
        <c:auto val="1"/>
        <c:lblAlgn val="ctr"/>
        <c:lblOffset val="100"/>
        <c:noMultiLvlLbl val="0"/>
      </c:catAx>
      <c:valAx>
        <c:axId val="18877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0909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rPr lang="en-US" altLang="zh-CN"/>
              <a:t>2021</a:t>
            </a:r>
            <a:r>
              <a:rPr altLang="en-US"/>
              <a:t>年度收支同比情况分析表</a:t>
            </a:r>
            <a:endParaRPr lang="en-US" altLang="zh-CN"/>
          </a:p>
        </c:rich>
      </c:tx>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72.13</c:v>
                </c:pt>
                <c:pt idx="1">
                  <c:v>72.13</c:v>
                </c:pt>
              </c:numCache>
            </c:numRef>
          </c:val>
        </c:ser>
        <c:ser>
          <c:idx val="1"/>
          <c:order val="1"/>
          <c:tx>
            <c:strRef>
              <c:f>Sheet1!$C$1</c:f>
              <c:strCache>
                <c:ptCount val="1"/>
                <c:pt idx="0">
                  <c:v>2021年</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34.25</c:v>
                </c:pt>
                <c:pt idx="1">
                  <c:v>34.25</c:v>
                </c:pt>
              </c:numCache>
            </c:numRef>
          </c:val>
        </c:ser>
        <c:dLbls>
          <c:showLegendKey val="0"/>
          <c:showVal val="1"/>
          <c:showCatName val="0"/>
          <c:showSerName val="0"/>
          <c:showPercent val="0"/>
          <c:showBubbleSize val="0"/>
        </c:dLbls>
        <c:gapWidth val="150"/>
        <c:axId val="242697344"/>
        <c:axId val="242698880"/>
      </c:barChart>
      <c:catAx>
        <c:axId val="2426973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242698880"/>
        <c:crosses val="autoZero"/>
        <c:auto val="1"/>
        <c:lblAlgn val="ctr"/>
        <c:lblOffset val="100"/>
        <c:noMultiLvlLbl val="0"/>
      </c:catAx>
      <c:valAx>
        <c:axId val="24269888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0" vertOverflow="ellipsis" vert="horz" wrap="square" anchor="ctr" anchorCtr="1"/>
            <a:lstStyle/>
            <a:p>
              <a:pPr>
                <a:defRPr lang="zh-CN" sz="900" b="0" i="0" u="none" strike="noStrike" kern="1200" cap="all" baseline="0">
                  <a:solidFill>
                    <a:schemeClr val="tx1">
                      <a:lumMod val="50000"/>
                      <a:lumOff val="50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crossAx val="2426973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2021年支出结构图</a:t>
            </a:r>
          </a:p>
        </c:rich>
      </c:tx>
      <c:overlay val="0"/>
      <c:spPr>
        <a:noFill/>
        <a:ln>
          <a:noFill/>
        </a:ln>
        <a:effectLst/>
      </c:sp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100</c:v>
                </c:pt>
                <c:pt idx="1">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收入支出决算总体情况分析图</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cat>
            <c:strRef>
              <c:f>Sheet1!$A$2:$A$3</c:f>
              <c:strCache>
                <c:ptCount val="2"/>
                <c:pt idx="0">
                  <c:v>收入</c:v>
                </c:pt>
                <c:pt idx="1">
                  <c:v>支出</c:v>
                </c:pt>
              </c:strCache>
            </c:strRef>
          </c:cat>
          <c:val>
            <c:numRef>
              <c:f>Sheet1!$B$2:$B$3</c:f>
              <c:numCache>
                <c:formatCode>General</c:formatCode>
                <c:ptCount val="2"/>
                <c:pt idx="0">
                  <c:v>72.13</c:v>
                </c:pt>
                <c:pt idx="1">
                  <c:v>72.13</c:v>
                </c:pt>
              </c:numCache>
            </c:numRef>
          </c:val>
        </c:ser>
        <c:ser>
          <c:idx val="1"/>
          <c:order val="1"/>
          <c:tx>
            <c:strRef>
              <c:f>Sheet1!$C$1</c:f>
              <c:strCache>
                <c:ptCount val="1"/>
                <c:pt idx="0">
                  <c:v>2021年</c:v>
                </c:pt>
              </c:strCache>
            </c:strRef>
          </c:tx>
          <c:spPr>
            <a:solidFill>
              <a:schemeClr val="accent2"/>
            </a:solidFill>
            <a:ln>
              <a:noFill/>
            </a:ln>
            <a:effectLst/>
          </c:spPr>
          <c:invertIfNegative val="0"/>
          <c:cat>
            <c:strRef>
              <c:f>Sheet1!$A$2:$A$3</c:f>
              <c:strCache>
                <c:ptCount val="2"/>
                <c:pt idx="0">
                  <c:v>收入</c:v>
                </c:pt>
                <c:pt idx="1">
                  <c:v>支出</c:v>
                </c:pt>
              </c:strCache>
            </c:strRef>
          </c:cat>
          <c:val>
            <c:numRef>
              <c:f>Sheet1!$C$2:$C$3</c:f>
              <c:numCache>
                <c:formatCode>General</c:formatCode>
                <c:ptCount val="2"/>
                <c:pt idx="0">
                  <c:v>34.25</c:v>
                </c:pt>
                <c:pt idx="1">
                  <c:v>34.25</c:v>
                </c:pt>
              </c:numCache>
            </c:numRef>
          </c:val>
        </c:ser>
        <c:ser>
          <c:idx val="2"/>
          <c:order val="2"/>
          <c:tx>
            <c:strRef>
              <c:f>Sheet1!$D$1</c:f>
              <c:strCache>
                <c:ptCount val="1"/>
              </c:strCache>
            </c:strRef>
          </c:tx>
          <c:spPr>
            <a:solidFill>
              <a:schemeClr val="accent3"/>
            </a:solidFill>
            <a:ln>
              <a:noFill/>
            </a:ln>
            <a:effectLst/>
          </c:spPr>
          <c:invertIfNegative val="0"/>
          <c:cat>
            <c:strRef>
              <c:f>Sheet1!$A$2:$A$3</c:f>
              <c:strCache>
                <c:ptCount val="2"/>
                <c:pt idx="0">
                  <c:v>收入</c:v>
                </c:pt>
                <c:pt idx="1">
                  <c:v>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axId val="247641600"/>
        <c:axId val="247643136"/>
      </c:barChart>
      <c:catAx>
        <c:axId val="247641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7643136"/>
        <c:crosses val="autoZero"/>
        <c:auto val="1"/>
        <c:lblAlgn val="ctr"/>
        <c:lblOffset val="100"/>
        <c:noMultiLvlLbl val="0"/>
      </c:catAx>
      <c:valAx>
        <c:axId val="24764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7641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3321</Words>
  <Characters>733</Characters>
  <Application>Microsoft Office Word</Application>
  <DocSecurity>0</DocSecurity>
  <Lines>6</Lines>
  <Paragraphs>8</Paragraphs>
  <ScaleCrop>false</ScaleCrop>
  <Company>ZFB</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cp:lastPrinted>2022-01-17T14:34:00Z</cp:lastPrinted>
  <dcterms:created xsi:type="dcterms:W3CDTF">2020-07-23T09:23:00Z</dcterms:created>
  <dcterms:modified xsi:type="dcterms:W3CDTF">2023-03-23T05:43:00Z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38096DACF4084A3594627E74D51EC197</vt:lpwstr>
  </property>
</Properties>
</file>