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镇坪县城市创建工作指挥部办公室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年部门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综合预算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主要职责：创建省级文明城市统筹协调工作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机构设置：本部门为</w:t>
      </w:r>
      <w:r>
        <w:rPr>
          <w:rFonts w:hint="eastAsia" w:ascii="仿宋" w:hAnsi="仿宋" w:eastAsia="仿宋" w:cs="仿宋"/>
          <w:sz w:val="32"/>
          <w:szCs w:val="32"/>
        </w:rPr>
        <w:t>县政府阶段性正科级常设办事机构，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内设综合办公室、督查组和网报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本部门主要承担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创建省级文明城市统筹协调工作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从预算单位构成看，本部门的部门预算包括部门本级（机关）预算。</w:t>
      </w:r>
    </w:p>
    <w:tbl>
      <w:tblPr>
        <w:tblStyle w:val="9"/>
        <w:tblW w:w="9044" w:type="dxa"/>
        <w:jc w:val="center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5"/>
        <w:gridCol w:w="626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6262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1777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6262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镇坪县城市创建工作指挥部办公室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机关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777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无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截止20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年底，本部门实有人员1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人，其中，从外单位抽调领导职数3名，从各单位抽调工作人员11人。</w:t>
      </w:r>
    </w:p>
    <w:p>
      <w:pPr>
        <w:ind w:firstLine="640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object>
          <v:shape id="_x0000_i1025" o:spt="75" type="#_x0000_t75" style="height:181.55pt;width:388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本部门2023年预算收入30万元，其中创建省级文明城市专项业务预算拨款收入30万元，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年本部门预算收入较上年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减少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了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363.58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，主要原因是不再管理城市环卫市场化作业服务工作；本部门2023年预算支出30万元，其中创建省级文明城市专项业务预算拨款支出30万元，较上年减少363.58万元，主要原因是不再管理城市环卫市场化作业服务工作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创建省级文明城市专项业务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363.58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不再管理城市环卫市场化作业服务工作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创建省级文明城市专项业务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363.58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不再管理城市环卫市场化作业服务工作。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363.58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不再管理城市环卫市场化作业服务工作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2023年一般公共预算支出30万元，其中：创建省级文明城市专项业务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30万元，较上年减少了363.58万元，原因是不再管理城市环卫市场化作业服务工作。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本部门2023年一般公共预算支出30万元，其中：创建省级文明城市专项业务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363.58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不再管理城市环卫市场化作业服务工作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说明。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本部门2023年一般公共预算支出30万元，其中：创建省级文明城市专项业务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363.58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不再管理城市环卫市场化作业服务工作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37"/>
        <w:rPr>
          <w:rFonts w:hint="eastAsia" w:ascii="微软雅黑" w:hAnsi="微软雅黑" w:eastAsia="仿宋_GB2312" w:cs="微软雅黑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年本部门无“三公”经费预算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并已公开空表。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37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截止20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年底，本部门所属预算单位共有车辆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辆（环卫车辆）。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37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年当年本部门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没有安排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政府采购预算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并已公开空表。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default" w:ascii="font-size:10.5pt;font-style:nor" w:hAnsi="font-size:10.5pt;font-style:nor" w:eastAsia="font-size:10.5pt;font-style:nor" w:cs="font-size:10.5pt;font-style:nor"/>
          <w:color w:val="000000"/>
        </w:rPr>
      </w:pP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年本部门专项业务经费绩效目标管理全覆盖，涉及当年一般公共预算拨款</w:t>
      </w: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万元（详见公开报表中的绩效目标表）。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没有安排</w:t>
      </w: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当年机关运行经费预算。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2、“三公”经费：</w:t>
      </w: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font-size:10.5pt;font-style:nor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2023年部门综合预算公开报表</w:t>
      </w:r>
      <w:bookmarkStart w:id="0" w:name="_GoBack"/>
      <w:bookmarkEnd w:id="0"/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0.5pt;font-style:no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9B5F"/>
    <w:multiLevelType w:val="singleLevel"/>
    <w:tmpl w:val="2C819B5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3E65E64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2B6E114C"/>
    <w:rsid w:val="2DD21556"/>
    <w:rsid w:val="2EB57C9F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A01E73"/>
    <w:rsid w:val="3DC7004C"/>
    <w:rsid w:val="426921BC"/>
    <w:rsid w:val="43606DFF"/>
    <w:rsid w:val="43922513"/>
    <w:rsid w:val="44EE2C86"/>
    <w:rsid w:val="46F073D7"/>
    <w:rsid w:val="47F51DA1"/>
    <w:rsid w:val="48246A25"/>
    <w:rsid w:val="4974495A"/>
    <w:rsid w:val="4AFD517E"/>
    <w:rsid w:val="4B282513"/>
    <w:rsid w:val="4D7F3FA9"/>
    <w:rsid w:val="4EAF467F"/>
    <w:rsid w:val="4F4E6E0F"/>
    <w:rsid w:val="53D82CB6"/>
    <w:rsid w:val="549A0EDD"/>
    <w:rsid w:val="56951148"/>
    <w:rsid w:val="5900561E"/>
    <w:rsid w:val="5A7F118D"/>
    <w:rsid w:val="5C2757BE"/>
    <w:rsid w:val="5E4A7F05"/>
    <w:rsid w:val="5FDD417D"/>
    <w:rsid w:val="60A76F05"/>
    <w:rsid w:val="62770932"/>
    <w:rsid w:val="63ED0CD3"/>
    <w:rsid w:val="667728BC"/>
    <w:rsid w:val="675B6F91"/>
    <w:rsid w:val="67B17BDD"/>
    <w:rsid w:val="69090D36"/>
    <w:rsid w:val="6ED77808"/>
    <w:rsid w:val="6EF66EF9"/>
    <w:rsid w:val="6FA86D5D"/>
    <w:rsid w:val="70154C98"/>
    <w:rsid w:val="72576549"/>
    <w:rsid w:val="74A97633"/>
    <w:rsid w:val="74EA18BC"/>
    <w:rsid w:val="76C5247B"/>
    <w:rsid w:val="770A55ED"/>
    <w:rsid w:val="78373FF1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6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247</Words>
  <Characters>1413</Characters>
  <Lines>0</Lines>
  <Paragraphs>0</Paragraphs>
  <TotalTime>50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镇坪县双创办</cp:lastModifiedBy>
  <cp:lastPrinted>2023-05-04T08:17:00Z</cp:lastPrinted>
  <dcterms:modified xsi:type="dcterms:W3CDTF">2023-05-05T03:15:12Z</dcterms:modified>
  <dc:title>镇坪县城市创建工作指挥部办公室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