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附件1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highlight w:val="none"/>
        </w:rPr>
      </w:pPr>
    </w:p>
    <w:p>
      <w:pPr>
        <w:jc w:val="center"/>
        <w:rPr>
          <w:rFonts w:hint="default" w:ascii="黑体" w:hAnsi="黑体" w:eastAsia="黑体" w:cs="黑体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镇坪县曾家镇小学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highlight w:val="none"/>
        </w:rPr>
        <w:t>20</w:t>
      </w: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23</w:t>
      </w:r>
      <w:r>
        <w:rPr>
          <w:rFonts w:hint="eastAsia" w:ascii="黑体" w:hAnsi="黑体" w:eastAsia="黑体" w:cs="黑体"/>
          <w:sz w:val="36"/>
          <w:szCs w:val="36"/>
          <w:highlight w:val="none"/>
        </w:rPr>
        <w:t>年部门</w:t>
      </w:r>
      <w:r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  <w:t>预算公开说明</w:t>
      </w:r>
    </w:p>
    <w:p>
      <w:pPr>
        <w:jc w:val="both"/>
        <w:rPr>
          <w:rFonts w:hint="eastAsia"/>
          <w:highlight w:val="none"/>
          <w:lang w:eastAsia="zh-CN"/>
        </w:rPr>
      </w:pPr>
    </w:p>
    <w:p>
      <w:pPr>
        <w:jc w:val="center"/>
        <w:rPr>
          <w:rFonts w:hint="eastAsia"/>
          <w:sz w:val="36"/>
          <w:szCs w:val="36"/>
          <w:highlight w:val="none"/>
          <w:lang w:eastAsia="zh-CN"/>
        </w:rPr>
      </w:pPr>
      <w:r>
        <w:rPr>
          <w:rFonts w:hint="eastAsia"/>
          <w:b/>
          <w:bCs/>
          <w:sz w:val="36"/>
          <w:szCs w:val="36"/>
          <w:highlight w:val="none"/>
          <w:lang w:eastAsia="zh-CN"/>
        </w:rPr>
        <w:t>目录</w:t>
      </w:r>
    </w:p>
    <w:p>
      <w:pPr>
        <w:jc w:val="left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第一部分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部门概况</w:t>
      </w:r>
    </w:p>
    <w:p>
      <w:pPr>
        <w:jc w:val="left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一、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主要职责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及机构设置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二、工作任务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三、预算单位构成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四、人员情况说明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第二部分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收支情况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五、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收支说明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第三部分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其他情况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六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</w:t>
      </w:r>
      <w:r>
        <w:rPr>
          <w:rFonts w:hint="eastAsia" w:ascii="宋体" w:hAnsi="宋体" w:eastAsia="宋体" w:cs="宋体"/>
          <w:sz w:val="32"/>
          <w:szCs w:val="32"/>
          <w:highlight w:val="none"/>
          <w:u w:val="none"/>
          <w:lang w:eastAsia="zh-CN"/>
        </w:rPr>
        <w:t>“三公”经费及会议费、培训费情况说明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七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、国有资产占有使用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及资产购置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情况说明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八、政府采购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情况说明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九、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绩效目标说明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机关运行经费安排说明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十一、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专业名词解释</w:t>
      </w:r>
    </w:p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第四部分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公开报表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（具体预算公开报表）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第一部分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部门概况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一、主要职责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及机构设置</w:t>
      </w:r>
    </w:p>
    <w:p>
      <w:pPr>
        <w:widowControl/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</w:rPr>
        <w:t>（一）主要职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eastAsia="zh-CN"/>
        </w:rPr>
        <w:t>能。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1）认真贯彻执行党的路线、方针和政策；坚持正确的办学方向；采取生动有效的教育措施和方法进行以爱祖国、爱人民、爱劳动、爱科学、爱社会主义为中心的思想品德教育，为把小学生培养成“四有”公民打下初步的思想基础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2）认真完成普及初等教育的任务，严格执行小学教学大纲，保证完成小学教育、教学计划，按教育规律办事，坚持“德、智、体、美、劳”全面发展；积极进行教育思想、教学内容、教学方法和教育手段的改革；为初中输送合格的新生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（3）积极开展以普及为主的课外群体活动和体育传统项目运动队的训练；开展以预防为主、防治结合的卫生保健工作，做好常见病、多发病的预防和矫治。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（4）加强美育。通过各学科和各种课外活动培养学生具有健康的审美观点。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（5）有计划、有目的地进行劳动教育，并认真执行勤工俭学、勤工办学的方针，积极地有步骤地创造条件改善学校校舍和教学、体育、卫生、生活等方面地设备，切实加强学校管理工作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/>
        </w:rPr>
      </w:pPr>
    </w:p>
    <w:p>
      <w:pPr>
        <w:widowControl/>
        <w:numPr>
          <w:ilvl w:val="0"/>
          <w:numId w:val="1"/>
        </w:num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</w:rPr>
        <w:t>内设机构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0"/>
        </w:numPr>
        <w:jc w:val="left"/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镇坪县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曾家镇小学</w:t>
      </w:r>
      <w:r>
        <w:rPr>
          <w:rFonts w:hint="eastAsia" w:ascii="仿宋" w:hAnsi="仿宋" w:eastAsia="仿宋" w:cs="仿宋"/>
          <w:sz w:val="32"/>
          <w:szCs w:val="32"/>
        </w:rPr>
        <w:t>包括本单位1所学校，为财政全额拨款事业单位，下设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校长办、</w:t>
      </w:r>
      <w:r>
        <w:rPr>
          <w:rFonts w:hint="eastAsia" w:ascii="仿宋" w:hAnsi="仿宋" w:eastAsia="仿宋" w:cs="仿宋"/>
          <w:sz w:val="32"/>
          <w:szCs w:val="32"/>
        </w:rPr>
        <w:t>教务处、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德育</w:t>
      </w:r>
      <w:r>
        <w:rPr>
          <w:rFonts w:hint="eastAsia" w:ascii="仿宋" w:hAnsi="仿宋" w:eastAsia="仿宋" w:cs="仿宋"/>
          <w:sz w:val="32"/>
          <w:szCs w:val="32"/>
        </w:rPr>
        <w:t>处、党政办、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工会</w:t>
      </w:r>
      <w:r>
        <w:rPr>
          <w:rFonts w:hint="eastAsia" w:ascii="仿宋" w:hAnsi="仿宋" w:eastAsia="仿宋" w:cs="仿宋"/>
          <w:sz w:val="32"/>
          <w:szCs w:val="32"/>
        </w:rPr>
        <w:t>、办公室、总务处、财务室等8个处室。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二、工作任务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严格落实“五项管理”和“双减”工作，规范手机、学生睡眠、课外读物、作业、体质健康工作，做好学生近视防控，促进学生身心健康；明确家校社同责任，全面落实国家关于减轻学生过重学业负担有关规定，逐步缓解家长焦虑情绪，减轻作业负担，增强学生体质、促进学生全面发展、健康成长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2.认真落实各项常规管理工作，完善各项管理制度，建立健全组织构架，规范班子队伍建设。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3.加强校园文化建设，加强学生行为习惯养成教育。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4.认真组织校本研修及课题研究活动的中期和后期结题工作。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5.规范学生学籍管理，及时处理流动学生学籍结转工作，严把控辍保学关。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6.加强师德师风建设，突出正向激励。严肃失德“零容忍”，实行师德“一票否决”制，有效保障教师合法权益，提升师德尊严。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8.加强后勤及财务监督管理工作，努力提高后勤服务质量。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9.加强党建工作，坚持党的新教育方针，紧紧围绕教育教学中心工作，扎实有效推进我校党建各项工作顺利进行。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10.加强流行病、传染病、结核病等防控及宣传教育工作，筑牢师生健康防线。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三、预算单位构成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纳入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</w:rPr>
        <w:t>本部门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编制范围的单位共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隶属于镇坪县教育体育和科技局下级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</w:rPr>
        <w:t>二级预算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单位：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4912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491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  <w:t>单位名称</w:t>
            </w:r>
          </w:p>
        </w:tc>
        <w:tc>
          <w:tcPr>
            <w:tcW w:w="20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  <w:t>拟变动情况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912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镇坪县曾家镇小学（本级）</w:t>
            </w:r>
          </w:p>
        </w:tc>
        <w:tc>
          <w:tcPr>
            <w:tcW w:w="201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四、人员情况说明</w:t>
      </w:r>
    </w:p>
    <w:p>
      <w:pPr>
        <w:widowControl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年底，本部门人员编制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人，其中行政编制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人、事业编制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</w:t>
      </w:r>
      <w:r>
        <w:rPr>
          <w:rFonts w:hint="eastAsia" w:ascii="仿宋_GB2312" w:hAnsi="仿宋_GB2312" w:eastAsia="仿宋_GB2312" w:cs="仿宋_GB2312"/>
          <w:sz w:val="32"/>
          <w:szCs w:val="32"/>
        </w:rPr>
        <w:t>人；实有人员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人，其中行政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人、事业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人。单位管理的离退休人员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>
      <w:pPr>
        <w:widowControl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pict>
          <v:shape id="_x0000_s1026" o:spid="_x0000_s1026" o:spt="75" alt="" type="#_x0000_t75" style="position:absolute;left:0pt;margin-left:98.2pt;margin-top:0.65pt;height:211.75pt;width:225.85pt;z-index:-251657216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</v:shape>
          <o:OLEObject Type="Embed" ProgID="Excel.Chart.8" ShapeID="_x0000_s1026" DrawAspect="Content" ObjectID="_1468075725" r:id="rId4">
            <o:LockedField>false</o:LockedField>
          </o:OLEObject>
        </w:pict>
      </w:r>
    </w:p>
    <w:p>
      <w:pPr>
        <w:widowControl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widowControl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</w:p>
    <w:p>
      <w:pPr>
        <w:ind w:firstLine="64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</w:p>
    <w:p>
      <w:pPr>
        <w:ind w:firstLine="64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第二部分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 收支情况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、收支说明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收支预算总体情况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按照综合预算的原则，本部门所有收入和支出均纳入部门预算管理。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本部门当年预算收入583.17万元，其中一般公共预算拨款收入583.17万元、政府性基金拨款收入0万元，较上年增加63.17万元，主要原因是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人员经费的正常增加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；本部门当年预算支出583.17万元，其中一般公共预算拨款支出583.17万元、政府性基金拨款支出0万元，较上年增加63.17万元，主要原因是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人员经费的正常增加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（二）财政拨款收支情况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本部门当年财政拨款收入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583.17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万元，其中一般共预算拨款收入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583.17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万元、政府性基金拨款收入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万元，较上年增加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63.17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人员经费的正常增加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；本部门当年财政拨款支出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583.17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万元，其中一般公共预算拨款支出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583.17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万元、政府性基金拨款支出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万元，较上年增加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63.17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人员经费的正常增加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（三）一般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公共预算拨款支出明细情况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一般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公共预算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当年拨款规模变化情况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本部门当年一般公共预算拨款支出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583.17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万元，较上年增加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63.17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人员经费的正常增加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2、支出按功能科目分类的明细情况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当年一般公共预算支出583.17万元，其中：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小学教育（2050202）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较上年增加63.17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人员经费的正常增加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3、支出按经济科目分类的明细情况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本部门当年一般公共预算支出583.17万元，其中：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工资福利支出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583.17万元，较上年增加63.17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人员经费的正常增加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年结转财政资金一般公共预算拨款支出情况。本部门无202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年结转的一般公共预算拨款资金支出。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政府性基金预算支出情况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本部门无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当年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政府性基金预算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收支，并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已公开空表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（五）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国有资本经营预算拨款收支情况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本部门无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当年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国有资本经营预算收支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已公开空表。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第三部分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其他情况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、“三公”经费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及会议费、培训费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说明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本部门无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  <w:t>三公”经费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及会议费、培训费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收支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，并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已公开空表。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七、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国有资产占有使用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及资产购置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情况说明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截止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上年底，本部门所属预算单位共有车辆0辆，单价20万元以上的设备0台（套）。当年部门预算安排购置车辆0辆；安排购置单价20万元以上的设备0台（套）。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、政府采购情况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说明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当年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无政府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采购预算，并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已公开空表。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九、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绩效目标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说明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本部门绩效目标管理全覆盖，涉及当年一般公共预算当年拨款583.17万元,当年政府性基金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预算当年拨款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0万元，当年国有资本经营预算拨款0万元（详见公开报表中的绩效目标表）。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十、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机关运行经费安排情况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说明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无。</w:t>
      </w:r>
    </w:p>
    <w:p>
      <w:pPr>
        <w:numPr>
          <w:ilvl w:val="0"/>
          <w:numId w:val="2"/>
        </w:num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专业名词解释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关运行经费：指各部门的公用经费，包括办公及印刷费、邮电费、差旅费、会议费、福利费、日常维修费、专用材料及一般设备购置费、办公用房水电费、办公用房取暖费、办公用房物业管理费、公务用车运行费以及其他费用。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>
      <w:pPr>
        <w:ind w:firstLine="640"/>
        <w:jc w:val="center"/>
        <w:rPr>
          <w:rFonts w:hint="default" w:ascii="FangSong_GB2312" w:hAnsi="FangSong_GB2312" w:eastAsia="FangSong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第四部分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 公开报表</w:t>
      </w:r>
    </w:p>
    <w:sectPr>
      <w:pgSz w:w="11906" w:h="16838"/>
      <w:pgMar w:top="1440" w:right="1800" w:bottom="1440" w:left="1800" w:header="851" w:footer="992" w:gutter="0"/>
      <w:cols w:space="720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47D6F7"/>
    <w:multiLevelType w:val="singleLevel"/>
    <w:tmpl w:val="9B47D6F7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D14788F"/>
    <w:multiLevelType w:val="singleLevel"/>
    <w:tmpl w:val="1D14788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FjYjc2NGE4NGZlODE1YWUxMzYxNDM0NzdhNjcxZTcifQ=="/>
  </w:docVars>
  <w:rsids>
    <w:rsidRoot w:val="00172A27"/>
    <w:rsid w:val="00030665"/>
    <w:rsid w:val="000D3C31"/>
    <w:rsid w:val="00325D3E"/>
    <w:rsid w:val="003F266E"/>
    <w:rsid w:val="00495EAC"/>
    <w:rsid w:val="00534525"/>
    <w:rsid w:val="006553D2"/>
    <w:rsid w:val="006A779A"/>
    <w:rsid w:val="007138CC"/>
    <w:rsid w:val="00715F37"/>
    <w:rsid w:val="00727AF9"/>
    <w:rsid w:val="007C1591"/>
    <w:rsid w:val="007F592D"/>
    <w:rsid w:val="00911D54"/>
    <w:rsid w:val="009B78D6"/>
    <w:rsid w:val="00CB6F2D"/>
    <w:rsid w:val="00CC7DB5"/>
    <w:rsid w:val="00E863A2"/>
    <w:rsid w:val="014A2072"/>
    <w:rsid w:val="04320FD9"/>
    <w:rsid w:val="049A40D7"/>
    <w:rsid w:val="04A216F1"/>
    <w:rsid w:val="04DD00BC"/>
    <w:rsid w:val="04FB7C1A"/>
    <w:rsid w:val="07C63897"/>
    <w:rsid w:val="09B770EC"/>
    <w:rsid w:val="0D930FB4"/>
    <w:rsid w:val="104E7D4B"/>
    <w:rsid w:val="176D6084"/>
    <w:rsid w:val="17E3395E"/>
    <w:rsid w:val="18696069"/>
    <w:rsid w:val="2B6E114C"/>
    <w:rsid w:val="2DD21556"/>
    <w:rsid w:val="2EB57C9F"/>
    <w:rsid w:val="2EF54445"/>
    <w:rsid w:val="32383B0A"/>
    <w:rsid w:val="32DB48BA"/>
    <w:rsid w:val="33801EA2"/>
    <w:rsid w:val="34B74C75"/>
    <w:rsid w:val="35457DE0"/>
    <w:rsid w:val="35555E4E"/>
    <w:rsid w:val="359252AB"/>
    <w:rsid w:val="388B0D2A"/>
    <w:rsid w:val="388F6532"/>
    <w:rsid w:val="3B975BF3"/>
    <w:rsid w:val="3DC7004C"/>
    <w:rsid w:val="43606DFF"/>
    <w:rsid w:val="43922513"/>
    <w:rsid w:val="44EE2C86"/>
    <w:rsid w:val="46F073D7"/>
    <w:rsid w:val="47F51DA1"/>
    <w:rsid w:val="48246A25"/>
    <w:rsid w:val="4974495A"/>
    <w:rsid w:val="4AFD517E"/>
    <w:rsid w:val="4EAF467F"/>
    <w:rsid w:val="4F4E6E0F"/>
    <w:rsid w:val="536328AF"/>
    <w:rsid w:val="53D82CB6"/>
    <w:rsid w:val="549A0EDD"/>
    <w:rsid w:val="5900561E"/>
    <w:rsid w:val="5A7F118D"/>
    <w:rsid w:val="5C2757BE"/>
    <w:rsid w:val="5FDD417D"/>
    <w:rsid w:val="60A76F05"/>
    <w:rsid w:val="62770932"/>
    <w:rsid w:val="63ED0CD3"/>
    <w:rsid w:val="667728BC"/>
    <w:rsid w:val="675B6F91"/>
    <w:rsid w:val="67A175F9"/>
    <w:rsid w:val="67B17BDD"/>
    <w:rsid w:val="69090D36"/>
    <w:rsid w:val="6EF66EF9"/>
    <w:rsid w:val="6FA86D5D"/>
    <w:rsid w:val="70154C98"/>
    <w:rsid w:val="72576549"/>
    <w:rsid w:val="7308200B"/>
    <w:rsid w:val="74A97633"/>
    <w:rsid w:val="74EA18BC"/>
    <w:rsid w:val="75494EB0"/>
    <w:rsid w:val="76C5247B"/>
    <w:rsid w:val="770A55ED"/>
    <w:rsid w:val="78B06DDB"/>
    <w:rsid w:val="7CB67331"/>
    <w:rsid w:val="7E30253F"/>
    <w:rsid w:val="7EC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FollowedHyperlink"/>
    <w:basedOn w:val="7"/>
    <w:semiHidden/>
    <w:uiPriority w:val="99"/>
    <w:rPr>
      <w:rFonts w:cs="Times New Roman"/>
      <w:color w:val="800080"/>
      <w:u w:val="single"/>
    </w:rPr>
  </w:style>
  <w:style w:type="character" w:styleId="9">
    <w:name w:val="Hyperlink"/>
    <w:basedOn w:val="7"/>
    <w:uiPriority w:val="99"/>
    <w:rPr>
      <w:rFonts w:cs="Times New Roman"/>
      <w:color w:val="0000FF"/>
      <w:u w:val="single"/>
    </w:rPr>
  </w:style>
  <w:style w:type="character" w:customStyle="1" w:styleId="10">
    <w:name w:val="Plain Text Char"/>
    <w:basedOn w:val="7"/>
    <w:link w:val="2"/>
    <w:locked/>
    <w:uiPriority w:val="99"/>
    <w:rPr>
      <w:rFonts w:ascii="宋体" w:hAnsi="Courier New" w:eastAsia="宋体" w:cs="Courier New"/>
      <w:sz w:val="21"/>
      <w:szCs w:val="21"/>
    </w:rPr>
  </w:style>
  <w:style w:type="character" w:customStyle="1" w:styleId="11">
    <w:name w:val="Footer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7"/>
    <w:link w:val="4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2327</Words>
  <Characters>2455</Characters>
  <Lines>0</Lines>
  <Paragraphs>0</Paragraphs>
  <TotalTime>1</TotalTime>
  <ScaleCrop>false</ScaleCrop>
  <LinksUpToDate>false</LinksUpToDate>
  <CharactersWithSpaces>2482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2020-03-17T12:48:00Z</dcterms:created>
  <dc:creator>Administrator</dc:creator>
  <cp:lastModifiedBy>Administrator</cp:lastModifiedBy>
  <cp:lastPrinted>2020-04-13T01:53:00Z</cp:lastPrinted>
  <dcterms:modified xsi:type="dcterms:W3CDTF">2023-05-06T07:07:21Z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20A90DB8658046748E19685DCC787D0D</vt:lpwstr>
  </property>
</Properties>
</file>