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2D050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镇坪县文化和旅游广电局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（一）主要职责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镇坪县文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化和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旅游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广电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局是县政府主管文化、旅游、广播电视新闻事业的直属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机构。主要职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责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1、贯彻执行党和国家的文化、文物、旅游及广播电视工作的方针政策和法律法规，拟订全县文化、文物、旅游及广播电视政策措施，把握正确的舆论导向和创作导向。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2、统筹规划全县文化事业、文化产业、旅游业、文物博物事业和广播电视事业发展，拟订发展规划并组织实施，推进文化和旅游融合发展，推进文化和旅游广电行业体制机制改革。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3、协调推进全县公共文化服务体系建设和旅游公共服务建设，指导全县文化旅游、文物保护、广播电视重点基础设施建设，深入实施文化惠民工程，统筹推进基本公共文化服务标准化、均等化。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4、组织、指导全县重大文化、旅游活动，组织开展文化、旅游对外交流与合作。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5、指导、推进全县文物保护利用工作;负责全县文物考古工作的监督管理;负责全县省级、市级、县级文物保护单位的管理工作;督促、指导全县文物安全工作。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6、指导、推进全县非物质文化遗产保护、传承、普及工作;协同相关部门管理本县文物市场。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7、指导、推进全域旅游发展，组织镇坪旅游形象推广。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8、指导、推进全县广播电视综合覆盖;加强广播电视阵地管理，督促、指导广播电视安全播出管理;监督管理广播电视节目及其生产、传输、服务和经营机构。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9、指导全县文化旅游市场综合执法，对文化旅游市场进行行业监管，依法规范文化旅游市场，组织查处文化旅游市场违法行为。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10、指导、推进文化、旅游、文博、广播电视行业人才队伍建设.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11、提供文献信息资源的检索、借阅、参考及咨询服务，开展阅读指导、组织读书活动，举办讲座、展览、培训。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承办县委、县政府和上级业务主管部门交办的其他事项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Tahoma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</w:rPr>
        <w:t>镇坪县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  <w:lang w:val="en-US" w:eastAsia="zh-CN"/>
        </w:rPr>
        <w:t>文化馆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主要职能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负责全县文化宣传的业务指导，配合县委、县政府的中心工作，积极开展文化宣传活动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编制年度文化工作发展规划、目标、计划，上报各种统计报表及总结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指导基层文化工作，开展各种群众文化活动，培训基层文化骨干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组织开展群众性文化演出、比赛活动;积极开展艺术创作并推出艺术精品，参加省、市级文化艺术展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举办各种文化艺术培训班，培养文化艺术后备人才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负责全县非遗保护和管理工作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承办或协办县级以上大型文艺演出活动。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宋体" w:eastAsia="仿宋_GB2312" w:cs="Tahoma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</w:rPr>
        <w:t>镇坪县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  <w:lang w:val="en-US" w:eastAsia="zh-CN"/>
        </w:rPr>
        <w:t>图书馆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</w:rPr>
        <w:t>主要职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  <w:lang w:eastAsia="zh-CN"/>
        </w:rPr>
        <w:t>责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Tahoma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收集、加工、整理、管理文献资源，提供读者借阅；利用数字图书馆、移动图书馆、报刊阅读机等电子产品，进行媒体宣传服务；对到馆文献进行验收、登记、分类、编目、加工，科学排架，合理流通；举办各类展览、讲座、培训等，普及科学文化知识，开展社会教育，提高群众文化素质，促进精神文明建设；对全县各镇、村（社区）图书管理业务进行辅导和培训相关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内设机构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镇坪县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文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化和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旅游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广电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本级包括镇坪县文化和旅游广电局（机关）、镇坪县文化馆、镇坪县图书馆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3个单位。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内设文化旅游综合执法大队、政办股、文化股、旅游股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、文化馆、图书馆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惠民活动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围绕“乡村振兴”、“社会主义核心价值观”、“新民风建设”开展戏曲进乡村活动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完成文化活动年度任务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围绕“礼赞二十大”、长寿文化、盐道精神、药乡文化、创文等备受群众关注的社会话题，创作创编紧贴地方特色、紧贴我县群众生活的可读可赏可流传的文艺文学作品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民艺术普及。充分发挥公共文化设施免费开放服务效能，利用寒暑假、周末及错时，为留守儿童、妇女、老年人、进城务工人员、残疾人等群体免费开办舞蹈、器乐、书法、绘画、声乐、主持、智能手机操作等文化活动培训20期。针对全县镇文化站、各分馆从业人员举办业务技能培训2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做好图书阅读推广工作。在完成图书馆国家三级馆评估定级后，强化图书馆基础工作，推动图书馆管理和服务创新，进一步提升图书馆免费开放水平，加大阅读推广力度。开展美志愿服务活动5场，“快乐阅读”绘本故事会共12场，特殊人群阅读推广活动20场，图书流动服务48场，开展讲座、培训、展览活动各12场。完成“我们的节日”系列主题活动：春节、元宵、端午、中秋、重阳节日主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加快旅游业高质量发展。一是围绕曙河旅游经济示范带建设，加强龙头企业引领示范作用，做好飞渡峡景区提档升级工作，创新旅游业态和旅游产品，构建以中药康养主体，以乡村旅游为支撑的全域旅游格局。二是做好全域旅游示范区创建工作，推进长寿谷温泉、南江湖民宿集群、欣陕茶旅体验等5个重点项目和旅游线路的建设，打造省级旅游示范村1个，星级宾馆1个。三是持续加强旅游新业态“露营基地”的改造升级及新建任务，实现2023年底实现三年目标任务完成率70%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加大文旅市场监管力度。一是按照《镇坪县文化市场综合执法大队日常巡查工作方案》，每月组织开展执法检查不少于2次，全年开展文化市场领域集中专项整治不少于4次。二是强化安全生产管理，采取定期和不定期结合的方式对全县内的酒店、旅游景点、涉旅企业进行旅游安全生产大检查活动，认真排查、消除各类安全隐患，确保游客的人身安全；加大对旅游市场秩序的整治力度，坚决打击各种违法违规经营行为，切实维护广大旅游者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加强安全防范，做好底线工作。一是抓好应急广播体系管理工作，保障应急安全。二是做好广播电视安全播出，保持发射台、户户通常规化维护。三是抓好文旅行业、广电事业安全生产工作。四是扎实推进驻村帮扶工作，确保不发生返贫；常态化开展日常帮扶，持续帮助发展产业、推进项目建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三、预算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镇坪县文化和旅游广电局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部（机关）和所属事业单位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镇坪县文化馆、镇坪县图书馆，共计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1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镇坪县文化和旅游广电局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（机关）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镇坪县文化馆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镇坪县图书馆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本部门人员编制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镇坪县文化和旅游广电局行政编制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5人，事业编制10人；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人。镇坪县文化馆事业编制8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镇坪县图书馆事业编制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7人，实有人员6人。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单位管理的退休人员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，其中镇坪县文化和旅游广电局退休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8人，镇坪县文化馆退休8人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object>
          <v:shape id="_x0000_i1025" o:spt="75" type="#_x0000_t75" style="height:242.4pt;width:389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本部门当年预算收入406.19万元，其中一般公共预算拨款收入406.19万元，较上年减少208.26万元，主要原因是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节约，减少收入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。本部门当年预算支出406.19万元，其中一般公共预算拨款支出406.19万元，较上年减少208.26万元，主要原因是压减公用经费，节约开支，着力打造艰苦奋斗、勤俭节约的良好氛围。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208.26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节约，减少收入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较上年减少208.26万元，主要原因是压减公用经费，节约开支，着力打造艰苦奋斗、勤俭节约的良好氛围。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较上年减少208.26万元，主要原因是压减公用经费，节约开支，着力打造艰苦奋斗、勤俭节约的良好氛围。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当年一般公共预算支出406.19万元，其中：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行政运行（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2070101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151.47万元，包含本级机关人员经费和公用经费，较上年增加1.68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在职人员工资调整增加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2070104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87.06万元，包含图书馆人员经费和公用经费，较上年增加10.68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增加在职人员工资及图书馆运转资金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）群众文化（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2070109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121.84万元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包含文化馆人员经费和公用经费、专项业务经费，较上年增加106.84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增加文化馆人员经费和公用经费预算支出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文化和旅游市场管理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2070112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是专项业务经费，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规范文化旅游市场监督管理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文物保护（2070204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是专项业务经费，</w:t>
      </w:r>
      <w:r>
        <w:rPr>
          <w:rFonts w:hint="eastAsia" w:ascii="仿宋_GB2312" w:eastAsia="仿宋_GB2312"/>
          <w:color w:val="000000"/>
          <w:sz w:val="32"/>
          <w:szCs w:val="32"/>
        </w:rPr>
        <w:t>较上年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为保障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文物保护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日常工作正常开展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机关事业单位基本养老保险缴费支出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（2080505）24.2万元，是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人员经费，较上年增加24.2万元，原因是规范功能科目使用，为人员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（7）事业单位医疗（2101102）9.09万元，是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较上年增加9.09万元，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原因是规范功能科目使用，为事业人员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（8）公务员医疗补助（2101103）2.53万元，是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较上年增加2.53万元，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原因是规范功能科目使用，为行政人员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本部门当年一般公共预算支出406.19万元，其中：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344.05万元，较上年增加59.95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在职人员工资增涨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62.14万元，较上年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268.22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压减公用经费，节约开支，着力打造艰苦奋斗、勤俭节约的良好氛围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本部门当年一般公共预算支出406.19万元，其中：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174.55万元，较上年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109.55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只包含本级机关人员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预算支出，调整含文化馆、图书馆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27.74万元，较上年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压减公用经费，节约开支，着力打造艰苦奋斗、勤俭节约的良好氛围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对事业单位经常性补助（505）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增加203.9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调整了文化馆、图书馆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本部门当年一般公共预算“三公”经费预算支出16.7万元，较上年减少0.7万元（4.02%），主要原因是贯彻落实“过紧日子”要求，</w:t>
      </w:r>
      <w:r>
        <w:rPr>
          <w:rFonts w:hint="eastAsia" w:ascii="仿宋_GB2312" w:eastAsia="仿宋_GB2312"/>
          <w:color w:val="auto"/>
          <w:sz w:val="32"/>
          <w:szCs w:val="32"/>
        </w:rPr>
        <w:t>厉行节约反对浪费，建设节约型机关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。其中：公务接待费8.3万元万元，较上年较少0.7万元（4.02%），主要原因是贯彻落实“过紧日子”要求，</w:t>
      </w:r>
      <w:r>
        <w:rPr>
          <w:rFonts w:hint="eastAsia" w:ascii="仿宋_GB2312" w:eastAsia="仿宋_GB2312"/>
          <w:color w:val="auto"/>
          <w:sz w:val="32"/>
          <w:szCs w:val="32"/>
        </w:rPr>
        <w:t>厉行节约反对浪费，建设节约型机关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全年文化、图书阅读进乡镇</w:t>
      </w:r>
      <w:r>
        <w:rPr>
          <w:rFonts w:hint="eastAsia" w:ascii="仿宋_GB2312" w:eastAsia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上年度及本年度，本部门无因公出国（境）经费、会议经费、培训经费、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1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50"/>
        <w:gridCol w:w="2693"/>
        <w:gridCol w:w="870"/>
        <w:gridCol w:w="99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……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上年底，本部门所属预算单位共有车辆2辆，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单价20万元以上的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虚拟演播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本部门绩效目标管理全覆盖，涉及当年一般公共预算当年拨款406.19万元,当年政府性基金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当年机关运行经费预算安排23.36万元，较上年增加14.4万元，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包含了文化馆、图书馆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机关运行经费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C2C884"/>
    <w:multiLevelType w:val="singleLevel"/>
    <w:tmpl w:val="ECC2C88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0665"/>
    <w:rsid w:val="000D3C31"/>
    <w:rsid w:val="00325D3E"/>
    <w:rsid w:val="003D7842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114ECE"/>
    <w:rsid w:val="014A2072"/>
    <w:rsid w:val="016E05C7"/>
    <w:rsid w:val="02862816"/>
    <w:rsid w:val="02BB5BFB"/>
    <w:rsid w:val="02D1093D"/>
    <w:rsid w:val="033C23E9"/>
    <w:rsid w:val="04320FD9"/>
    <w:rsid w:val="049A40D7"/>
    <w:rsid w:val="04A216F1"/>
    <w:rsid w:val="04DD00BC"/>
    <w:rsid w:val="04FB7C1A"/>
    <w:rsid w:val="05BE7C4C"/>
    <w:rsid w:val="05F9325B"/>
    <w:rsid w:val="062F7230"/>
    <w:rsid w:val="07C63897"/>
    <w:rsid w:val="08702D7D"/>
    <w:rsid w:val="09B770EC"/>
    <w:rsid w:val="0B1567A7"/>
    <w:rsid w:val="0B7C120A"/>
    <w:rsid w:val="0C442AC8"/>
    <w:rsid w:val="0CB52049"/>
    <w:rsid w:val="0D766CAA"/>
    <w:rsid w:val="0D930FB4"/>
    <w:rsid w:val="0DA732CD"/>
    <w:rsid w:val="0E806354"/>
    <w:rsid w:val="101414EA"/>
    <w:rsid w:val="102F7CE2"/>
    <w:rsid w:val="104E7D4B"/>
    <w:rsid w:val="124D4D6D"/>
    <w:rsid w:val="155C480A"/>
    <w:rsid w:val="1602073C"/>
    <w:rsid w:val="176D6084"/>
    <w:rsid w:val="17E3395E"/>
    <w:rsid w:val="18696069"/>
    <w:rsid w:val="1C751895"/>
    <w:rsid w:val="1D511A35"/>
    <w:rsid w:val="1FB905E6"/>
    <w:rsid w:val="20A87CDA"/>
    <w:rsid w:val="228E01F6"/>
    <w:rsid w:val="27386AA3"/>
    <w:rsid w:val="29F36021"/>
    <w:rsid w:val="2B6E114C"/>
    <w:rsid w:val="2DB26642"/>
    <w:rsid w:val="2DD21556"/>
    <w:rsid w:val="2EB57C9F"/>
    <w:rsid w:val="3060112C"/>
    <w:rsid w:val="307824D3"/>
    <w:rsid w:val="32383B0A"/>
    <w:rsid w:val="329C4AB8"/>
    <w:rsid w:val="32DB48BA"/>
    <w:rsid w:val="33801EA2"/>
    <w:rsid w:val="34B74C75"/>
    <w:rsid w:val="35457DE0"/>
    <w:rsid w:val="35555E4E"/>
    <w:rsid w:val="359252AB"/>
    <w:rsid w:val="383D3DF3"/>
    <w:rsid w:val="388B0D2A"/>
    <w:rsid w:val="388F6532"/>
    <w:rsid w:val="39123FC0"/>
    <w:rsid w:val="3A2C3B4A"/>
    <w:rsid w:val="3A5359EC"/>
    <w:rsid w:val="3B975BF3"/>
    <w:rsid w:val="3C80534A"/>
    <w:rsid w:val="3CB71A91"/>
    <w:rsid w:val="3DC7004C"/>
    <w:rsid w:val="3ECB2BB0"/>
    <w:rsid w:val="3F3917C9"/>
    <w:rsid w:val="40303EE1"/>
    <w:rsid w:val="40C53566"/>
    <w:rsid w:val="40E942D6"/>
    <w:rsid w:val="43285871"/>
    <w:rsid w:val="43606DFF"/>
    <w:rsid w:val="43922513"/>
    <w:rsid w:val="44EE2C86"/>
    <w:rsid w:val="46F073D7"/>
    <w:rsid w:val="473D7977"/>
    <w:rsid w:val="474569F6"/>
    <w:rsid w:val="47F51DA1"/>
    <w:rsid w:val="482335E6"/>
    <w:rsid w:val="48246A25"/>
    <w:rsid w:val="4974495A"/>
    <w:rsid w:val="49E96A94"/>
    <w:rsid w:val="4AFD517E"/>
    <w:rsid w:val="4EAF467F"/>
    <w:rsid w:val="4F4E6E0F"/>
    <w:rsid w:val="506669CD"/>
    <w:rsid w:val="50AC4E6E"/>
    <w:rsid w:val="50BB6054"/>
    <w:rsid w:val="50F6397C"/>
    <w:rsid w:val="5119125E"/>
    <w:rsid w:val="52BD3267"/>
    <w:rsid w:val="53D82CB6"/>
    <w:rsid w:val="549A0EDD"/>
    <w:rsid w:val="54EB7829"/>
    <w:rsid w:val="55BA0395"/>
    <w:rsid w:val="572A36C7"/>
    <w:rsid w:val="5900561E"/>
    <w:rsid w:val="5A7F118D"/>
    <w:rsid w:val="5A98267C"/>
    <w:rsid w:val="5BAC7FD8"/>
    <w:rsid w:val="5C2757BE"/>
    <w:rsid w:val="5E1F03F1"/>
    <w:rsid w:val="5FDD417D"/>
    <w:rsid w:val="60A76F05"/>
    <w:rsid w:val="610D0EF7"/>
    <w:rsid w:val="62770932"/>
    <w:rsid w:val="63286E8F"/>
    <w:rsid w:val="6359563F"/>
    <w:rsid w:val="63ED0CD3"/>
    <w:rsid w:val="656D62BC"/>
    <w:rsid w:val="667728BC"/>
    <w:rsid w:val="675B6F91"/>
    <w:rsid w:val="67B17BDD"/>
    <w:rsid w:val="68766C3C"/>
    <w:rsid w:val="689F5272"/>
    <w:rsid w:val="69090D36"/>
    <w:rsid w:val="69E10B33"/>
    <w:rsid w:val="6A5D150E"/>
    <w:rsid w:val="6B3234AC"/>
    <w:rsid w:val="6E8834B1"/>
    <w:rsid w:val="6EAA2A16"/>
    <w:rsid w:val="6EF66EF9"/>
    <w:rsid w:val="6F5B7899"/>
    <w:rsid w:val="6FA86D5D"/>
    <w:rsid w:val="70154C98"/>
    <w:rsid w:val="702A083A"/>
    <w:rsid w:val="70577A19"/>
    <w:rsid w:val="72576549"/>
    <w:rsid w:val="742451FC"/>
    <w:rsid w:val="74A97633"/>
    <w:rsid w:val="74EA18BC"/>
    <w:rsid w:val="75E940AD"/>
    <w:rsid w:val="76385887"/>
    <w:rsid w:val="76394CBB"/>
    <w:rsid w:val="76B95CEE"/>
    <w:rsid w:val="76C5247B"/>
    <w:rsid w:val="770A55ED"/>
    <w:rsid w:val="77C83BB9"/>
    <w:rsid w:val="78B06DDB"/>
    <w:rsid w:val="7B7D01F8"/>
    <w:rsid w:val="7CB67331"/>
    <w:rsid w:val="7D6B21EA"/>
    <w:rsid w:val="7E30253F"/>
    <w:rsid w:val="7E51414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default"/>
      <w:sz w:val="21"/>
      <w:szCs w:val="24"/>
    </w:rPr>
  </w:style>
  <w:style w:type="paragraph" w:styleId="5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Plain Text Char"/>
    <w:basedOn w:val="10"/>
    <w:link w:val="5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BodyText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Lenovo</cp:lastModifiedBy>
  <cp:lastPrinted>2020-04-13T01:53:00Z</cp:lastPrinted>
  <dcterms:modified xsi:type="dcterms:W3CDTF">2023-05-07T23:19:24Z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