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hint="default" w:ascii="Arial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eastAsia="zh-CN"/>
        </w:rPr>
        <w:t>附件</w:t>
      </w:r>
      <w:r>
        <w:rPr>
          <w:rFonts w:hint="eastAsia" w:eastAsia="宋体"/>
          <w:sz w:val="32"/>
          <w:szCs w:val="32"/>
          <w:lang w:val="en-US" w:eastAsia="zh-CN"/>
        </w:rPr>
        <w:t>1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17" w:line="269" w:lineRule="auto"/>
        <w:ind w:left="5109" w:right="3666" w:hanging="360"/>
        <w:outlineLvl w:val="0"/>
        <w:rPr>
          <w:sz w:val="36"/>
          <w:szCs w:val="36"/>
        </w:rPr>
      </w:pP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镇坪县工商业联合会本级</w:t>
      </w:r>
      <w:r>
        <w:rPr>
          <w:spacing w:val="9"/>
          <w:sz w:val="36"/>
          <w:szCs w:val="36"/>
        </w:rPr>
        <w:t xml:space="preserve"> </w:t>
      </w: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2023年部门综合预算</w:t>
      </w:r>
    </w:p>
    <w:p>
      <w:pPr>
        <w:spacing w:line="402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6291"/>
      </w:pPr>
      <w:r>
        <w:rPr>
          <w:spacing w:val="-27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spacing w:val="7"/>
        </w:rPr>
        <w:t xml:space="preserve">  </w:t>
      </w:r>
      <w:r>
        <w:rPr>
          <w:spacing w:val="-27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>
      <w:pPr>
        <w:pStyle w:val="2"/>
        <w:spacing w:before="163" w:line="221" w:lineRule="auto"/>
        <w:ind w:left="5291"/>
      </w:pPr>
      <w:r>
        <w:rPr>
          <w:spacing w:val="-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spacing w:val="-1"/>
        </w:rPr>
        <w:t xml:space="preserve">   </w:t>
      </w:r>
      <w:r>
        <w:rPr>
          <w:spacing w:val="-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部门概况</w:t>
      </w:r>
    </w:p>
    <w:p>
      <w:pPr>
        <w:pStyle w:val="2"/>
        <w:spacing w:before="164" w:line="548" w:lineRule="exact"/>
        <w:ind w:left="6"/>
      </w:pPr>
      <w:r>
        <w:rPr>
          <w:spacing w:val="-3"/>
          <w:position w:val="16"/>
        </w:rPr>
        <w:t>一、部门主要职责及机构设置</w:t>
      </w:r>
    </w:p>
    <w:p>
      <w:pPr>
        <w:pStyle w:val="2"/>
        <w:spacing w:before="1" w:line="220" w:lineRule="auto"/>
        <w:ind w:left="6"/>
      </w:pPr>
      <w:r>
        <w:rPr>
          <w:spacing w:val="-9"/>
        </w:rPr>
        <w:t>二、</w:t>
      </w:r>
      <w:r>
        <w:rPr>
          <w:spacing w:val="-44"/>
        </w:rPr>
        <w:t xml:space="preserve"> </w:t>
      </w:r>
      <w:r>
        <w:rPr>
          <w:spacing w:val="-9"/>
        </w:rPr>
        <w:t>2023年年度部门工作任务</w:t>
      </w:r>
    </w:p>
    <w:p>
      <w:pPr>
        <w:pStyle w:val="2"/>
        <w:spacing w:before="164" w:line="222" w:lineRule="auto"/>
        <w:ind w:left="7"/>
      </w:pPr>
      <w:r>
        <w:rPr>
          <w:spacing w:val="-2"/>
        </w:rPr>
        <w:t>三、部门预算单位构成</w:t>
      </w:r>
    </w:p>
    <w:p>
      <w:pPr>
        <w:pStyle w:val="2"/>
        <w:spacing w:before="163" w:line="221" w:lineRule="auto"/>
        <w:ind w:left="20"/>
      </w:pPr>
      <w:r>
        <w:rPr>
          <w:spacing w:val="-3"/>
        </w:rPr>
        <w:t>四、部门人员情况说明</w:t>
      </w:r>
    </w:p>
    <w:p>
      <w:pPr>
        <w:spacing w:line="165" w:lineRule="exact"/>
      </w:pPr>
    </w:p>
    <w:tbl>
      <w:tblPr>
        <w:tblStyle w:val="5"/>
        <w:tblW w:w="8948" w:type="dxa"/>
        <w:tblInd w:w="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0"/>
        <w:gridCol w:w="2084"/>
        <w:gridCol w:w="215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36" w:hRule="atLeast"/>
        </w:trPr>
        <w:tc>
          <w:tcPr>
            <w:tcW w:w="4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>
            <w:pPr>
              <w:spacing w:line="221" w:lineRule="auto"/>
              <w:ind w:left="57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第二部分</w:t>
            </w:r>
          </w:p>
        </w:tc>
        <w:tc>
          <w:tcPr>
            <w:tcW w:w="2154" w:type="dxa"/>
            <w:vAlign w:val="top"/>
          </w:tcPr>
          <w:p>
            <w:pPr>
              <w:spacing w:line="223" w:lineRule="auto"/>
              <w:ind w:left="24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收支情况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710" w:type="dxa"/>
            <w:vAlign w:val="top"/>
          </w:tcPr>
          <w:p>
            <w:pPr>
              <w:spacing w:before="111" w:line="221" w:lineRule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五、</w:t>
            </w:r>
            <w:r>
              <w:rPr>
                <w:rFonts w:ascii="黑体" w:hAnsi="黑体" w:eastAsia="黑体" w:cs="黑体"/>
                <w:spacing w:val="-48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2023年部门预算收支说明</w:t>
            </w:r>
          </w:p>
        </w:tc>
        <w:tc>
          <w:tcPr>
            <w:tcW w:w="20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04" w:line="181" w:lineRule="auto"/>
              <w:ind w:left="57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第三部分</w:t>
            </w:r>
          </w:p>
        </w:tc>
        <w:tc>
          <w:tcPr>
            <w:tcW w:w="21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04" w:line="181" w:lineRule="auto"/>
              <w:jc w:val="righ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其他说明情况</w:t>
            </w:r>
          </w:p>
        </w:tc>
      </w:tr>
    </w:tbl>
    <w:p>
      <w:pPr>
        <w:pStyle w:val="2"/>
        <w:spacing w:before="222" w:line="221" w:lineRule="auto"/>
        <w:ind w:left="11"/>
      </w:pPr>
      <w:r>
        <w:rPr>
          <w:spacing w:val="-2"/>
        </w:rPr>
        <w:t>六、部门预算“三公”经费等情况说明</w:t>
      </w:r>
    </w:p>
    <w:p>
      <w:pPr>
        <w:pStyle w:val="2"/>
        <w:spacing w:before="165" w:line="221" w:lineRule="auto"/>
      </w:pPr>
      <w:r>
        <w:rPr>
          <w:spacing w:val="-1"/>
        </w:rPr>
        <w:t>七、部门国有资产占有使用及资产购置情况说明</w:t>
      </w:r>
    </w:p>
    <w:p>
      <w:pPr>
        <w:spacing w:line="221" w:lineRule="auto"/>
        <w:sectPr>
          <w:pgSz w:w="16820" w:h="11900"/>
          <w:pgMar w:top="1011" w:right="2523" w:bottom="0" w:left="1931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4" w:line="547" w:lineRule="exact"/>
      </w:pPr>
      <w:r>
        <w:rPr>
          <w:spacing w:val="-1"/>
          <w:position w:val="16"/>
        </w:rPr>
        <w:t>八、部门政府采购情况说明</w:t>
      </w:r>
    </w:p>
    <w:p>
      <w:pPr>
        <w:pStyle w:val="2"/>
        <w:spacing w:before="1" w:line="220" w:lineRule="auto"/>
        <w:ind w:left="7"/>
      </w:pPr>
      <w:r>
        <w:rPr>
          <w:spacing w:val="-2"/>
        </w:rPr>
        <w:t>九、部门预算绩效目标说明</w:t>
      </w:r>
    </w:p>
    <w:p>
      <w:pPr>
        <w:pStyle w:val="2"/>
        <w:spacing w:before="164" w:line="221" w:lineRule="auto"/>
        <w:ind w:left="3"/>
      </w:pPr>
      <w:r>
        <w:rPr>
          <w:spacing w:val="-2"/>
        </w:rPr>
        <w:t>十、机关运行经费安排说明</w:t>
      </w:r>
    </w:p>
    <w:p>
      <w:pPr>
        <w:pStyle w:val="2"/>
        <w:spacing w:before="165" w:line="222" w:lineRule="auto"/>
        <w:ind w:left="3"/>
      </w:pPr>
      <w:r>
        <w:rPr>
          <w:spacing w:val="-4"/>
        </w:rPr>
        <w:t>十一、专业名词解释</w:t>
      </w:r>
    </w:p>
    <w:p>
      <w:pPr>
        <w:pStyle w:val="2"/>
        <w:spacing w:before="161" w:line="222" w:lineRule="auto"/>
        <w:ind w:left="5210"/>
      </w:pPr>
      <w:r>
        <w:rPr>
          <w:spacing w:val="-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spacing w:val="-1"/>
        </w:rPr>
        <w:t xml:space="preserve">   </w:t>
      </w:r>
      <w:r>
        <w:rPr>
          <w:spacing w:val="-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公开报表</w:t>
      </w:r>
    </w:p>
    <w:p>
      <w:pPr>
        <w:spacing w:before="163"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（具体部门预算公开报表）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2523" w:bottom="0" w:left="1932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219" w:lineRule="auto"/>
        <w:ind w:left="551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部门概况</w:t>
      </w:r>
    </w:p>
    <w:p>
      <w:pPr>
        <w:spacing w:before="166" w:line="219" w:lineRule="auto"/>
        <w:ind w:left="471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一、部门主要职责及机构设置</w:t>
      </w:r>
    </w:p>
    <w:p>
      <w:pPr>
        <w:spacing w:before="168" w:line="220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（1）加强和改进民营经济人士思想政治工作；</w:t>
      </w:r>
    </w:p>
    <w:p>
      <w:pPr>
        <w:spacing w:before="166" w:line="220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（2）参与政治协商，发挥民主监督作用，积极参政议政；</w:t>
      </w:r>
    </w:p>
    <w:p>
      <w:pPr>
        <w:spacing w:before="166" w:line="221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（3）协助政府管理和服务民营经济；</w:t>
      </w:r>
    </w:p>
    <w:p>
      <w:pPr>
        <w:spacing w:before="165" w:line="222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（4）培育和发展中国特色商会组织；</w:t>
      </w:r>
    </w:p>
    <w:p>
      <w:pPr>
        <w:spacing w:before="162" w:line="221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（5）培育和建设高素质的民营经济人士队伍；</w:t>
      </w:r>
    </w:p>
    <w:p>
      <w:pPr>
        <w:spacing w:before="165" w:line="219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（6）参与协调劳动关系，协同社会治理，促进社会</w:t>
      </w:r>
      <w:r>
        <w:rPr>
          <w:rFonts w:ascii="仿宋" w:hAnsi="仿宋" w:eastAsia="仿宋" w:cs="仿宋"/>
          <w:spacing w:val="-4"/>
          <w:sz w:val="32"/>
          <w:szCs w:val="32"/>
        </w:rPr>
        <w:t>和谐稳定；</w:t>
      </w:r>
    </w:p>
    <w:p>
      <w:pPr>
        <w:spacing w:before="167" w:line="221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（7）引导民营企业和民营经济人士依法治企、依法经</w:t>
      </w:r>
      <w:r>
        <w:rPr>
          <w:rFonts w:ascii="仿宋" w:hAnsi="仿宋" w:eastAsia="仿宋" w:cs="仿宋"/>
          <w:spacing w:val="-4"/>
          <w:sz w:val="32"/>
          <w:szCs w:val="32"/>
        </w:rPr>
        <w:t>营、依法违权;</w:t>
      </w:r>
    </w:p>
    <w:p>
      <w:pPr>
        <w:spacing w:before="164" w:line="222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（8）完成上级工商联及县委、县政府交办的其他任务。</w:t>
      </w:r>
    </w:p>
    <w:p>
      <w:pPr>
        <w:spacing w:before="163" w:line="221" w:lineRule="auto"/>
        <w:ind w:left="4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根据上述职责,县工商联机关内设2个股室。即：行政办公室、业务股。</w:t>
      </w:r>
    </w:p>
    <w:p>
      <w:pPr>
        <w:spacing w:before="164" w:line="316" w:lineRule="auto"/>
        <w:ind w:left="18" w:firstLine="4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行政办公室具体职责：负责综合协调、党务、政务、人事、劳资、文秘、公文管理</w:t>
      </w:r>
      <w:r>
        <w:rPr>
          <w:rFonts w:ascii="仿宋" w:hAnsi="仿宋" w:eastAsia="仿宋" w:cs="仿宋"/>
          <w:spacing w:val="-1"/>
          <w:sz w:val="32"/>
          <w:szCs w:val="32"/>
        </w:rPr>
        <w:t>、财务、档案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、信访、卫生和接待等工作，大小会议及活</w:t>
      </w:r>
      <w:r>
        <w:rPr>
          <w:rFonts w:ascii="仿宋" w:hAnsi="仿宋" w:eastAsia="仿宋" w:cs="仿宋"/>
          <w:spacing w:val="2"/>
          <w:sz w:val="32"/>
          <w:szCs w:val="32"/>
        </w:rPr>
        <w:t>动的策划筹备，帮助民营经济代表人士提高参政议政能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力和水平，积极反映社情民意，有序参与政治生活和社会事务。</w:t>
      </w:r>
    </w:p>
    <w:p>
      <w:pPr>
        <w:spacing w:before="162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业务股的具体职责：负责宣传党和国家的方针政策，加强对民营经济代表人士的培训教育</w:t>
      </w:r>
      <w:r>
        <w:rPr>
          <w:rFonts w:ascii="仿宋" w:hAnsi="仿宋" w:eastAsia="仿宋" w:cs="仿宋"/>
          <w:spacing w:val="-1"/>
          <w:sz w:val="32"/>
          <w:szCs w:val="32"/>
        </w:rPr>
        <w:t>，密切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1440" w:bottom="0" w:left="1466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316" w:lineRule="auto"/>
        <w:ind w:left="2" w:firstLine="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同民营经济人士的联系，搭建县委、县政府与民营经济人士联系沟通的平台，</w:t>
      </w:r>
      <w:r>
        <w:rPr>
          <w:rFonts w:ascii="仿宋" w:hAnsi="仿宋" w:eastAsia="仿宋" w:cs="仿宋"/>
          <w:spacing w:val="2"/>
          <w:sz w:val="32"/>
          <w:szCs w:val="32"/>
        </w:rPr>
        <w:t>为民营企业提供信息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咨询、法律维权、融资担保、人才开发等方面的服务；指导</w:t>
      </w:r>
      <w:r>
        <w:rPr>
          <w:rFonts w:ascii="仿宋" w:hAnsi="仿宋" w:eastAsia="仿宋" w:cs="仿宋"/>
          <w:spacing w:val="3"/>
          <w:sz w:val="32"/>
          <w:szCs w:val="32"/>
        </w:rPr>
        <w:t>和管理基层商会、行业商会，充分发挥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其在发展和管理会员、联系和服务企业方面的组织作用；发展新会员，建立民营经济人士信息库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,实现人才信息动态管理，对会员进行“团结、服务</w:t>
      </w:r>
      <w:r>
        <w:rPr>
          <w:rFonts w:ascii="仿宋" w:hAnsi="仿宋" w:eastAsia="仿宋" w:cs="仿宋"/>
          <w:spacing w:val="6"/>
          <w:sz w:val="32"/>
          <w:szCs w:val="32"/>
        </w:rPr>
        <w:t>、引导、教育”，引导他们“爱国、敬业、诚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信、守法、贡献”，维护会员的合法权益，发动会员积极参加相关的经济活动。</w:t>
      </w:r>
    </w:p>
    <w:p>
      <w:pPr>
        <w:spacing w:before="165" w:line="219" w:lineRule="auto"/>
        <w:ind w:left="47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二、2023年度部门工作任务</w:t>
      </w:r>
    </w:p>
    <w:p>
      <w:pPr>
        <w:spacing w:before="166" w:line="316" w:lineRule="auto"/>
        <w:ind w:left="7" w:firstLine="48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1.促进经贸交流，组织引导商会及企业积极参与各类推介会、经贸交流会；2.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开展苏陕协作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,对接洽谈寻求合作，力争在产业合作、公益捐赠等领域实现新突破；3. 加大非公有制经济代表人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士的培养，举办不同层面学习培训；4.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成立</w:t>
      </w:r>
      <w:r>
        <w:rPr>
          <w:rFonts w:ascii="仿宋" w:hAnsi="仿宋" w:eastAsia="仿宋" w:cs="仿宋"/>
          <w:spacing w:val="1"/>
          <w:sz w:val="32"/>
          <w:szCs w:val="32"/>
        </w:rPr>
        <w:t>镇坪县中药材产业商会，创建“四好”商会；5.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会员信息库建设；6.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完成“万企兴万村”各项工作；7、完成县委、县政府及市工商联安排的其它</w:t>
      </w:r>
    </w:p>
    <w:p>
      <w:pPr>
        <w:spacing w:line="220" w:lineRule="auto"/>
        <w:ind w:left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临时性工作任务。</w:t>
      </w:r>
    </w:p>
    <w:p>
      <w:pPr>
        <w:spacing w:before="166" w:line="219" w:lineRule="auto"/>
        <w:ind w:left="471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三、部门预算单位</w:t>
      </w:r>
    </w:p>
    <w:p>
      <w:pPr>
        <w:spacing w:before="167" w:line="221" w:lineRule="auto"/>
        <w:ind w:left="4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纳入本部门2023年部门预算编制范围的二级预算单位共有0个，包括：</w:t>
      </w:r>
    </w:p>
    <w:p>
      <w:pPr>
        <w:spacing w:before="164" w:line="548" w:lineRule="exact"/>
        <w:ind w:left="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序号单位名称拟变动情况</w:t>
      </w:r>
    </w:p>
    <w:p>
      <w:pPr>
        <w:spacing w:line="222" w:lineRule="auto"/>
        <w:ind w:left="4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1镇坪县工商业联合会本级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1439" w:bottom="0" w:left="1461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420" w:lineRule="exact"/>
        <w:ind w:left="4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"/>
          <w:sz w:val="32"/>
          <w:szCs w:val="32"/>
        </w:rPr>
        <w:t>2……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58" w:lineRule="exact"/>
        <w:ind w:firstLine="488"/>
      </w:pPr>
      <w:r>
        <w:rPr>
          <w:position w:val="-1"/>
        </w:rPr>
        <w:drawing>
          <wp:inline distT="0" distB="0" distL="0" distR="0">
            <wp:extent cx="765810" cy="361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6338" cy="3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16" w:lineRule="auto"/>
        <w:ind w:left="4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本单位无下属单位。</w:t>
      </w:r>
    </w:p>
    <w:tbl>
      <w:tblPr>
        <w:tblStyle w:val="5"/>
        <w:tblW w:w="12573" w:type="dxa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848"/>
        <w:gridCol w:w="8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1530" w:type="dxa"/>
            <w:vAlign w:val="top"/>
          </w:tcPr>
          <w:p>
            <w:pPr>
              <w:spacing w:before="85" w:line="176" w:lineRule="auto"/>
              <w:ind w:left="24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2848" w:type="dxa"/>
            <w:vAlign w:val="top"/>
          </w:tcPr>
          <w:p>
            <w:pPr>
              <w:spacing w:before="85" w:line="176" w:lineRule="auto"/>
              <w:ind w:left="25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单位名称</w:t>
            </w:r>
          </w:p>
        </w:tc>
        <w:tc>
          <w:tcPr>
            <w:tcW w:w="8195" w:type="dxa"/>
            <w:vAlign w:val="top"/>
          </w:tcPr>
          <w:p>
            <w:pPr>
              <w:spacing w:before="85" w:line="176" w:lineRule="auto"/>
              <w:ind w:left="2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30" w:type="dxa"/>
            <w:vAlign w:val="top"/>
          </w:tcPr>
          <w:p>
            <w:pPr>
              <w:spacing w:before="148" w:line="181" w:lineRule="auto"/>
              <w:ind w:left="26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848" w:type="dxa"/>
            <w:vAlign w:val="top"/>
          </w:tcPr>
          <w:p>
            <w:pPr>
              <w:spacing w:before="95" w:line="192" w:lineRule="auto"/>
              <w:ind w:left="63" w:right="26" w:hanging="1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>镇坪县工商业联合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会</w:t>
            </w:r>
          </w:p>
        </w:tc>
        <w:tc>
          <w:tcPr>
            <w:tcW w:w="8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0" w:line="219" w:lineRule="auto"/>
        <w:ind w:left="477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四、部门人员情况说明</w:t>
      </w:r>
    </w:p>
    <w:p>
      <w:pPr>
        <w:spacing w:before="167" w:line="316" w:lineRule="auto"/>
        <w:ind w:left="21" w:firstLine="434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8"/>
          <w:sz w:val="32"/>
          <w:szCs w:val="32"/>
        </w:rPr>
        <w:t>截止2022年底，本部门人员编制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8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8"/>
          <w:sz w:val="32"/>
          <w:szCs w:val="32"/>
        </w:rPr>
        <w:t>人、事</w:t>
      </w:r>
      <w:r>
        <w:rPr>
          <w:rFonts w:ascii="仿宋" w:hAnsi="仿宋" w:eastAsia="仿宋" w:cs="仿宋"/>
          <w:spacing w:val="7"/>
          <w:sz w:val="32"/>
          <w:szCs w:val="32"/>
        </w:rPr>
        <w:t>业编制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pacing w:val="3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32"/>
          <w:szCs w:val="32"/>
        </w:rPr>
        <w:t>人、事业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人员0</w:t>
      </w:r>
      <w:r>
        <w:rPr>
          <w:rFonts w:ascii="仿宋" w:hAnsi="仿宋" w:eastAsia="仿宋" w:cs="仿宋"/>
          <w:spacing w:val="3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聘用人员2人、退休人员2人。</w:t>
      </w:r>
    </w:p>
    <w:p>
      <w:pPr>
        <w:spacing w:line="217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1440" w:bottom="0" w:left="1485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5250" w:lineRule="exact"/>
        <w:ind w:firstLine="2013"/>
      </w:pPr>
      <w:r>
        <w:rPr>
          <w:position w:val="-105"/>
        </w:rPr>
        <w:drawing>
          <wp:inline distT="0" distB="0" distL="0" distR="0">
            <wp:extent cx="6581775" cy="33337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3" w:line="219" w:lineRule="auto"/>
        <w:ind w:left="576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收支情况</w:t>
      </w:r>
    </w:p>
    <w:p>
      <w:pPr>
        <w:spacing w:before="167" w:line="547" w:lineRule="exact"/>
        <w:ind w:left="48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16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五、2023年部门预算收支说明</w:t>
      </w:r>
    </w:p>
    <w:p>
      <w:pPr>
        <w:spacing w:before="1" w:line="221" w:lineRule="auto"/>
        <w:ind w:left="4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（一）收支预算总体情况。</w:t>
      </w:r>
    </w:p>
    <w:p>
      <w:pPr>
        <w:spacing w:before="163" w:line="547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2023年本部门预算收入82.08万元，其中一般公共预算拨款收入82.08万元、政府性基金拨款收入</w:t>
      </w:r>
    </w:p>
    <w:p>
      <w:pPr>
        <w:spacing w:before="2"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0万元，2023年本部门预算收入较上年增加7.9万元，主要原因是单位人员经费增加了；2023年本部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1440" w:bottom="0" w:left="1453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547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门预算支出82.08万元，其中一般公共预算拨款支出82.08万元、政府性基金拨款支出0万元，2023年</w:t>
      </w:r>
    </w:p>
    <w:p>
      <w:pPr>
        <w:spacing w:before="1" w:line="220" w:lineRule="auto"/>
        <w:ind w:left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本部门预算支出较上年增加7.9万元，主要原因是单位人员经费增加了。</w:t>
      </w:r>
    </w:p>
    <w:p>
      <w:pPr>
        <w:spacing w:before="165" w:line="222" w:lineRule="auto"/>
        <w:ind w:left="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（二）财政拨款收支情况。</w:t>
      </w:r>
    </w:p>
    <w:p>
      <w:pPr>
        <w:spacing w:before="161" w:line="316" w:lineRule="auto"/>
        <w:ind w:left="17" w:firstLine="45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2023年本部门财政拨款收入82.08万元，其中一般公共预算拨款收入82.08万元、政府性基金拨款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收入0万元，2023年本部门财政拨款收入较上年增加7.9万元，主要原因是单位人员经费增加了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;2023年本部门财政拨款支出82.08万元，其中一般公共预算拨款支出82.08万元、政府性基金拨款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支出0万元，2023年本部门财政拨款支出较上年增加7.9万元，主要原因是单位人员经费增加了。</w:t>
      </w:r>
    </w:p>
    <w:p>
      <w:pPr>
        <w:spacing w:before="164" w:line="222" w:lineRule="auto"/>
        <w:ind w:left="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一般公共预算拨款支出明细情况。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4" w:line="222" w:lineRule="auto"/>
        <w:ind w:left="4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1、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一般公共预算当年拨款规模变化情况。</w:t>
      </w:r>
    </w:p>
    <w:p>
      <w:pPr>
        <w:spacing w:before="164" w:line="547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2023年本部门当年一般公共预算拨款支出82.08万元，较上年增加7.9万元，主要原因是单位人员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经费增加了。</w:t>
      </w:r>
    </w:p>
    <w:p>
      <w:pPr>
        <w:spacing w:before="160" w:line="222" w:lineRule="auto"/>
        <w:ind w:left="4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2、支出按功能科目分类的明细情况。</w:t>
      </w:r>
    </w:p>
    <w:p>
      <w:pPr>
        <w:spacing w:before="163" w:line="222" w:lineRule="auto"/>
        <w:ind w:left="4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2023年本部门当年一般公共预算支出82.08万元，其中：</w:t>
      </w:r>
    </w:p>
    <w:p>
      <w:pPr>
        <w:spacing w:before="163" w:line="221" w:lineRule="auto"/>
        <w:ind w:left="4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行政运行（2010601）82.08万元，较上年增加7.9万元，主要原因是单位人员经费增加了；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1439" w:bottom="0" w:left="1461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221" w:lineRule="auto"/>
        <w:ind w:left="4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3、支出按经济科目分类的明细情况。</w:t>
      </w:r>
    </w:p>
    <w:p>
      <w:pPr>
        <w:spacing w:before="164" w:line="221" w:lineRule="auto"/>
        <w:ind w:left="4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（1）按照部门预算支出经济分类的类级科目说明。</w:t>
      </w:r>
    </w:p>
    <w:p>
      <w:pPr>
        <w:spacing w:before="163" w:line="222" w:lineRule="auto"/>
        <w:ind w:left="4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2023年本部门当年一般公共预算支出82.08万元，其中：</w:t>
      </w:r>
    </w:p>
    <w:p>
      <w:pPr>
        <w:spacing w:before="163" w:line="316" w:lineRule="auto"/>
        <w:ind w:left="467" w:right="409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工资福利支出（301）66.78万元，较上年增加14.4万元，原因是人员工资、津补</w:t>
      </w:r>
      <w:r>
        <w:rPr>
          <w:rFonts w:ascii="仿宋" w:hAnsi="仿宋" w:eastAsia="仿宋" w:cs="仿宋"/>
          <w:spacing w:val="-3"/>
          <w:sz w:val="32"/>
          <w:szCs w:val="32"/>
        </w:rPr>
        <w:t>贴等增加了；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商品和服务支出（302）15.3万元，较上年减少6.5万元，原因是其</w:t>
      </w:r>
      <w:r>
        <w:rPr>
          <w:rFonts w:ascii="仿宋" w:hAnsi="仿宋" w:eastAsia="仿宋" w:cs="仿宋"/>
          <w:spacing w:val="-3"/>
          <w:sz w:val="32"/>
          <w:szCs w:val="32"/>
        </w:rPr>
        <w:t>他商品和服务支出减少了；</w:t>
      </w:r>
    </w:p>
    <w:p>
      <w:pPr>
        <w:spacing w:before="1" w:line="221" w:lineRule="auto"/>
        <w:ind w:left="4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对个人和家庭的补助支出（303）0万元，与上年持平。</w:t>
      </w:r>
    </w:p>
    <w:p>
      <w:pPr>
        <w:spacing w:before="163" w:line="221" w:lineRule="auto"/>
        <w:ind w:left="4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（2）按照政府预算支出经济分类的类级科目说明。</w:t>
      </w:r>
    </w:p>
    <w:p>
      <w:pPr>
        <w:spacing w:before="164" w:line="222" w:lineRule="auto"/>
        <w:ind w:left="4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2023年本部门当年一般公共预算支出82.08万元，其中：</w:t>
      </w:r>
    </w:p>
    <w:p>
      <w:pPr>
        <w:spacing w:before="163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机关工资福利支出（501）66.78万元，较上年增加14.4万元，原因是人员工资、津补贴等</w:t>
      </w:r>
      <w:r>
        <w:rPr>
          <w:rFonts w:ascii="仿宋" w:hAnsi="仿宋" w:eastAsia="仿宋" w:cs="仿宋"/>
          <w:spacing w:val="-1"/>
          <w:sz w:val="32"/>
          <w:szCs w:val="32"/>
        </w:rPr>
        <w:t>增加了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49" w:line="229" w:lineRule="auto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z w:val="15"/>
          <w:szCs w:val="15"/>
        </w:rPr>
        <w:t>;</w:t>
      </w:r>
    </w:p>
    <w:p>
      <w:pPr>
        <w:spacing w:before="206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机关商品和服务支出（502）15.3万元，较上年增加6.5万元，原因是其他商品和服务支出</w:t>
      </w:r>
      <w:r>
        <w:rPr>
          <w:rFonts w:ascii="仿宋" w:hAnsi="仿宋" w:eastAsia="仿宋" w:cs="仿宋"/>
          <w:spacing w:val="-1"/>
          <w:sz w:val="32"/>
          <w:szCs w:val="32"/>
        </w:rPr>
        <w:t>减少了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50" w:line="229" w:lineRule="auto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z w:val="15"/>
          <w:szCs w:val="15"/>
        </w:rPr>
        <w:t>;</w:t>
      </w:r>
    </w:p>
    <w:p>
      <w:pPr>
        <w:spacing w:before="206" w:line="548" w:lineRule="exact"/>
        <w:ind w:left="4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机关资本性支出（一</w:t>
      </w:r>
      <w:r>
        <w:rPr>
          <w:rFonts w:ascii="仿宋" w:hAnsi="仿宋" w:eastAsia="仿宋" w:cs="仿宋"/>
          <w:spacing w:val="3"/>
          <w:position w:val="16"/>
          <w:sz w:val="32"/>
          <w:szCs w:val="32"/>
        </w:rPr>
        <w:t>）（</w:t>
      </w: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503）0万元，较上年增加（减少）0万元，原因是无资本性支出；</w:t>
      </w:r>
    </w:p>
    <w:p>
      <w:pPr>
        <w:spacing w:line="220" w:lineRule="auto"/>
        <w:ind w:left="4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机关资本性支出（二）（504）0万元，较上年增加（减少）0万元，原因是无</w:t>
      </w:r>
      <w:r>
        <w:rPr>
          <w:rFonts w:ascii="仿宋" w:hAnsi="仿宋" w:eastAsia="仿宋" w:cs="仿宋"/>
          <w:spacing w:val="-3"/>
          <w:sz w:val="32"/>
          <w:szCs w:val="32"/>
        </w:rPr>
        <w:t>资本性支出；</w:t>
      </w:r>
    </w:p>
    <w:p>
      <w:pPr>
        <w:spacing w:before="166" w:line="220" w:lineRule="auto"/>
        <w:ind w:right="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对事业单位经常性补助（505）0万元，</w:t>
      </w:r>
      <w:r>
        <w:rPr>
          <w:rFonts w:ascii="仿宋" w:hAnsi="仿宋" w:eastAsia="仿宋" w:cs="仿宋"/>
          <w:spacing w:val="3"/>
          <w:sz w:val="32"/>
          <w:szCs w:val="32"/>
        </w:rPr>
        <w:t>较上年增加（减少）0万元，原因是无对事业单位经常性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1440" w:bottom="0" w:left="1483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补助；</w:t>
      </w:r>
    </w:p>
    <w:p>
      <w:pPr>
        <w:spacing w:before="163" w:line="547" w:lineRule="exact"/>
        <w:ind w:right="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6"/>
          <w:sz w:val="32"/>
          <w:szCs w:val="32"/>
        </w:rPr>
        <w:t>对事业单位资本性补助（506）0万元，</w:t>
      </w:r>
      <w:r>
        <w:rPr>
          <w:rFonts w:ascii="仿宋" w:hAnsi="仿宋" w:eastAsia="仿宋" w:cs="仿宋"/>
          <w:spacing w:val="3"/>
          <w:position w:val="16"/>
          <w:sz w:val="32"/>
          <w:szCs w:val="32"/>
        </w:rPr>
        <w:t>较上年增加（减少）0万元，原因是无对事业单位资本性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补助。</w:t>
      </w:r>
    </w:p>
    <w:p>
      <w:pPr>
        <w:spacing w:before="163" w:line="547" w:lineRule="exact"/>
        <w:ind w:left="4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4、2022年结转财政资金一般公共预算拨款支出情况。</w:t>
      </w:r>
    </w:p>
    <w:p>
      <w:pPr>
        <w:spacing w:before="1" w:line="218" w:lineRule="auto"/>
        <w:ind w:left="4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本部门无2022年结转的一般公共预算拨款资金支出。</w:t>
      </w:r>
    </w:p>
    <w:p>
      <w:pPr>
        <w:spacing w:before="169" w:line="220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（四）政府性基金预算支出情况。</w:t>
      </w:r>
    </w:p>
    <w:p>
      <w:pPr>
        <w:spacing w:before="166" w:line="547" w:lineRule="exact"/>
        <w:ind w:left="4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1、本部门无当年政府性基金预算收支，并已公开空表。</w:t>
      </w:r>
    </w:p>
    <w:p>
      <w:pPr>
        <w:spacing w:before="1" w:line="218" w:lineRule="auto"/>
        <w:ind w:left="4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2、本部门无2022年结转的政府性基金预算</w:t>
      </w:r>
      <w:r>
        <w:rPr>
          <w:rFonts w:ascii="仿宋" w:hAnsi="仿宋" w:eastAsia="仿宋" w:cs="仿宋"/>
          <w:spacing w:val="-3"/>
          <w:sz w:val="32"/>
          <w:szCs w:val="32"/>
        </w:rPr>
        <w:t>拨款支出。</w:t>
      </w:r>
    </w:p>
    <w:p>
      <w:pPr>
        <w:spacing w:before="168" w:line="222" w:lineRule="auto"/>
        <w:ind w:left="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（五）国有资本经营预算拨款收支情况。</w:t>
      </w:r>
    </w:p>
    <w:p>
      <w:pPr>
        <w:spacing w:before="164" w:line="547" w:lineRule="exact"/>
        <w:ind w:left="4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本部门无当年国有资本经营预算拨款收支，并在财政拨款收支总体情况表中列示。</w:t>
      </w:r>
    </w:p>
    <w:p>
      <w:pPr>
        <w:spacing w:before="1" w:line="218" w:lineRule="auto"/>
        <w:ind w:left="4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本部门无2022年结转的国有资本经营预算拨款支出。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105" w:line="219" w:lineRule="auto"/>
        <w:ind w:left="543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其他说明情况</w:t>
      </w:r>
    </w:p>
    <w:p>
      <w:pPr>
        <w:spacing w:before="167" w:line="219" w:lineRule="auto"/>
        <w:ind w:left="468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六、部门预算“三公”经费等预算情况说明</w:t>
      </w:r>
    </w:p>
    <w:p>
      <w:pPr>
        <w:spacing w:before="167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2023年本部门当年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一般公共预算“三公”经费预算支出0.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1万元，较上年减少0.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1万元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6820" w:h="11900"/>
          <w:pgMar w:top="1011" w:right="1436" w:bottom="0" w:left="1466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316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（50%</w:t>
      </w:r>
      <w:r>
        <w:rPr>
          <w:rFonts w:ascii="仿宋" w:hAnsi="仿宋" w:eastAsia="仿宋" w:cs="仿宋"/>
          <w:spacing w:val="12"/>
          <w:sz w:val="32"/>
          <w:szCs w:val="32"/>
        </w:rPr>
        <w:t>），</w:t>
      </w:r>
      <w:r>
        <w:rPr>
          <w:rFonts w:ascii="仿宋" w:hAnsi="仿宋" w:eastAsia="仿宋" w:cs="仿宋"/>
          <w:spacing w:val="10"/>
          <w:sz w:val="32"/>
          <w:szCs w:val="32"/>
        </w:rPr>
        <w:t>减少的主要原因是公务接待费减少了。其中：因公出国（境）经费0万元，较上年增加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（减少）0万元（0%</w:t>
      </w:r>
      <w:r>
        <w:rPr>
          <w:rFonts w:ascii="仿宋" w:hAnsi="仿宋" w:eastAsia="仿宋" w:cs="仿宋"/>
          <w:spacing w:val="10"/>
          <w:sz w:val="32"/>
          <w:szCs w:val="32"/>
        </w:rPr>
        <w:t>），</w:t>
      </w:r>
      <w:r>
        <w:rPr>
          <w:rFonts w:ascii="仿宋" w:hAnsi="仿宋" w:eastAsia="仿宋" w:cs="仿宋"/>
          <w:spacing w:val="11"/>
          <w:sz w:val="32"/>
          <w:szCs w:val="32"/>
        </w:rPr>
        <w:t>增加（减少）的主要原因是无因公出</w:t>
      </w:r>
      <w:r>
        <w:rPr>
          <w:rFonts w:ascii="仿宋" w:hAnsi="仿宋" w:eastAsia="仿宋" w:cs="仿宋"/>
          <w:spacing w:val="10"/>
          <w:sz w:val="32"/>
          <w:szCs w:val="32"/>
        </w:rPr>
        <w:t>国（境）经费；公务接待费0.1万元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,较上年减少0.1万元，减少主要原因是公务</w:t>
      </w:r>
      <w:r>
        <w:rPr>
          <w:rFonts w:ascii="仿宋" w:hAnsi="仿宋" w:eastAsia="仿宋" w:cs="仿宋"/>
          <w:spacing w:val="14"/>
          <w:sz w:val="32"/>
          <w:szCs w:val="32"/>
        </w:rPr>
        <w:t>接待费减少了。公务用车运行费0万元，较上年增加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（减少）0万元（0%</w:t>
      </w:r>
      <w:r>
        <w:rPr>
          <w:rFonts w:ascii="仿宋" w:hAnsi="仿宋" w:eastAsia="仿宋" w:cs="仿宋"/>
          <w:spacing w:val="2"/>
          <w:sz w:val="32"/>
          <w:szCs w:val="32"/>
        </w:rPr>
        <w:t>），</w:t>
      </w:r>
      <w:r>
        <w:rPr>
          <w:rFonts w:ascii="仿宋" w:hAnsi="仿宋" w:eastAsia="仿宋" w:cs="仿宋"/>
          <w:spacing w:val="3"/>
          <w:sz w:val="32"/>
          <w:szCs w:val="32"/>
        </w:rPr>
        <w:t>主要原因是单位无公务用车；公务</w:t>
      </w:r>
      <w:r>
        <w:rPr>
          <w:rFonts w:ascii="仿宋" w:hAnsi="仿宋" w:eastAsia="仿宋" w:cs="仿宋"/>
          <w:spacing w:val="2"/>
          <w:sz w:val="32"/>
          <w:szCs w:val="32"/>
        </w:rPr>
        <w:t>用车购置费0万元，较上年无增加（减少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);会议费0万元，较上年较上年无增加（减少</w:t>
      </w:r>
      <w:r>
        <w:rPr>
          <w:rFonts w:ascii="仿宋" w:hAnsi="仿宋" w:eastAsia="仿宋" w:cs="仿宋"/>
          <w:spacing w:val="11"/>
          <w:sz w:val="32"/>
          <w:szCs w:val="32"/>
        </w:rPr>
        <w:t>）；</w:t>
      </w:r>
      <w:r>
        <w:rPr>
          <w:rFonts w:ascii="仿宋" w:hAnsi="仿宋" w:eastAsia="仿宋" w:cs="仿宋"/>
          <w:spacing w:val="8"/>
          <w:sz w:val="32"/>
          <w:szCs w:val="32"/>
        </w:rPr>
        <w:t>原因是无会议费;</w:t>
      </w:r>
      <w:r>
        <w:rPr>
          <w:rFonts w:ascii="仿宋" w:hAnsi="仿宋" w:eastAsia="仿宋" w:cs="仿宋"/>
          <w:spacing w:val="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培训费0万元，较上年无增加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（减少</w:t>
      </w:r>
      <w:r>
        <w:rPr>
          <w:rFonts w:ascii="仿宋" w:hAnsi="仿宋" w:eastAsia="仿宋" w:cs="仿宋"/>
          <w:spacing w:val="2"/>
          <w:sz w:val="32"/>
          <w:szCs w:val="32"/>
        </w:rPr>
        <w:t>）；</w:t>
      </w:r>
      <w:r>
        <w:rPr>
          <w:rFonts w:ascii="仿宋" w:hAnsi="仿宋" w:eastAsia="仿宋" w:cs="仿宋"/>
          <w:spacing w:val="-2"/>
          <w:sz w:val="32"/>
          <w:szCs w:val="32"/>
        </w:rPr>
        <w:t>原因是无会议费。</w:t>
      </w:r>
    </w:p>
    <w:p>
      <w:pPr>
        <w:spacing w:before="161" w:line="219" w:lineRule="auto"/>
        <w:ind w:left="4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本部门无2022年结转的财政拨款‘三公’经费支出。</w:t>
      </w:r>
    </w:p>
    <w:p>
      <w:pPr>
        <w:spacing w:before="169" w:line="219" w:lineRule="auto"/>
        <w:ind w:left="47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七、部门国有资产占有使用及资产购置情况说明</w:t>
      </w:r>
    </w:p>
    <w:p>
      <w:pPr>
        <w:spacing w:before="167" w:line="547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截止2022年底，本部门所属预算单位共有车辆0辆，单价20万元以上的设备0台（套）。202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3年当</w:t>
      </w:r>
    </w:p>
    <w:p>
      <w:pPr>
        <w:spacing w:line="219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年部门预算安排购置车辆0辆；安排购置单价20万元以上的设备0台（套）。</w:t>
      </w:r>
    </w:p>
    <w:p>
      <w:pPr>
        <w:spacing w:before="167" w:line="219" w:lineRule="auto"/>
        <w:ind w:left="4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本部门无2022年结转的财政拨款支出资产购置。</w:t>
      </w:r>
    </w:p>
    <w:p>
      <w:pPr>
        <w:spacing w:before="168" w:line="219" w:lineRule="auto"/>
        <w:ind w:left="47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八、部门政府采购情况说明</w:t>
      </w:r>
    </w:p>
    <w:p>
      <w:pPr>
        <w:spacing w:before="168" w:line="548" w:lineRule="exact"/>
        <w:ind w:left="4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本部门2023年无政府采购预算，并已公开空表。</w:t>
      </w:r>
    </w:p>
    <w:p>
      <w:pPr>
        <w:spacing w:before="1" w:line="218" w:lineRule="auto"/>
        <w:ind w:left="4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本部门无2022年结转的政府采购资金支出。</w:t>
      </w:r>
    </w:p>
    <w:p>
      <w:pPr>
        <w:spacing w:before="169" w:line="219" w:lineRule="auto"/>
        <w:ind w:left="479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九、部门预算绩效目标说明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pgSz w:w="16820" w:h="11900"/>
          <w:pgMar w:top="1011" w:right="1439" w:bottom="0" w:left="1461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547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6"/>
          <w:sz w:val="32"/>
          <w:szCs w:val="32"/>
        </w:rPr>
        <w:t>2023年本部门专项业务经费绩效目标管理全覆盖，涉及当年</w:t>
      </w:r>
      <w:r>
        <w:rPr>
          <w:rFonts w:ascii="仿宋" w:hAnsi="仿宋" w:eastAsia="仿宋" w:cs="仿宋"/>
          <w:spacing w:val="3"/>
          <w:position w:val="16"/>
          <w:sz w:val="32"/>
          <w:szCs w:val="32"/>
        </w:rPr>
        <w:t>一般公共预算拨款10万元,当年政府</w:t>
      </w:r>
    </w:p>
    <w:p>
      <w:pPr>
        <w:spacing w:line="220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性基金预算拨款0万元，当年国有资本经营预算拨款0万元（详见公开报表中的绩效目标表）。</w:t>
      </w:r>
    </w:p>
    <w:p>
      <w:pPr>
        <w:spacing w:before="165" w:line="219" w:lineRule="auto"/>
        <w:ind w:left="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本部门无2022年结转的财政拨款支出涉及</w:t>
      </w:r>
      <w:r>
        <w:rPr>
          <w:rFonts w:ascii="仿宋" w:hAnsi="仿宋" w:eastAsia="仿宋" w:cs="仿宋"/>
          <w:spacing w:val="-3"/>
          <w:sz w:val="32"/>
          <w:szCs w:val="32"/>
        </w:rPr>
        <w:t>的绩效目标管理。</w:t>
      </w:r>
    </w:p>
    <w:p>
      <w:pPr>
        <w:spacing w:before="168" w:line="547" w:lineRule="exact"/>
        <w:ind w:left="4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16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十、机关运行经费安排说明</w:t>
      </w:r>
    </w:p>
    <w:p>
      <w:pPr>
        <w:spacing w:line="219" w:lineRule="auto"/>
        <w:ind w:left="4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十一、专业名词解释</w:t>
      </w:r>
    </w:p>
    <w:p>
      <w:pPr>
        <w:spacing w:before="168" w:line="547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6"/>
          <w:sz w:val="32"/>
          <w:szCs w:val="32"/>
        </w:rPr>
        <w:t>1.机关运行经费:本部门当年机关运行经费预算安排2.24万元，较上年增加0.56万元，主要原因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是差旅费等费用减少了。</w:t>
      </w:r>
    </w:p>
    <w:p>
      <w:pPr>
        <w:spacing w:before="161" w:line="219" w:lineRule="auto"/>
        <w:ind w:left="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本部门无2022年结转的财政拨款机关运行经费支出。</w:t>
      </w:r>
    </w:p>
    <w:p>
      <w:pPr>
        <w:spacing w:before="168" w:line="514" w:lineRule="exact"/>
        <w:ind w:left="59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position w:val="1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宋体" w:hAnsi="宋体" w:eastAsia="宋体" w:cs="宋体"/>
          <w:spacing w:val="12"/>
          <w:position w:val="1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4"/>
          <w:position w:val="14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公开报表</w:t>
      </w:r>
    </w:p>
    <w:p>
      <w:pPr>
        <w:spacing w:line="219" w:lineRule="auto"/>
        <w:ind w:left="5917"/>
        <w:rPr>
          <w:rFonts w:ascii="宋体" w:hAnsi="宋体" w:eastAsia="宋体" w:cs="宋体"/>
          <w:sz w:val="28"/>
          <w:szCs w:val="28"/>
        </w:rPr>
        <w:sectPr>
          <w:pgSz w:w="16820" w:h="11900"/>
          <w:pgMar w:top="1011" w:right="1439" w:bottom="0" w:left="1462" w:header="0" w:footer="0" w:gutter="0"/>
          <w:cols w:space="720" w:num="1"/>
        </w:sectPr>
      </w:pPr>
      <w:r>
        <w:rPr>
          <w:rFonts w:ascii="宋体" w:hAnsi="宋体" w:eastAsia="宋体" w:cs="宋体"/>
          <w:spacing w:val="-6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见附件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2内容</w:t>
      </w:r>
      <w:r>
        <w:rPr>
          <w:rFonts w:ascii="宋体" w:hAnsi="宋体" w:eastAsia="宋体" w:cs="宋体"/>
          <w:spacing w:val="-6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>
      <w:pPr>
        <w:rPr>
          <w:rFonts w:ascii="Arial"/>
          <w:sz w:val="21"/>
        </w:rPr>
      </w:pPr>
      <w:bookmarkStart w:id="0" w:name="_GoBack"/>
      <w:bookmarkEnd w:id="0"/>
    </w:p>
    <w:sectPr>
      <w:pgSz w:w="16840" w:h="11900"/>
      <w:pgMar w:top="715" w:right="715" w:bottom="0" w:left="7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QyODgzZTBiNDNhNDM4ZjZiZjMzYzA1ODU5MGYzZDcifQ=="/>
  </w:docVars>
  <w:rsids>
    <w:rsidRoot w:val="00000000"/>
    <w:rsid w:val="0E643D0E"/>
    <w:rsid w:val="120B2C12"/>
    <w:rsid w:val="14642A33"/>
    <w:rsid w:val="6FCC3C3C"/>
    <w:rsid w:val="7D6F0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8763</Words>
  <Characters>11048</Characters>
  <TotalTime>25</TotalTime>
  <ScaleCrop>false</ScaleCrop>
  <LinksUpToDate>false</LinksUpToDate>
  <CharactersWithSpaces>11438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2023-05-04T10:32:00Z</dcterms:created>
  <dc:creator>16927</dc:creator>
  <cp:lastModifiedBy>Administrator</cp:lastModifiedBy>
  <cp:lastPrinted>2023-05-09T02:13:08Z</cp:lastPrinted>
  <dcterms:modified xsi:type="dcterms:W3CDTF">2023-05-09T02:13:16Z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2023-05-04T10:33:33Z</vt:filetime>
  </property>
  <property fmtid="{D5CDD505-2E9C-101B-9397-08002B2CF9AE}" pid="4" name="KSOProductBuildVer">
    <vt:lpwstr>2052-11.1.0.14309</vt:lpwstr>
  </property>
  <property fmtid="{D5CDD505-2E9C-101B-9397-08002B2CF9AE}" pid="5" name="ICV">
    <vt:lpwstr>10306EE0D9764EFFAEC3E8D664E97187_12</vt:lpwstr>
  </property>
</Properties>
</file>