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镇坪县小曙河卫生院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jc w:val="both"/>
        <w:rPr>
          <w:rFonts w:hint="eastAsia"/>
          <w:highlight w:val="none"/>
          <w:lang w:eastAsia="zh-CN"/>
        </w:rPr>
      </w:pPr>
    </w:p>
    <w:p>
      <w:pPr>
        <w:jc w:val="center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镇坪县小曙河卫生院属二级预算事业单位，主要职能是为人民身体健康提供基本医疗与预防保健服务。内设预防保健科，内（儿）科、外科、检验科、中医科、中西药房、收费室等，编制10名，实有编制人员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持续做好医疗卫生与预防保健服务工作，加强医疗质量管理，提高医疗质量和服务水平，加强医德医风、精神文明、党风廉政建设工作。进一步做实、做细14项基本公共卫生服务工作，切实执行好国家的各项惠民政策，切实做好突发公共卫生事件处理。加强中医适宜技术及人才培养，努力提高全员素质;以质量治理为核心，不断提高医疗服务水平;以安全治理为重点，切实保障医疗安全。全力完成各项工作任务，促进我院卫生事业全面、协调、可持续发展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本单位为二级预算单位，所属部门是镇坪县卫生健康局。</w:t>
      </w:r>
    </w:p>
    <w:p>
      <w:pPr>
        <w:spacing w:before="104" w:line="216" w:lineRule="auto"/>
        <w:ind w:left="457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本单位无下属单位。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394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spacing w:before="104" w:line="216" w:lineRule="auto"/>
              <w:rPr>
                <w:rFonts w:hint="eastAsia" w:ascii="仿宋" w:hAnsi="仿宋" w:eastAsia="仿宋" w:cs="仿宋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46" w:type="dxa"/>
          </w:tcPr>
          <w:p>
            <w:pPr>
              <w:spacing w:before="104" w:line="216" w:lineRule="auto"/>
              <w:rPr>
                <w:rFonts w:hint="eastAsia" w:ascii="仿宋" w:hAnsi="仿宋" w:eastAsia="仿宋" w:cs="仿宋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41" w:type="dxa"/>
          </w:tcPr>
          <w:p>
            <w:pPr>
              <w:spacing w:before="104" w:line="216" w:lineRule="auto"/>
              <w:rPr>
                <w:rFonts w:hint="eastAsia" w:ascii="仿宋" w:hAnsi="仿宋" w:eastAsia="仿宋" w:cs="仿宋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  <w:vertAlign w:val="baseline"/>
                <w:lang w:val="en-US" w:eastAsia="zh-CN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5" w:type="dxa"/>
          </w:tcPr>
          <w:p>
            <w:pPr>
              <w:spacing w:before="104" w:line="216" w:lineRule="auto"/>
              <w:rPr>
                <w:rFonts w:hint="eastAsia" w:ascii="仿宋" w:hAnsi="仿宋" w:eastAsia="仿宋" w:cs="仿宋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46" w:type="dxa"/>
          </w:tcPr>
          <w:p>
            <w:pPr>
              <w:spacing w:before="104" w:line="216" w:lineRule="auto"/>
              <w:rPr>
                <w:rFonts w:hint="default" w:ascii="仿宋" w:hAnsi="仿宋" w:eastAsia="仿宋" w:cs="仿宋"/>
                <w:spacing w:val="-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32"/>
                <w:szCs w:val="32"/>
                <w:vertAlign w:val="baseline"/>
                <w:lang w:val="en-US" w:eastAsia="zh-CN"/>
              </w:rPr>
              <w:t>镇坪县小曙河卫生院</w:t>
            </w:r>
          </w:p>
        </w:tc>
        <w:tc>
          <w:tcPr>
            <w:tcW w:w="2841" w:type="dxa"/>
          </w:tcPr>
          <w:p>
            <w:pPr>
              <w:spacing w:before="104" w:line="216" w:lineRule="auto"/>
              <w:rPr>
                <w:rFonts w:ascii="仿宋" w:hAnsi="仿宋" w:eastAsia="仿宋" w:cs="仿宋"/>
                <w:spacing w:val="-7"/>
                <w:sz w:val="32"/>
                <w:szCs w:val="32"/>
                <w:vertAlign w:val="baseline"/>
              </w:rPr>
            </w:pPr>
          </w:p>
        </w:tc>
      </w:tr>
    </w:tbl>
    <w:p>
      <w:pPr>
        <w:spacing w:before="104" w:line="216" w:lineRule="auto"/>
        <w:ind w:left="457"/>
        <w:rPr>
          <w:rFonts w:ascii="仿宋" w:hAnsi="仿宋" w:eastAsia="仿宋" w:cs="仿宋"/>
          <w:spacing w:val="-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四、人员情况说明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本部门人员编制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10人，其中行政编制0人、事业编制10人；实有人员9人，其中行政0人、事业9人。单位管理的离退休人员5人。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object>
          <v:shape id="_x0000_i1025" o:spt="75" type="#_x0000_t75" style="height:222.75pt;width:366.7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4">
            <o:LockedField>false</o:LockedField>
          </o:OLEObject>
        </w:objec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按照综合预算的原则，本部门所有收入和支出均纳入部门预算管理。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本部门当年预算收入91.42万元，其中一般公共预算拨款收入91.42万元，较上年增加减少2.37万元，主要原因是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；本部门当年预算支出91.42万元，其中一般公共预算拨款支出91.42万元，较上年减少2.37万元，主要原因是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本部门当年财政拨款收入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91.42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万元，其中一般共预算拨款收入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91.42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万元，较上年增加减少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；本部门当年财政拨款支出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91.42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91.42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当年拨款规模变化情况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91.42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万元，较上年减少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当年一般公共预算支出91.42万元，其中：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事业运行（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2010650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，较上年减少2.37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分类的类级科目说明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公共预算拨款支出情况，将相关数据与上年对比，分析增减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变化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原因。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本部门当年一般公共预算支出91.42万元，其中：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91.42万元，较上年增加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分类的类级科目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说明当年一般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公共预算拨款支出情况。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本部门当年一般公共预算支出91.42万元，其中：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91.42万元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国有资本经营预算收支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年，本部门无三公经费预算。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本部门2022年一般公共预算未安排“三公”经费支出。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年结转的财政拨款‘三公’经费支出。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2022年底，本部门所属预算单位共有车辆0辆，单价20万元以上的设备1台（套）。当年部门预算安排购置车辆0辆；安排购置单价20万元以上的设备0台（套）。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采购预算，并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已公开空表。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本部门绩效目标管理全覆盖，涉及当年一般公共预算当年拨款91.42万元,当年政府性基金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预算当年拨款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0万元，当年国有资本经营预算拨款0万元（详见公开报表中的绩效目标表）。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当年无机关运行经费预算安排。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（机关运行经费为必须解释的专业名词，其他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专业名词解释可由部门根据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业务内容等自行选择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。）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（见附件2内容）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outlineLvl w:val="9"/>
        <w:rPr>
          <w:rFonts w:hint="default" w:ascii="FangSong_GB2312" w:hAnsi="FangSong_GB2312" w:eastAsia="FangSong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Q2ZGY0YmMzZmM4NmI5NTVlOTNhZjY4OTMwMmQzMDMifQ=="/>
  </w:docVars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4320FD9"/>
    <w:rsid w:val="049A40D7"/>
    <w:rsid w:val="04A216F1"/>
    <w:rsid w:val="04DD00BC"/>
    <w:rsid w:val="04FB7C1A"/>
    <w:rsid w:val="06F35E18"/>
    <w:rsid w:val="07C63897"/>
    <w:rsid w:val="09B770EC"/>
    <w:rsid w:val="0D930FB4"/>
    <w:rsid w:val="104E7D4B"/>
    <w:rsid w:val="176D6084"/>
    <w:rsid w:val="17E3395E"/>
    <w:rsid w:val="17F005D0"/>
    <w:rsid w:val="18696069"/>
    <w:rsid w:val="2AB33CDA"/>
    <w:rsid w:val="2B6E114C"/>
    <w:rsid w:val="2DD21556"/>
    <w:rsid w:val="2EB57C9F"/>
    <w:rsid w:val="32383B0A"/>
    <w:rsid w:val="32DB48BA"/>
    <w:rsid w:val="33801EA2"/>
    <w:rsid w:val="34B74C75"/>
    <w:rsid w:val="35457DE0"/>
    <w:rsid w:val="35555E4E"/>
    <w:rsid w:val="359252AB"/>
    <w:rsid w:val="388B0D2A"/>
    <w:rsid w:val="388F6532"/>
    <w:rsid w:val="3B975BF3"/>
    <w:rsid w:val="3DC7004C"/>
    <w:rsid w:val="43606DFF"/>
    <w:rsid w:val="43922513"/>
    <w:rsid w:val="44EE2C86"/>
    <w:rsid w:val="46F073D7"/>
    <w:rsid w:val="47F51DA1"/>
    <w:rsid w:val="48246A25"/>
    <w:rsid w:val="4974495A"/>
    <w:rsid w:val="4AFD517E"/>
    <w:rsid w:val="4EAF467F"/>
    <w:rsid w:val="4F4E6E0F"/>
    <w:rsid w:val="53D82CB6"/>
    <w:rsid w:val="549A0EDD"/>
    <w:rsid w:val="5900561E"/>
    <w:rsid w:val="5A7F118D"/>
    <w:rsid w:val="5C2757BE"/>
    <w:rsid w:val="5FDD417D"/>
    <w:rsid w:val="60A76F05"/>
    <w:rsid w:val="62770932"/>
    <w:rsid w:val="63ED0CD3"/>
    <w:rsid w:val="667728BC"/>
    <w:rsid w:val="675B6F91"/>
    <w:rsid w:val="67B17BDD"/>
    <w:rsid w:val="69090D36"/>
    <w:rsid w:val="6EF66EF9"/>
    <w:rsid w:val="6FA86D5D"/>
    <w:rsid w:val="70154C98"/>
    <w:rsid w:val="72576549"/>
    <w:rsid w:val="74A97633"/>
    <w:rsid w:val="74EA18BC"/>
    <w:rsid w:val="76C5247B"/>
    <w:rsid w:val="770A55ED"/>
    <w:rsid w:val="78B06DDB"/>
    <w:rsid w:val="7CB67331"/>
    <w:rsid w:val="7E30253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FollowedHyperlink"/>
    <w:basedOn w:val="6"/>
    <w:semiHidden/>
    <w:qFormat/>
    <w:uiPriority w:val="99"/>
    <w:rPr>
      <w:rFonts w:cs="Times New Roman"/>
      <w:color w:val="800080"/>
      <w:u w:val="single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Plain Text Char"/>
    <w:basedOn w:val="6"/>
    <w:link w:val="2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2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table" w:customStyle="1" w:styleId="1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3508</Words>
  <Characters>3662</Characters>
  <Lines>0</Lines>
  <Paragraphs>0</Paragraphs>
  <TotalTime>6</TotalTime>
  <ScaleCrop>false</ScaleCrop>
  <LinksUpToDate>false</LinksUpToDate>
  <CharactersWithSpaces>3696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NTKO</cp:lastModifiedBy>
  <cp:lastPrinted>2020-04-13T01:53:00Z</cp:lastPrinted>
  <dcterms:modified xsi:type="dcterms:W3CDTF">2023-04-09T12:24:54Z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1A188D59BE594973B3B2769BC40F10FE_12</vt:lpwstr>
  </property>
</Properties>
</file>