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镇坪县残联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highlight w:val="none"/>
          <w:lang w:eastAsia="zh-CN"/>
        </w:rPr>
        <w:t>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主要职责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1.宣传贯彻《中华人民共和国残疾人保障法》，维护残疾人在政治、经济、文化、社会和家庭生活等方面同其他公民平等的权利，密切联系残疾人，听取残疾人意见，反映残疾人需求，全心全意为残疾人服务。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2.弘扬人道主义，宣传残疾人事业，沟通政府、社会与残疾人之间的联系，动员社会理解、尊重、关心、帮助残疾人。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3.团结、教育残疾人遵守法律，履行应尽义务，发扬乐观进取精神，自尊、自信、自强、自立，为全面建设小康社会，推进现代化建设贡献力量。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4.协助政府研究、制定和实施残疾人事业的法规、政策、规划和计划，对有关业务领域进行指导和管理。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5.开展残疾人康复、教育、劳动就业、文化体育、科研、用品用具供应、福利、社会服务、无障碍设施和残疾预防工作，创造良好的环境和条件，扶助残疾人平等参与社会生活。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6.接待、处理残疾人来信来访。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做好第三代残疾人证发放管理工作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8.承担县政府残疾人工作协调委员会的日常工作，做好综合、组织、协调和服务工作。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eastAsia="仿宋_GB2312"/>
          <w:color w:val="333333"/>
          <w:sz w:val="32"/>
          <w:szCs w:val="32"/>
        </w:rPr>
        <w:t>负责听取残疾人意见，需求，维护其合法权益，为其服务；负责为残疾人办证、换证等工作；负责残疾人事业的宣传、教育、社团组织的管理和服务工作；负责调查研究残疾人事业的状况，向政府提出决策建议；协助组织实施残疾人康复、扶贫、就业等工作；负责残联工作年度计划、总结及有关文件起草工作；完成领导交办的其他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镇坪县残疾人联合会属群团机关，正科级事业单位（参公管理），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下属事业单位残疾人劳动就业服务1个；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编制人数8人，实有人数7人，其中：参公管理4人，理事长1名，副理事长1名，四级调研员1名，新招录公务员1名；事业编3人，其中：管理岗2人，机关高级工1人。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18周岁以下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不含18周岁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农村困难残疾儿童生活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补助工作；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（二）落实残疾儿童康复补助政策；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继续为全县残疾人办好十件实事；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按省、市残联工作要求，抓好农村残疾人专职委员队伍建设并落实好待遇；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完成县委、县政府安排的其他工作任务。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编制范围的单位共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个，包括本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级及所属1个二级预算单位,</w:t>
      </w: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从预算单位构成看，本部门的部门预算包括部门本级（镇坪县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），属一级行政部门预算单位，经费由县财政全额预算拨款。</w:t>
      </w:r>
    </w:p>
    <w:p>
      <w:pPr>
        <w:spacing w:line="560" w:lineRule="exact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年部门预算编制范围的二级预算单位共有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个，包括：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91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4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12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镇坪县残疾人联合会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12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镇坪县残疾人劳动就业服务所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无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镇坪县残疾人联合会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8人，其中：行政编制5人、事业编制3人；实有人员7人，其中：行政4人、事业3人。单位管理的离退休人员4人。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168140" cy="2903855"/>
            <wp:effectExtent l="4445" t="4445" r="18415" b="635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4"/>
        <w:rPr>
          <w:rFonts w:hint="eastAsia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年本部门预算收入163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元，其中一般公共预算拨款收入163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是专项业务经费及机关人员经费增加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专项业务经费及机关人员经费增加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年本部门预算收入163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元，其中一般公共预算拨款收入163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是专项业务经费及机关人员经费增加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专项业务经费及机关人员经费增加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一般公共预算当年拨款规模变化情况。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是人员及专项资金增加。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（1）行政运行（2081101）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减少7.12万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机关人员社保、医疗保险、住房公积金科目调整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残疾人康复</w:t>
      </w:r>
      <w:r>
        <w:rPr>
          <w:rFonts w:hint="eastAsia" w:ascii="仿宋_GB2312" w:hAnsi="仿宋_GB2312" w:eastAsia="仿宋_GB2312" w:cs="仿宋_GB2312"/>
          <w:sz w:val="32"/>
          <w:szCs w:val="32"/>
        </w:rPr>
        <w:t>（2081104）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新增残疾人康复项目及精神病免费服药支出增加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残疾人生活和护理补贴（2081107）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该专项资金为新增科目；</w:t>
      </w:r>
    </w:p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他残疾人事业支出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2081199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）26.86万元，较上年支出持平。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（6）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机关事业单位基本养老保险缴费支出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（2080505）12.5万元，是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人员经费，较上年增加12.5万元，原因是规范功能科目使用，为人员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基本养老保险缴费支出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（7）行政单位医疗（2101102）8.9万元，是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较上年增加8.9万元，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原因是规范功能科目使用，为机关人员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医疗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（8）住房公积金（2210201）9.54万元，是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较上年增加9.54万元，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原因是规范功能科目使用，为行政人员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医疗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2023年本部门当年一般公共预算支出163.39万元，其中：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101.24万元，较上年增加31.15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机关新进人员增加，部门在编人员工资普调、职务晋升、增加基础性绩效奖等增加。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8.7万元，较上年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压减公用经费，节约开支。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对个人和家庭的补助支出（303）33.86万元，较上年增加11.60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残疾人康复支出增加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其他支出（399）10万元，较上年增加10万元，原因科目调整。</w:t>
      </w:r>
    </w:p>
    <w:p>
      <w:pPr>
        <w:pStyle w:val="4"/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2023年度本部门当年一般公共预算支出163.39万元，其中：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101.24万元，较上年增加31.15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机关新进人员增加，部门在编人员工资普调、职务晋升、增加基础性绩效奖等增加。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8.7万元，较上年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压减公用经费，节约开支。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机关资本性支出（509）33.86万元，较上年增加11.60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残疾人康复支出增加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4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其他支出（599）10万元，较上年增加10万元，原因科目调整。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政府性基金预算收支，并已公开空表。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年本部门当年一般公共预算“三公”经费预算支出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年结转的财政拨款‘三公’经费支出”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年底，本部门所属预算单位共有车辆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年当年部门预算安排购置车辆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辆；安排购置单价20万元以上的设备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年结转的财政拨款支出资产购置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年无政府采购预算，并已公开空表。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年结转的政府采购资金支出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年本部门专项业务经费绩效目标管理全覆盖，涉及当年一般公共预算拨款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53.46万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元,当年政府性基金预算拨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元，当年国有资本经营预算拨款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年结转的财政拨款机关运行经费支出。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2249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5E2D8"/>
    <w:multiLevelType w:val="singleLevel"/>
    <w:tmpl w:val="9B95E2D8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692771"/>
    <w:rsid w:val="049A40D7"/>
    <w:rsid w:val="04A216F1"/>
    <w:rsid w:val="04DD00BC"/>
    <w:rsid w:val="04FB7C1A"/>
    <w:rsid w:val="05EB38EC"/>
    <w:rsid w:val="07C63897"/>
    <w:rsid w:val="09B770EC"/>
    <w:rsid w:val="0D930FB4"/>
    <w:rsid w:val="104E7D4B"/>
    <w:rsid w:val="107D3C8E"/>
    <w:rsid w:val="142D4768"/>
    <w:rsid w:val="176D6084"/>
    <w:rsid w:val="17E3395E"/>
    <w:rsid w:val="18696069"/>
    <w:rsid w:val="202A771F"/>
    <w:rsid w:val="28855F74"/>
    <w:rsid w:val="2A770042"/>
    <w:rsid w:val="2B6E114C"/>
    <w:rsid w:val="2DD21556"/>
    <w:rsid w:val="2EB57C9F"/>
    <w:rsid w:val="2F0F4843"/>
    <w:rsid w:val="32383B0A"/>
    <w:rsid w:val="32DB48BA"/>
    <w:rsid w:val="33801EA2"/>
    <w:rsid w:val="34B74C75"/>
    <w:rsid w:val="35457DE0"/>
    <w:rsid w:val="35555E4E"/>
    <w:rsid w:val="359252AB"/>
    <w:rsid w:val="37B61BA2"/>
    <w:rsid w:val="388B0D2A"/>
    <w:rsid w:val="388F6532"/>
    <w:rsid w:val="3B725360"/>
    <w:rsid w:val="3B975BF3"/>
    <w:rsid w:val="3DC7004C"/>
    <w:rsid w:val="43606DFF"/>
    <w:rsid w:val="43922513"/>
    <w:rsid w:val="44EE2C86"/>
    <w:rsid w:val="46F073D7"/>
    <w:rsid w:val="47F51DA1"/>
    <w:rsid w:val="48246A25"/>
    <w:rsid w:val="487749C3"/>
    <w:rsid w:val="4974495A"/>
    <w:rsid w:val="4AFD517E"/>
    <w:rsid w:val="4EAF467F"/>
    <w:rsid w:val="4F4E6E0F"/>
    <w:rsid w:val="500C5EE4"/>
    <w:rsid w:val="50535EB6"/>
    <w:rsid w:val="53B703B0"/>
    <w:rsid w:val="53D82CB6"/>
    <w:rsid w:val="549A0EDD"/>
    <w:rsid w:val="5900561E"/>
    <w:rsid w:val="5A7F118D"/>
    <w:rsid w:val="5BC543A3"/>
    <w:rsid w:val="5C2757BE"/>
    <w:rsid w:val="5CC211E9"/>
    <w:rsid w:val="5D5B15D2"/>
    <w:rsid w:val="5E14031E"/>
    <w:rsid w:val="5E947665"/>
    <w:rsid w:val="5FDD417D"/>
    <w:rsid w:val="60A76F05"/>
    <w:rsid w:val="61880299"/>
    <w:rsid w:val="61C15C18"/>
    <w:rsid w:val="62770932"/>
    <w:rsid w:val="62A43F7B"/>
    <w:rsid w:val="6319145A"/>
    <w:rsid w:val="63ED0CD3"/>
    <w:rsid w:val="667728BC"/>
    <w:rsid w:val="66E813EF"/>
    <w:rsid w:val="675B6F91"/>
    <w:rsid w:val="67B17BDD"/>
    <w:rsid w:val="68010F89"/>
    <w:rsid w:val="69090D36"/>
    <w:rsid w:val="6A651A79"/>
    <w:rsid w:val="6C34039A"/>
    <w:rsid w:val="6CB232EF"/>
    <w:rsid w:val="6D1B57BE"/>
    <w:rsid w:val="6EF66EF9"/>
    <w:rsid w:val="6F0E473F"/>
    <w:rsid w:val="6FA86D5D"/>
    <w:rsid w:val="70154C98"/>
    <w:rsid w:val="72576549"/>
    <w:rsid w:val="7307442C"/>
    <w:rsid w:val="74A97633"/>
    <w:rsid w:val="74EA18BC"/>
    <w:rsid w:val="76C5247B"/>
    <w:rsid w:val="770A55ED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Calibri" w:hAnsi="Calibri"/>
      <w:sz w:val="24"/>
      <w:szCs w:val="30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Plain Text"/>
    <w:basedOn w:val="1"/>
    <w:link w:val="14"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FollowedHyperlink"/>
    <w:basedOn w:val="10"/>
    <w:semiHidden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Plain Text Char"/>
    <w:basedOn w:val="10"/>
    <w:link w:val="6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5">
    <w:name w:val="Foot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0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36489197977869"/>
                  <c:y val="0.12087669259078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8人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24987817266231"/>
                  <c:y val="-0.17491673166153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7人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763338633192708"/>
                  <c:y val="-0.090277527299642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997876946833682"/>
                  <c:y val="0.041181396012718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506974641298414"/>
                  <c:y val="0.12976437478954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编制总数</c:v>
                </c:pt>
                <c:pt idx="1">
                  <c:v>实有人数</c:v>
                </c:pt>
                <c:pt idx="2">
                  <c:v>实有行政在编人数</c:v>
                </c:pt>
                <c:pt idx="3">
                  <c:v>实有事业在编</c:v>
                </c:pt>
                <c:pt idx="4">
                  <c:v>退休人员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944546008531383"/>
          <c:y val="0.82898852971845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247</Words>
  <Characters>1413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Administrator</cp:lastModifiedBy>
  <cp:lastPrinted>2023-05-11T12:39:11Z</cp:lastPrinted>
  <dcterms:modified xsi:type="dcterms:W3CDTF">2023-05-11T12:40:08Z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