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镇坪县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钟宝</w:t>
      </w:r>
      <w:r>
        <w:rPr>
          <w:rFonts w:ascii="黑体" w:hAnsi="黑体" w:eastAsia="黑体" w:cs="黑体"/>
          <w:sz w:val="36"/>
          <w:szCs w:val="36"/>
        </w:rPr>
        <w:t>镇小学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2023年部门预算公开说明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部门概况</w:t>
      </w: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一、主要职责及机构设置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二、工作任务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三、预算单位构成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四、人员情况说明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第二部分 收支情况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五、收支说明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其他情况</w:t>
      </w:r>
    </w:p>
    <w:p>
      <w:pPr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六、“三公”经费及会议费、培训费情况说明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七、国有资产占有使用及资产购置情况说明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八、政府采购情况说明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九、绩效目标说明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十、机关运行经费安排说明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十一、专业名词解释</w:t>
      </w: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  公开报表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（具体预算公开报表）</w:t>
      </w: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 部门概况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一、主要职责及机构设置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1、主要职责:贯彻党和国家的教育方针、政策及法律、法规，全面实施小学学历教育,促进基础教育发展,大力推动学前教育。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2、机构设置:设置党支部、校长办、教务处、总务处、工会、少先大队部等机构。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二、工作任务</w:t>
      </w:r>
    </w:p>
    <w:p>
      <w:pPr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1、管理目标:加强班子建设，明确岗位职责,落实考核工作，各项活动实行项目管理，通过实现各部门的目标带动学校整体工作的开展。</w:t>
      </w:r>
    </w:p>
    <w:p>
      <w:pPr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2、党建工作目标:发挥党支部先锋模范作用，推进师德师风建设，进一步抓好“四风”建设。</w:t>
      </w:r>
    </w:p>
    <w:p>
      <w:pPr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3、德育目标:坚持育人为本、德育为首。加强礼仪教育与文明习惯养成教育。</w:t>
      </w:r>
    </w:p>
    <w:p>
      <w:pPr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4、安全稳定目标:校园安全稳定，确保无群体性事件和重大安全事故。</w:t>
      </w:r>
    </w:p>
    <w:p>
      <w:pPr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5、后勤服务目标:管理好食堂、学生宿舍，进一步改善办学条件,做好服务育人。</w:t>
      </w:r>
    </w:p>
    <w:p>
      <w:pPr>
        <w:spacing w:line="560" w:lineRule="exact"/>
        <w:ind w:firstLine="64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6、教学目标:加强常规教学管理，积极深入推动教育科研工作，力争教育教学效率居全县上游水平。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三、预算单位构成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钟宝</w:t>
      </w:r>
      <w:r>
        <w:rPr>
          <w:rFonts w:ascii="仿宋_GB2312" w:hAnsi="仿宋_GB2312" w:eastAsia="仿宋_GB2312" w:cs="仿宋_GB2312"/>
          <w:sz w:val="32"/>
          <w:szCs w:val="32"/>
        </w:rPr>
        <w:t>镇小学属镇坪县教育体育和科技局的下属二级预算单位。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91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91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镇坪县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钟宝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镇小学</w:t>
            </w:r>
          </w:p>
        </w:tc>
        <w:tc>
          <w:tcPr>
            <w:tcW w:w="201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</w:tbl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四、人员情况说明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5" o:spt="75" alt="" type="#_x0000_t75" style="height:181.75pt;width:240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收支情况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五、收支说明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（一）收支预算总体情况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万元、政府性基金拨款收入 0 万元，202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年本部门预算收入较上年增加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>万元，主要原因是在职人员工资标准提高，工资福利支出增加；202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万元、政府性基金拨款支出 0 万元，202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年本部门预算支出较上年增加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>万元，主要原因是在职人员工资标准提高，工资福利支出增加。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万元，其中一般公共预 算拨款收入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万元、政府性基金拨款收入 0 万元，202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 本部门财政拨款收入较上年增加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>万元，主要原因是工资标准提高，工资福利支出增加；202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万元、 政府性基金拨款支出 0 万元，202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年本部门财政拨款支出较上年增加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>万元，主要原因是工资标准提高，工资福利支出增加。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（三）一般公共预算拨款支出明细情况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>万元，主要原因是工资标准提高，工资福利支出增加。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万元，其中：小学教育（205020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 xml:space="preserve">万元，主要原因是工资标准提高，工资福利支出增加。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支出按经济科目分类的明细情况。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（1）按照部门预算支出经济分类的类级科目说明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 xml:space="preserve">万元，其中：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111.84</w:t>
      </w:r>
      <w:r>
        <w:rPr>
          <w:rFonts w:ascii="仿宋_GB2312" w:hAnsi="仿宋_GB2312" w:eastAsia="仿宋_GB2312" w:cs="仿宋_GB2312"/>
          <w:sz w:val="32"/>
          <w:szCs w:val="32"/>
        </w:rPr>
        <w:t xml:space="preserve">万元， 原因是工资标准提高，工资福利支出增加；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对个人和家庭的补助支出（303）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11.86</w:t>
      </w:r>
      <w:r>
        <w:rPr>
          <w:rFonts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遗属增加1人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（2）按照政府预算支出经济分类的类级科目说明。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 xml:space="preserve"> 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 xml:space="preserve">万元，其中：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工资福利支出（50501）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111.84万</w:t>
      </w:r>
      <w:r>
        <w:rPr>
          <w:rFonts w:ascii="仿宋_GB2312" w:hAnsi="仿宋_GB2312" w:eastAsia="仿宋_GB2312" w:cs="仿宋_GB2312"/>
          <w:sz w:val="32"/>
          <w:szCs w:val="32"/>
        </w:rPr>
        <w:t>元，原因是工资标准提高，工资福利支出增加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 xml:space="preserve">年结转财政资金一般公共预算拨款支出情况。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年结转的一般公共预算拨款资金支出。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（四）政府性基金预算支出情况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当年政府性基金预算支出情况。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本部门无当年政府性基金预算支出，并已公开空表。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上年结转政府性基金预算支出情况。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本部门无2022年结转的政府性基金预算拨款支出。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（五）国有资本经营预算拨款收支情况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本部门无当年国有资本经营预算拨款收支，并在财政拨款收支总体情况表中列示。 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年结转的国有资本经营预算拨款支出。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六、“三公”经费及会议费、培训费情况说明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年“三公”经费等预算支出。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七、国有资产占有使用及资产购置情况说明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截止2022年底，本部门所属预算单位无车辆。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年当年部门预算安排购置车 辆 0 辆；安排购置单价 20 万元以上的设备 0 台（套）。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八、政府采购情况说明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本部门当年无政府采购预算，并已公开空表。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九、绩效目标情况说明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613.30</w:t>
      </w:r>
      <w:r>
        <w:rPr>
          <w:rFonts w:ascii="仿宋_GB2312" w:hAnsi="仿宋_GB2312" w:eastAsia="仿宋_GB2312" w:cs="仿宋_GB2312"/>
          <w:sz w:val="32"/>
          <w:szCs w:val="32"/>
        </w:rPr>
        <w:t>万元,当年政府性基金预算拨款0万 元，当年国有资本经营预算拨款0万元（详见公开报表中的绩效目标表）。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十、机关运行经费安排情况说明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 0 万元，本单位机关运行经费在教育专项公用经费中预算支出。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十一、专业名词解释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 公务用车购置及运行费反映单位公务用车车辆购置支出（含 车辆购置税）及租用费、燃料费、维修费、过路过桥费、保险费、安全奖励费用等支出；公务接待费反映单位按规定开 支的各类公务接待支出。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  公开报表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hjMzQ3ZGYzMmM1Yzc2MDI5N2NhZjA3ZTA3NTBiMDEifQ=="/>
  </w:docVars>
  <w:rsids>
    <w:rsidRoot w:val="00172A27"/>
    <w:rsid w:val="00030665"/>
    <w:rsid w:val="000D3C31"/>
    <w:rsid w:val="0015782D"/>
    <w:rsid w:val="00172A27"/>
    <w:rsid w:val="001F09DA"/>
    <w:rsid w:val="00325D3E"/>
    <w:rsid w:val="003F266E"/>
    <w:rsid w:val="00495EAC"/>
    <w:rsid w:val="00534525"/>
    <w:rsid w:val="005450E1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1469F"/>
    <w:rsid w:val="00CB6F2D"/>
    <w:rsid w:val="00CC3045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AAB487C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CEE7511"/>
    <w:rsid w:val="5FDD417D"/>
    <w:rsid w:val="60A76F05"/>
    <w:rsid w:val="62770932"/>
    <w:rsid w:val="63ED0CD3"/>
    <w:rsid w:val="667728BC"/>
    <w:rsid w:val="675B6F91"/>
    <w:rsid w:val="67B17BDD"/>
    <w:rsid w:val="69090D36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B2251C4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纯文本 Char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2336</Words>
  <Characters>2552</Characters>
  <Lines>19</Lines>
  <Paragraphs>5</Paragraphs>
  <TotalTime>65</TotalTime>
  <ScaleCrop>false</ScaleCrop>
  <LinksUpToDate>false</LinksUpToDate>
  <CharactersWithSpaces>2608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远去的背影</cp:lastModifiedBy>
  <cp:lastPrinted>2020-04-13T01:53:00Z</cp:lastPrinted>
  <dcterms:modified xsi:type="dcterms:W3CDTF">2023-05-12T04:00:37Z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50A3BD31B9F345FD80CDF10384A98CB1_12</vt:lpwstr>
  </property>
</Properties>
</file>