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beforeAutospacing="0" w:afterAutospacing="0" w:line="560" w:lineRule="exac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spacing w:beforeAutospacing="0" w:afterAutospacing="0" w:line="560" w:lineRule="exact"/>
        <w:ind w:firstLine="640"/>
        <w:jc w:val="center"/>
        <w:rPr>
          <w:rFonts w:ascii="黑体" w:hAnsi="黑体" w:eastAsia="黑体"/>
          <w:sz w:val="32"/>
          <w:szCs w:val="32"/>
        </w:rPr>
      </w:pPr>
    </w:p>
    <w:p>
      <w:pPr>
        <w:spacing w:beforeAutospacing="0" w:afterAutospacing="0" w:line="560" w:lineRule="exact"/>
        <w:ind w:firstLine="640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镇坪县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牛头店</w:t>
      </w:r>
      <w:r>
        <w:rPr>
          <w:rFonts w:hint="eastAsia" w:ascii="方正小标宋_GBK" w:hAnsi="黑体" w:eastAsia="方正小标宋_GBK"/>
          <w:sz w:val="44"/>
          <w:szCs w:val="44"/>
        </w:rPr>
        <w:t>镇中心卫生院202</w:t>
      </w:r>
      <w:r>
        <w:rPr>
          <w:rFonts w:hint="eastAsia" w:ascii="方正小标宋_GBK" w:hAnsi="黑体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黑体" w:eastAsia="方正小标宋_GBK"/>
          <w:sz w:val="44"/>
          <w:szCs w:val="44"/>
        </w:rPr>
        <w:t>年部门</w:t>
      </w:r>
      <w:r>
        <w:rPr>
          <w:rFonts w:hint="eastAsia" w:ascii="方正小标宋_GBK" w:hAnsi="黑体" w:eastAsia="方正小标宋_GBK"/>
          <w:sz w:val="44"/>
          <w:szCs w:val="44"/>
          <w:lang w:eastAsia="zh-CN"/>
        </w:rPr>
        <w:t>预算公开说明</w:t>
      </w:r>
    </w:p>
    <w:p>
      <w:pPr>
        <w:spacing w:beforeAutospacing="0" w:afterAutospacing="0" w:line="560" w:lineRule="exact"/>
        <w:ind w:firstLine="640"/>
        <w:rPr>
          <w:rFonts w:ascii="仿宋" w:hAnsi="仿宋" w:eastAsia="仿宋"/>
          <w:sz w:val="44"/>
          <w:szCs w:val="44"/>
        </w:rPr>
      </w:pPr>
    </w:p>
    <w:p>
      <w:pPr>
        <w:spacing w:beforeAutospacing="0" w:afterAutospacing="0" w:line="56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目  录</w:t>
      </w:r>
    </w:p>
    <w:p>
      <w:pPr>
        <w:spacing w:beforeAutospacing="0" w:afterAutospacing="0" w:line="560" w:lineRule="exact"/>
        <w:ind w:firstLine="643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beforeAutospacing="0" w:afterAutospacing="0" w:line="560" w:lineRule="exact"/>
        <w:ind w:firstLine="643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  部门概况</w:t>
      </w:r>
    </w:p>
    <w:p>
      <w:pPr>
        <w:spacing w:beforeAutospacing="0" w:afterAutospacing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一、部门主要职责及机构设置</w:t>
      </w:r>
    </w:p>
    <w:p>
      <w:pPr>
        <w:spacing w:beforeAutospacing="0" w:afterAutospacing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年年度部门工作任务</w:t>
      </w:r>
    </w:p>
    <w:p>
      <w:pPr>
        <w:spacing w:beforeAutospacing="0" w:afterAutospacing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三、部门预算单位构成</w:t>
      </w:r>
    </w:p>
    <w:p>
      <w:pPr>
        <w:spacing w:beforeAutospacing="0" w:afterAutospacing="0"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四、部门人员情况说明</w:t>
      </w:r>
    </w:p>
    <w:p>
      <w:pPr>
        <w:spacing w:beforeAutospacing="0" w:afterAutospacing="0" w:line="560" w:lineRule="exact"/>
        <w:ind w:firstLine="643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 收支情况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五、202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年部门预算收支说明</w:t>
      </w:r>
    </w:p>
    <w:p>
      <w:pPr>
        <w:spacing w:beforeAutospacing="0" w:afterAutospacing="0" w:line="560" w:lineRule="exact"/>
        <w:ind w:firstLine="643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   其他说明情况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六、部门预算“三公”经费等情况说明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七、部门国有资产占有使用及资产购置情况说明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八、部门政府采购情况说明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九、部门预算绩效目标说明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十、机关运行经费安排说明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十一、专业名词解释</w:t>
      </w:r>
    </w:p>
    <w:p>
      <w:pPr>
        <w:spacing w:beforeAutospacing="0" w:afterAutospacing="0" w:line="560" w:lineRule="exact"/>
        <w:ind w:firstLine="643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   公开报表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（具体部门预算公开报表）</w:t>
      </w:r>
    </w:p>
    <w:p>
      <w:pPr>
        <w:spacing w:beforeAutospacing="0" w:afterAutospacing="0" w:line="560" w:lineRule="exact"/>
        <w:ind w:firstLine="643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beforeAutospacing="0" w:afterAutospacing="0" w:line="560" w:lineRule="exact"/>
        <w:ind w:firstLine="643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beforeAutospacing="0" w:afterAutospacing="0" w:line="560" w:lineRule="exact"/>
        <w:ind w:firstLine="643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 部门概况</w:t>
      </w:r>
    </w:p>
    <w:p>
      <w:pPr>
        <w:spacing w:beforeAutospacing="0" w:afterAutospacing="0" w:line="560" w:lineRule="exact"/>
        <w:ind w:firstLine="643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一、部门主要职责及机构设置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1.主要职责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（1）宣传贯彻党和政府的医疗卫生工作方针政策，开展健康教育，协助并组织实施初级卫生保健计划和开展爱国卫生运动。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（2）开展疾病预防控制，做好精神卫生和慢性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病、</w:t>
      </w:r>
      <w:r>
        <w:rPr>
          <w:rFonts w:hint="eastAsia" w:ascii="仿宋_GB2312" w:hAnsi="仿宋_GB2312" w:eastAsia="仿宋_GB2312"/>
          <w:sz w:val="32"/>
          <w:szCs w:val="32"/>
        </w:rPr>
        <w:t>非传染性疾病控制工作。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（3）落实免疫规划，适龄儿童能及时得到免费接种服务。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（4）开展妇幼保健工作，提高妇女儿童健康水平。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（5）协助开展突发公共卫生事件应急调查工作，承担区域内公共卫生相关信息收集与报告。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（6）提供基本医疗服务，开展农村常见病、多发病以及诊断明确的慢性非传染性疾病的诊疗护理，及时做好急诊抢救转诊工作。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（7）提供医疗咨询、康复和计划生育技术服务，推广使用农村适宜技术和中医药技术。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（8）受县级卫生行政部门委托，承担区域内食品卫生、饮水卫生、职业卫生以及村级预防保健工作进行指导、培训、考核和监督管理职能。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（9）协助做好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城乡居民医保等</w:t>
      </w:r>
      <w:r>
        <w:rPr>
          <w:rFonts w:hint="eastAsia" w:ascii="仿宋_GB2312" w:hAnsi="仿宋_GB2312" w:eastAsia="仿宋_GB2312"/>
          <w:sz w:val="32"/>
          <w:szCs w:val="32"/>
        </w:rPr>
        <w:t>医疗工作。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（10）负责对村级卫生机构和乡村医生的业务管理和技术指导。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（11）完成县卫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健</w:t>
      </w:r>
      <w:r>
        <w:rPr>
          <w:rFonts w:hint="eastAsia" w:ascii="仿宋_GB2312" w:hAnsi="仿宋_GB2312" w:eastAsia="仿宋_GB2312"/>
          <w:sz w:val="32"/>
          <w:szCs w:val="32"/>
        </w:rPr>
        <w:t>局交办的其它工作任务。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2、机构设置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机关设置24个科室：外科门诊、内科门诊、儿科门诊、妇科门诊、国医馆、注射室、化验室、收费室、中西药房、B超室、CR影像诊断室、心电图室、住院部、护理部、院感办公室、档案室、微机室、出纳财务办公室、会议室、党员活动室、发热点、供应室、院办室、公用卫生服务中心。</w:t>
      </w:r>
    </w:p>
    <w:p>
      <w:pPr>
        <w:spacing w:beforeAutospacing="0" w:afterAutospacing="0" w:line="560" w:lineRule="exact"/>
        <w:ind w:firstLine="643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二、202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/>
          <w:sz w:val="32"/>
          <w:szCs w:val="32"/>
        </w:rPr>
        <w:t>年度部门工作任务</w:t>
      </w:r>
    </w:p>
    <w:p>
      <w:pPr>
        <w:ind w:firstLine="633" w:firstLineChars="198"/>
        <w:outlineLvl w:val="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</w:t>
      </w:r>
      <w:r>
        <w:rPr>
          <w:rFonts w:hint="eastAsia" w:ascii="仿宋_GB2312" w:hAnsi="新宋体" w:eastAsia="仿宋_GB2312"/>
          <w:b/>
          <w:sz w:val="32"/>
          <w:szCs w:val="32"/>
        </w:rPr>
        <w:t>加强医院管理安全管理。</w:t>
      </w:r>
      <w:r>
        <w:rPr>
          <w:rFonts w:hint="eastAsia" w:ascii="仿宋_GB2312" w:hAnsi="仿宋_GB2312" w:eastAsia="仿宋_GB2312"/>
          <w:sz w:val="32"/>
          <w:szCs w:val="32"/>
        </w:rPr>
        <w:t>加强医院医疗质量管理，提高医疗质量和服务水平，加大医保门诊、住院报销工作；加强药品“三统一”管理，严格执行基本药物管理制度。加强镇村一体化管理，每月定期对各村卫生室进行督导检查。院内加强医德医风、精神文明、党风廉政等建设工作，统筹安排全院工作，发挥卫生院的最大效能，为全县的卫生健康工作做出贡献。</w:t>
      </w:r>
      <w:r>
        <w:rPr>
          <w:rFonts w:hint="eastAsia" w:ascii="仿宋_GB2312" w:hAnsi="仿宋" w:eastAsia="仿宋_GB2312"/>
          <w:sz w:val="32"/>
          <w:szCs w:val="32"/>
        </w:rPr>
        <w:t>我院严格遵守各项与医疗有关的法律法规，并组织广大职工积极学习法律法规知识，做到懂法、知法、守法、用法，依法执业，依法办事。</w:t>
      </w:r>
    </w:p>
    <w:p>
      <w:pPr>
        <w:spacing w:beforeAutospacing="0" w:afterAutospacing="0" w:line="560" w:lineRule="exact"/>
        <w:ind w:firstLine="643" w:firstLineChars="200"/>
        <w:rPr>
          <w:rFonts w:hint="eastAsia" w:ascii="仿宋_GB2312" w:hAnsi="新宋体" w:eastAsia="仿宋_GB2312"/>
          <w:b/>
          <w:sz w:val="32"/>
          <w:szCs w:val="32"/>
        </w:rPr>
      </w:pPr>
      <w:r>
        <w:rPr>
          <w:rFonts w:hint="eastAsia" w:ascii="仿宋_GB2312" w:hAnsi="新宋体" w:eastAsia="仿宋_GB2312"/>
          <w:b/>
          <w:sz w:val="32"/>
          <w:szCs w:val="32"/>
        </w:rPr>
        <w:t>（二）抓好公共卫生工作。</w:t>
      </w:r>
      <w:r>
        <w:rPr>
          <w:rFonts w:hint="eastAsia" w:ascii="仿宋_GB2312" w:hAnsi="仿宋_GB2312" w:eastAsia="仿宋_GB2312"/>
          <w:sz w:val="32"/>
          <w:szCs w:val="32"/>
        </w:rPr>
        <w:t>做好计划免疫、疾病预防控制、妇幼保健、慢病、重症精神病、地方病、传染病、卫生监督等工作，切实执行好国家的各项惠民政策。做好突发公共卫生事件处理，加强宣传等工作，让辖区内的群众切实的享受到公共卫生服务。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年我院将按照县卫生系统的各项重点卫生工作，搞好公共卫生均等化服务项目，力争将我院建设成为一所，群众放心，患者满意、服务一流的乡镇卫生院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beforeAutospacing="0" w:afterAutospacing="0" w:line="7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（三）抓党建工作，进一步强化主体责任。</w:t>
      </w:r>
      <w:r>
        <w:rPr>
          <w:rFonts w:hint="eastAsia" w:ascii="仿宋_GB2312" w:hAnsi="仿宋_GB2312" w:eastAsia="仿宋_GB2312"/>
          <w:sz w:val="32"/>
          <w:szCs w:val="32"/>
        </w:rPr>
        <w:t>我们将进一步学习党的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二十</w:t>
      </w:r>
      <w:r>
        <w:rPr>
          <w:rFonts w:hint="eastAsia" w:ascii="仿宋_GB2312" w:hAnsi="仿宋_GB2312" w:eastAsia="仿宋_GB2312"/>
          <w:sz w:val="32"/>
          <w:szCs w:val="32"/>
        </w:rPr>
        <w:t>大精神和习近平新时代中国特色社会主义思想，抓好疫情防控、做好公共卫生工作、提高医疗服务水平，不断加强领导班子和党员干部思想建设、政治建设、组织建设、作风建设、制度建设、纪律建设，把党建工作紧紧围绕着医院中心工作，与业务工作相辅相成，</w:t>
      </w:r>
      <w:r>
        <w:rPr>
          <w:rFonts w:hint="eastAsia" w:ascii="仿宋_GB2312" w:hAnsi="仿宋" w:eastAsia="仿宋_GB2312"/>
          <w:sz w:val="32"/>
          <w:szCs w:val="32"/>
        </w:rPr>
        <w:t>以卫生改革为契机，</w:t>
      </w:r>
      <w:r>
        <w:rPr>
          <w:rFonts w:hint="eastAsia" w:ascii="仿宋_GB2312" w:hAnsi="仿宋_GB2312" w:eastAsia="仿宋_GB2312"/>
          <w:sz w:val="32"/>
          <w:szCs w:val="32"/>
        </w:rPr>
        <w:t>服务医院大局，</w:t>
      </w:r>
      <w:r>
        <w:rPr>
          <w:rFonts w:hint="eastAsia" w:ascii="仿宋_GB2312" w:hAnsi="仿宋" w:eastAsia="仿宋_GB2312"/>
          <w:sz w:val="32"/>
          <w:szCs w:val="32"/>
        </w:rPr>
        <w:t>以落实疫情防控，树立“以病人为中心”的服务理念，正确理解“医患”之间权利与义务的关系。</w:t>
      </w:r>
      <w:r>
        <w:rPr>
          <w:rFonts w:hint="eastAsia" w:ascii="仿宋_GB2312" w:hAnsi="仿宋_GB2312" w:eastAsia="仿宋_GB2312"/>
          <w:sz w:val="32"/>
          <w:szCs w:val="32"/>
        </w:rPr>
        <w:t>真正起到党建工作的引领作用。</w:t>
      </w:r>
    </w:p>
    <w:p>
      <w:pPr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（四）落实好疫情防控：</w:t>
      </w:r>
      <w:r>
        <w:rPr>
          <w:rFonts w:hint="eastAsia" w:ascii="仿宋_GB2312" w:eastAsia="仿宋_GB2312"/>
          <w:sz w:val="32"/>
          <w:szCs w:val="32"/>
        </w:rPr>
        <w:t>我们将按照党委政府、卫生行政部门的决策、义不容辞的走在防控的一线、做好辖区内的疫情防控工作。</w:t>
      </w:r>
    </w:p>
    <w:p>
      <w:pPr>
        <w:spacing w:beforeAutospacing="0" w:afterAutospacing="0" w:line="560" w:lineRule="exact"/>
        <w:ind w:firstLine="643" w:firstLineChars="200"/>
        <w:outlineLvl w:val="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（五）巩固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乡村振兴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作</w:t>
      </w:r>
    </w:p>
    <w:p>
      <w:pPr>
        <w:spacing w:beforeAutospacing="0" w:afterAutospacing="0" w:line="560" w:lineRule="exact"/>
        <w:ind w:firstLine="800" w:firstLineChars="25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1、202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Cs/>
          <w:sz w:val="32"/>
          <w:szCs w:val="32"/>
        </w:rPr>
        <w:t>年要高度重视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乡村振兴</w:t>
      </w:r>
      <w:r>
        <w:rPr>
          <w:rFonts w:hint="eastAsia" w:ascii="仿宋_GB2312" w:hAnsi="仿宋" w:eastAsia="仿宋_GB2312"/>
          <w:bCs/>
          <w:sz w:val="32"/>
          <w:szCs w:val="32"/>
        </w:rPr>
        <w:t>工作。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乡村振兴</w:t>
      </w:r>
      <w:r>
        <w:rPr>
          <w:rFonts w:hint="eastAsia" w:ascii="仿宋_GB2312" w:hAnsi="仿宋" w:eastAsia="仿宋_GB2312"/>
          <w:bCs/>
          <w:sz w:val="32"/>
          <w:szCs w:val="32"/>
        </w:rPr>
        <w:t>工作领导小组要负责统筹协调和综合管理贫困户健康扶工作，及时妥善处理在帮扶工作中出现的新情况、新问题，为群众办实事。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三、部门预算单位构成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从预算单位构成看，本部门的部门预算包括本单位事业单位预算。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spacing w:beforeAutospacing="0" w:afterAutospacing="0" w:line="56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镇坪县</w:t>
            </w:r>
            <w:r>
              <w:rPr>
                <w:rFonts w:hint="eastAsia" w:ascii="仿宋_GB2312" w:hAnsi="仿宋_GB2312" w:eastAsia="仿宋_GB2312"/>
                <w:sz w:val="32"/>
                <w:szCs w:val="32"/>
                <w:lang w:eastAsia="zh-CN"/>
              </w:rPr>
              <w:t>牛头店</w:t>
            </w:r>
            <w:r>
              <w:rPr>
                <w:rFonts w:hint="eastAsia" w:ascii="仿宋_GB2312" w:hAnsi="仿宋_GB2312" w:eastAsia="仿宋_GB2312"/>
                <w:sz w:val="32"/>
                <w:szCs w:val="32"/>
              </w:rPr>
              <w:t>镇中心卫生院</w:t>
            </w:r>
          </w:p>
        </w:tc>
        <w:tc>
          <w:tcPr>
            <w:tcW w:w="2087" w:type="dxa"/>
            <w:vAlign w:val="top"/>
          </w:tcPr>
          <w:p>
            <w:pPr>
              <w:spacing w:beforeAutospacing="0" w:afterAutospacing="0" w:line="56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5098" w:type="dxa"/>
            <w:vAlign w:val="top"/>
          </w:tcPr>
          <w:p>
            <w:pPr>
              <w:spacing w:beforeAutospacing="0" w:afterAutospacing="0" w:line="56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2087" w:type="dxa"/>
            <w:vAlign w:val="top"/>
          </w:tcPr>
          <w:p>
            <w:pPr>
              <w:spacing w:beforeAutospacing="0" w:afterAutospacing="0" w:line="560" w:lineRule="exact"/>
              <w:rPr>
                <w:rFonts w:hint="eastAsia"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spacing w:beforeAutospacing="0" w:afterAutospacing="0" w:line="560" w:lineRule="exact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beforeAutospacing="0" w:afterAutospacing="0" w:line="56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截止202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年底，本部门事业编制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/>
          <w:sz w:val="32"/>
          <w:szCs w:val="32"/>
        </w:rPr>
        <w:t>人，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实有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10人。</w:t>
      </w:r>
      <w:r>
        <w:rPr>
          <w:rFonts w:hint="eastAsia" w:ascii="仿宋_GB2312" w:hAnsi="仿宋_GB2312" w:eastAsia="仿宋_GB2312"/>
          <w:sz w:val="32"/>
          <w:szCs w:val="32"/>
        </w:rPr>
        <w:t>行政编制0人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spacing w:beforeAutospacing="0" w:afterAutospacing="0" w:line="560" w:lineRule="exact"/>
        <w:ind w:firstLine="643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收支情况</w:t>
      </w:r>
    </w:p>
    <w:p>
      <w:pPr>
        <w:spacing w:beforeAutospacing="0" w:afterAutospacing="0" w:line="560" w:lineRule="exact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五、202</w:t>
      </w:r>
      <w:r>
        <w:rPr>
          <w:rFonts w:hint="eastAsia" w:ascii="楷体_GB2312" w:hAns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/>
          <w:sz w:val="32"/>
          <w:szCs w:val="32"/>
        </w:rPr>
        <w:t>年部门预算收支说明</w:t>
      </w:r>
    </w:p>
    <w:p>
      <w:pPr>
        <w:spacing w:beforeAutospacing="0" w:afterAutospacing="0" w:line="560" w:lineRule="exact"/>
        <w:rPr>
          <w:rFonts w:hint="eastAsia" w:ascii="仿宋" w:hAnsi="仿宋" w:eastAsia="仿宋"/>
          <w:b/>
          <w:bCs/>
          <w:sz w:val="32"/>
          <w:szCs w:val="32"/>
        </w:rPr>
      </w:pPr>
      <w:bookmarkStart w:id="0" w:name="_GoBack"/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304165</wp:posOffset>
            </wp:positionV>
            <wp:extent cx="4689475" cy="1846580"/>
            <wp:effectExtent l="4445" t="4445" r="11430" b="15875"/>
            <wp:wrapNone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</w:p>
    <w:p>
      <w:pPr>
        <w:spacing w:beforeAutospacing="0" w:afterAutospacing="0" w:line="56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beforeAutospacing="0" w:afterAutospacing="0" w:line="56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beforeAutospacing="0" w:afterAutospacing="0" w:line="56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beforeAutospacing="0" w:afterAutospacing="0" w:line="56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beforeAutospacing="0" w:afterAutospacing="0" w:line="56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beforeAutospacing="0" w:afterAutospacing="0" w:line="560" w:lineRule="exact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beforeAutospacing="0" w:afterAutospacing="0" w:line="560" w:lineRule="exact"/>
        <w:ind w:firstLine="643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按照综合预算的原则，本部门所有收入和支出均纳入部门预算管理。202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 xml:space="preserve">年本部门预算收入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万元；202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年本部门预算支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</w:t>
      </w:r>
    </w:p>
    <w:p>
      <w:pPr>
        <w:spacing w:beforeAutospacing="0" w:afterAutospacing="0" w:line="560" w:lineRule="exact"/>
        <w:ind w:firstLine="643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年本部门财政拨款收入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万元，其中一般公共预算拨款收入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万元；202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年本部门财政拨款支出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万元，其中一般公共预算拨款支出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</w:t>
      </w:r>
    </w:p>
    <w:p>
      <w:pPr>
        <w:spacing w:beforeAutospacing="0" w:afterAutospacing="0" w:line="560" w:lineRule="exact"/>
        <w:ind w:firstLine="643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（三）一般公共预算拨款支出明细情况。</w:t>
      </w:r>
    </w:p>
    <w:p>
      <w:pPr>
        <w:spacing w:beforeAutospacing="0" w:afterAutospacing="0" w:line="560" w:lineRule="exact"/>
        <w:ind w:firstLine="643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1、</w:t>
      </w:r>
      <w:r>
        <w:rPr>
          <w:rFonts w:hint="eastAsia" w:ascii="仿宋_GB2312" w:hAnsi="仿宋_GB2312" w:eastAsia="仿宋_GB2312"/>
          <w:sz w:val="32"/>
          <w:szCs w:val="32"/>
        </w:rPr>
        <w:t>一般公共预算当年拨款规模变化情况。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年本部门当年一般公共预算拨款支出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</w:t>
      </w:r>
    </w:p>
    <w:p>
      <w:pPr>
        <w:spacing w:beforeAutospacing="0" w:afterAutospacing="0" w:line="560" w:lineRule="exact"/>
        <w:ind w:firstLine="643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/>
          <w:sz w:val="32"/>
          <w:szCs w:val="32"/>
        </w:rPr>
        <w:t>支出按功能科目分类的明细情况。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（1）卫生健康支出（2100302）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spacing w:beforeAutospacing="0" w:afterAutospacing="0" w:line="560" w:lineRule="exact"/>
        <w:ind w:firstLine="643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3、</w:t>
      </w:r>
      <w:r>
        <w:rPr>
          <w:rFonts w:hint="eastAsia" w:ascii="仿宋_GB2312" w:hAnsi="仿宋_GB2312" w:eastAsia="仿宋_GB2312"/>
          <w:sz w:val="32"/>
          <w:szCs w:val="32"/>
        </w:rPr>
        <w:t>支出按经济科目分类的明细情况。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（1）按照部门预算支出经济分类的类级科目说明。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工资福利支出（301）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93.1</w:t>
      </w:r>
      <w:r>
        <w:rPr>
          <w:rFonts w:hint="eastAsia" w:ascii="仿宋_GB2312" w:hAnsi="仿宋_GB2312" w:eastAsia="仿宋_GB2312"/>
          <w:sz w:val="32"/>
          <w:szCs w:val="32"/>
        </w:rPr>
        <w:t>万元；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其中：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基本工资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（301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41.1万元、津补贴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（301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02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2.3万元、绩效工资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（301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07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26.22万元、养老保险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（301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9.8万元、医疗保险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（301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5万元、住房公积金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（301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7.06万元、其他保险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（301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0.62万元、其他费用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（30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239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0.58万元。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t>对个人及家庭的补助万元；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0.42万元</w:t>
      </w:r>
      <w:r>
        <w:rPr>
          <w:rFonts w:hint="eastAsia" w:ascii="仿宋_GB2312" w:hAns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按照政府预算支出经济分类的类级科目说明。</w:t>
      </w:r>
    </w:p>
    <w:p>
      <w:pPr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万元，其中：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对事业单位经常性补助（505）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96.2</w:t>
      </w:r>
      <w:r>
        <w:rPr>
          <w:rFonts w:hint="eastAsia" w:ascii="仿宋_GB2312" w:hAnsi="仿宋_GB2312" w:eastAsia="仿宋_GB2312"/>
          <w:sz w:val="32"/>
          <w:szCs w:val="32"/>
        </w:rPr>
        <w:t>万元。</w:t>
      </w:r>
    </w:p>
    <w:p>
      <w:pPr>
        <w:spacing w:beforeAutospacing="0" w:afterAutospacing="0" w:line="560" w:lineRule="exact"/>
        <w:ind w:firstLine="643"/>
        <w:rPr>
          <w:rFonts w:hint="eastAsia" w:ascii="仿宋_GB2312" w:hAns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4、</w:t>
      </w: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年结转财政资金一般公共预算拨款支出情况。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年结转的一般公共预算拨款资金支出。</w:t>
      </w:r>
    </w:p>
    <w:p>
      <w:pPr>
        <w:spacing w:beforeAutospacing="0" w:afterAutospacing="0" w:line="560" w:lineRule="exact"/>
        <w:ind w:firstLine="643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（四）政府性基金预算支出情况。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本部门无当年政府性基金预算收支，并已公开空表。</w:t>
      </w:r>
    </w:p>
    <w:p>
      <w:pPr>
        <w:spacing w:beforeAutospacing="0" w:afterAutospacing="0" w:line="560" w:lineRule="exact"/>
        <w:ind w:firstLine="643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（五）国有资本经营预算拨款收支情况。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本部门无当年国有资本经营预算拨款收支，并在财政拨款收支总体情况表中列示。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年结转的国有资本经营预算拨款支出。</w:t>
      </w:r>
    </w:p>
    <w:p>
      <w:pPr>
        <w:spacing w:beforeAutospacing="0" w:afterAutospacing="0" w:line="560" w:lineRule="exact"/>
        <w:ind w:firstLine="643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  其他说明情况</w:t>
      </w:r>
    </w:p>
    <w:p>
      <w:pPr>
        <w:spacing w:beforeAutospacing="0" w:afterAutospacing="0" w:line="560" w:lineRule="exact"/>
        <w:ind w:firstLine="643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六、部门预算“三公”经费等预算情况说明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年本部门当年一般公共预算“三公”经费预算支出0万元。</w:t>
      </w:r>
    </w:p>
    <w:p>
      <w:pPr>
        <w:spacing w:beforeAutospacing="0" w:afterAutospacing="0" w:line="560" w:lineRule="exact"/>
        <w:ind w:firstLine="643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七、部门国有资产占有使用及资产购置情况说明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年结转的财政拨款支出资产购置。</w:t>
      </w:r>
    </w:p>
    <w:p>
      <w:pPr>
        <w:spacing w:beforeAutospacing="0" w:afterAutospacing="0" w:line="560" w:lineRule="exact"/>
        <w:ind w:firstLine="643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八、部门政府采购情况说明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年无政府采购预算，并已公开空表；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年结转的政府采购资金支出。</w:t>
      </w:r>
    </w:p>
    <w:p>
      <w:pPr>
        <w:spacing w:beforeAutospacing="0" w:afterAutospacing="0" w:line="560" w:lineRule="exact"/>
        <w:ind w:firstLine="643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九、部门预算绩效目标说明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本部门无20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</w:rPr>
        <w:t>年结转的财政拨款支出涉及的绩效目标管理。</w:t>
      </w:r>
    </w:p>
    <w:p>
      <w:pPr>
        <w:spacing w:beforeAutospacing="0" w:afterAutospacing="0" w:line="560" w:lineRule="exact"/>
        <w:ind w:firstLine="643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十、机关运行经费安排说明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</w:rPr>
        <w:t>年结转的财政拨款机关运行经费支出。</w:t>
      </w:r>
    </w:p>
    <w:p>
      <w:pPr>
        <w:spacing w:beforeAutospacing="0" w:afterAutospacing="0" w:line="560" w:lineRule="exact"/>
        <w:ind w:firstLine="643"/>
        <w:rPr>
          <w:rFonts w:hint="eastAsia" w:ascii="楷体_GB2312" w:hAnsi="楷体_GB2312" w:eastAsia="楷体_GB2312"/>
          <w:sz w:val="32"/>
          <w:szCs w:val="32"/>
        </w:rPr>
      </w:pPr>
      <w:r>
        <w:rPr>
          <w:rFonts w:hint="eastAsia" w:ascii="楷体_GB2312" w:hAnsi="楷体_GB2312" w:eastAsia="楷体_GB2312"/>
          <w:sz w:val="32"/>
          <w:szCs w:val="32"/>
        </w:rPr>
        <w:t>十一、专业名词解释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文字说明，机关运行经费为必须解释的专业名词，其他专业名词解释可由部门根据业务内容等自行选择。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beforeAutospacing="0" w:afterAutospacing="0" w:line="560" w:lineRule="exac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ab/>
      </w:r>
      <w:r>
        <w:rPr>
          <w:rFonts w:hint="eastAsia" w:ascii="仿宋_GB2312" w:hAnsi="仿宋_GB2312" w:eastAsia="仿宋_GB2312"/>
          <w:sz w:val="32"/>
          <w:szCs w:val="32"/>
        </w:rPr>
        <w:tab/>
      </w:r>
    </w:p>
    <w:p>
      <w:pPr>
        <w:spacing w:beforeAutospacing="0" w:afterAutospacing="0" w:line="560" w:lineRule="exact"/>
        <w:ind w:firstLine="643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第四部分  公开报表</w:t>
      </w:r>
    </w:p>
    <w:p>
      <w:pPr>
        <w:spacing w:beforeAutospacing="0" w:afterAutospacing="0" w:line="560" w:lineRule="exact"/>
        <w:ind w:firstLine="640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（见附件2内容）</w:t>
      </w:r>
      <w:r>
        <w:rPr>
          <w:rFonts w:hint="eastAsia" w:ascii="仿宋_GB2312" w:hAnsi="仿宋_GB2312" w:eastAsia="仿宋_GB2312"/>
          <w:sz w:val="32"/>
          <w:szCs w:val="32"/>
        </w:rPr>
        <w:tab/>
      </w:r>
    </w:p>
    <w:sectPr>
      <w:pgSz w:w="11906" w:h="16838"/>
      <w:pgMar w:top="1701" w:right="1418" w:bottom="141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00C244"/>
    <w:multiLevelType w:val="singleLevel"/>
    <w:tmpl w:val="3900C24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ZDViNjJlODgyNzM5YmEzNmM2MTJlZGExZTE5NDYifQ=="/>
  </w:docVars>
  <w:rsids>
    <w:rsidRoot w:val="00000000"/>
    <w:rsid w:val="0E2B62CD"/>
    <w:rsid w:val="1DB75888"/>
    <w:rsid w:val="4F320E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镇坪县牛头店镇中心卫生院人员分布情况</a:t>
            </a:r>
          </a:p>
        </c:rich>
      </c:tx>
      <c:layout>
        <c:manualLayout>
          <c:xMode val="edge"/>
          <c:yMode val="edge"/>
          <c:x val="0.172037914691943"/>
          <c:y val="0.050206327372764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事业编制人数</c:v>
                </c:pt>
                <c:pt idx="1">
                  <c:v>行政编制人数</c:v>
                </c:pt>
              </c:strCache>
            </c:strRef>
          </c:cat>
          <c:val>
            <c:numRef>
              <c:f>Sheet1!$B$2:$B$3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4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2745</Words>
  <Characters>2938</Characters>
  <Lines>0</Lines>
  <Paragraphs>0</Paragraphs>
  <TotalTime>4</TotalTime>
  <ScaleCrop>false</ScaleCrop>
  <LinksUpToDate>false</LinksUpToDate>
  <CharactersWithSpaces>2965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2023-05-12T03:22:00Z</dcterms:created>
  <dc:creator>昨日星晨</dc:creator>
  <cp:lastModifiedBy>昨日星晨</cp:lastModifiedBy>
  <cp:lastPrinted>2023-05-12T04:57:00Z</cp:lastPrinted>
  <dcterms:modified xsi:type="dcterms:W3CDTF">2023-05-12T05:05:30Z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D1803D29633A4EDB9C21A87B0014339D_13</vt:lpwstr>
  </property>
</Properties>
</file>