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highlight w:val="none"/>
        </w:rPr>
      </w:pPr>
    </w:p>
    <w:p>
      <w:pPr>
        <w:spacing w:line="360" w:lineRule="auto"/>
        <w:ind w:firstLine="640"/>
        <w:jc w:val="center"/>
        <w:rPr>
          <w:rFonts w:hint="eastAsia" w:ascii="黑体" w:hAnsi="黑体" w:eastAsia="黑体" w:cs="黑体"/>
          <w:sz w:val="32"/>
          <w:szCs w:val="32"/>
        </w:rPr>
      </w:pPr>
    </w:p>
    <w:p>
      <w:pPr>
        <w:spacing w:line="360" w:lineRule="auto"/>
        <w:ind w:firstLine="640"/>
        <w:jc w:val="center"/>
        <w:rPr>
          <w:rFonts w:ascii="黑体" w:hAnsi="黑体" w:eastAsia="黑体" w:cs="黑体"/>
          <w:sz w:val="32"/>
          <w:szCs w:val="32"/>
        </w:rPr>
      </w:pPr>
    </w:p>
    <w:p>
      <w:pPr>
        <w:spacing w:line="440" w:lineRule="exact"/>
        <w:jc w:val="center"/>
        <w:rPr>
          <w:rFonts w:ascii="宋体" w:hAnsi="宋体" w:cs="宋体"/>
          <w:b/>
          <w:bCs/>
          <w:sz w:val="44"/>
          <w:szCs w:val="44"/>
        </w:rPr>
      </w:pPr>
    </w:p>
    <w:p>
      <w:pPr>
        <w:spacing w:line="560" w:lineRule="exact"/>
        <w:jc w:val="center"/>
        <w:rPr>
          <w:rFonts w:ascii="宋体" w:hAnsi="宋体" w:eastAsia="宋体" w:cs="宋体"/>
          <w:b/>
          <w:bCs/>
          <w:sz w:val="48"/>
          <w:szCs w:val="48"/>
        </w:rPr>
      </w:pPr>
      <w:r>
        <w:rPr>
          <w:rFonts w:hint="eastAsia" w:ascii="宋体" w:hAnsi="宋体" w:eastAsia="宋体" w:cs="宋体"/>
          <w:b/>
          <w:bCs/>
          <w:sz w:val="48"/>
          <w:szCs w:val="48"/>
        </w:rPr>
        <w:t>镇坪县经济贸易局</w:t>
      </w:r>
    </w:p>
    <w:p>
      <w:pPr>
        <w:spacing w:line="56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8"/>
          <w:szCs w:val="48"/>
        </w:rPr>
        <w:t>20</w:t>
      </w:r>
      <w:r>
        <w:rPr>
          <w:rFonts w:hint="eastAsia" w:ascii="宋体" w:hAnsi="宋体" w:eastAsia="宋体" w:cs="宋体"/>
          <w:b/>
          <w:bCs/>
          <w:sz w:val="48"/>
          <w:szCs w:val="48"/>
          <w:lang w:val="en-US" w:eastAsia="zh-CN"/>
        </w:rPr>
        <w:t>23</w:t>
      </w:r>
      <w:r>
        <w:rPr>
          <w:rFonts w:hint="eastAsia" w:ascii="宋体" w:hAnsi="宋体" w:eastAsia="宋体" w:cs="宋体"/>
          <w:b/>
          <w:bCs/>
          <w:sz w:val="48"/>
          <w:szCs w:val="48"/>
        </w:rPr>
        <w:t>年部门</w:t>
      </w:r>
      <w:r>
        <w:rPr>
          <w:rFonts w:hint="eastAsia" w:ascii="宋体" w:hAnsi="宋体" w:eastAsia="宋体" w:cs="宋体"/>
          <w:b/>
          <w:bCs/>
          <w:sz w:val="48"/>
          <w:szCs w:val="48"/>
          <w:lang w:eastAsia="zh-CN"/>
        </w:rPr>
        <w:t>预算</w:t>
      </w:r>
    </w:p>
    <w:p>
      <w:pPr>
        <w:spacing w:line="560" w:lineRule="exact"/>
        <w:jc w:val="center"/>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400" w:lineRule="exact"/>
        <w:ind w:firstLine="1680" w:firstLineChars="800"/>
        <w:rPr>
          <w:rFonts w:ascii="宋体" w:hAnsi="宋体" w:eastAsia="宋体" w:cs="宋体"/>
          <w:b/>
          <w:bCs/>
          <w:sz w:val="32"/>
          <w:szCs w:val="32"/>
        </w:rPr>
      </w:pPr>
      <w:r>
        <w:pict>
          <v:shape id="_x0000_s1026" o:spid="_x0000_s1026" o:spt="75" type="#_x0000_t75" style="position:absolute;left:0pt;margin-left:292.85pt;margin-top:499.55pt;height:120pt;width:120pt;mso-position-horizontal-relative:page;mso-position-vertical-relative:page;z-index:251659264;mso-width-relative:page;mso-height-relative:page;" filled="f" o:preferrelative="t" stroked="f" coordsize="21600,21600">
            <v:path/>
            <v:fill on="f" focussize="0,0"/>
            <v:stroke on="f"/>
            <v:imagedata r:id="rId4" o:title=""/>
            <o:lock v:ext="edit" aspectratio="t"/>
            <w10:anchorlock/>
          </v:shape>
        </w:pict>
      </w:r>
    </w:p>
    <w:p>
      <w:pPr>
        <w:spacing w:line="400" w:lineRule="exact"/>
        <w:ind w:firstLine="2570" w:firstLineChars="800"/>
        <w:rPr>
          <w:rFonts w:ascii="宋体" w:hAnsi="宋体" w:eastAsia="宋体" w:cs="宋体"/>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eastAsia="宋体" w:cs="宋体"/>
          <w:b/>
          <w:bCs/>
          <w:sz w:val="32"/>
          <w:szCs w:val="32"/>
        </w:rPr>
        <w:t>保密审查情况：</w:t>
      </w:r>
      <w:r>
        <w:rPr>
          <w:rFonts w:hint="eastAsia" w:ascii="宋体" w:hAnsi="宋体" w:eastAsia="宋体" w:cs="宋体"/>
          <w:b/>
          <w:bCs/>
          <w:sz w:val="32"/>
          <w:szCs w:val="32"/>
          <w:lang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val="en-US" w:eastAsia="zh-CN"/>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560" w:lineRule="exact"/>
        <w:ind w:firstLine="640"/>
        <w:jc w:val="center"/>
        <w:rPr>
          <w:rFonts w:ascii="黑体" w:hAnsi="宋体" w:eastAsia="黑体"/>
          <w:b/>
          <w:color w:val="000000"/>
          <w:kern w:val="0"/>
          <w:sz w:val="56"/>
          <w:szCs w:val="56"/>
        </w:rPr>
      </w:pPr>
      <w:r>
        <w:rPr>
          <w:rFonts w:ascii="黑体" w:hAnsi="宋体" w:eastAsia="黑体"/>
          <w:b/>
          <w:color w:val="000000"/>
          <w:kern w:val="0"/>
          <w:sz w:val="56"/>
          <w:szCs w:val="56"/>
        </w:rPr>
        <w:br w:type="page"/>
      </w:r>
    </w:p>
    <w:p>
      <w:pPr>
        <w:jc w:val="center"/>
        <w:rPr>
          <w:rFonts w:hint="eastAsia" w:ascii="黑体" w:hAnsi="黑体" w:eastAsia="黑体" w:cs="黑体"/>
          <w:sz w:val="36"/>
          <w:szCs w:val="36"/>
          <w:highlight w:val="none"/>
          <w:lang w:eastAsia="zh-CN"/>
        </w:rPr>
      </w:pPr>
      <w:r>
        <w:rPr>
          <w:rFonts w:hint="eastAsia" w:ascii="黑体" w:hAnsi="黑体" w:eastAsia="黑体" w:cs="黑体"/>
          <w:sz w:val="36"/>
          <w:szCs w:val="36"/>
          <w:highlight w:val="none"/>
          <w:lang w:eastAsia="zh-CN"/>
        </w:rPr>
        <w:t>镇坪县经济贸易局</w:t>
      </w:r>
    </w:p>
    <w:p>
      <w:pPr>
        <w:jc w:val="center"/>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rPr>
        <w:t>20</w:t>
      </w:r>
      <w:r>
        <w:rPr>
          <w:rFonts w:hint="eastAsia" w:ascii="黑体" w:hAnsi="黑体" w:eastAsia="黑体" w:cs="黑体"/>
          <w:sz w:val="36"/>
          <w:szCs w:val="36"/>
          <w:highlight w:val="none"/>
          <w:lang w:val="en-US" w:eastAsia="zh-CN"/>
        </w:rPr>
        <w:t>23</w:t>
      </w:r>
      <w:r>
        <w:rPr>
          <w:rFonts w:hint="eastAsia" w:ascii="黑体" w:hAnsi="黑体" w:eastAsia="黑体" w:cs="黑体"/>
          <w:sz w:val="36"/>
          <w:szCs w:val="36"/>
          <w:highlight w:val="none"/>
        </w:rPr>
        <w:t>年部门</w:t>
      </w:r>
      <w:r>
        <w:rPr>
          <w:rFonts w:hint="eastAsia" w:ascii="黑体" w:hAnsi="黑体" w:eastAsia="黑体" w:cs="黑体"/>
          <w:sz w:val="36"/>
          <w:szCs w:val="36"/>
          <w:highlight w:val="none"/>
          <w:lang w:eastAsia="zh-CN"/>
        </w:rPr>
        <w:t>预算公开说明</w:t>
      </w:r>
    </w:p>
    <w:p>
      <w:pPr>
        <w:jc w:val="both"/>
        <w:rPr>
          <w:rFonts w:hint="eastAsia"/>
          <w:highlight w:val="none"/>
          <w:lang w:eastAsia="zh-CN"/>
        </w:rPr>
      </w:pPr>
    </w:p>
    <w:p>
      <w:pPr>
        <w:jc w:val="center"/>
        <w:rPr>
          <w:rFonts w:hint="eastAsia"/>
          <w:sz w:val="36"/>
          <w:szCs w:val="36"/>
          <w:highlight w:val="none"/>
          <w:lang w:eastAsia="zh-CN"/>
        </w:rPr>
      </w:pPr>
      <w:r>
        <w:rPr>
          <w:rFonts w:hint="eastAsia"/>
          <w:b/>
          <w:bCs/>
          <w:sz w:val="36"/>
          <w:szCs w:val="36"/>
          <w:highlight w:val="none"/>
          <w:lang w:eastAsia="zh-CN"/>
        </w:rPr>
        <w:t>目录</w:t>
      </w:r>
    </w:p>
    <w:p>
      <w:pPr>
        <w:jc w:val="left"/>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第一部分</w:t>
      </w:r>
      <w:r>
        <w:rPr>
          <w:rFonts w:hint="eastAsia" w:ascii="宋体" w:hAnsi="宋体" w:eastAsia="宋体" w:cs="宋体"/>
          <w:b/>
          <w:bCs/>
          <w:sz w:val="32"/>
          <w:szCs w:val="32"/>
          <w:highlight w:val="none"/>
          <w:lang w:val="en-US" w:eastAsia="zh-CN"/>
        </w:rPr>
        <w:t xml:space="preserve"> 部门概况</w:t>
      </w:r>
    </w:p>
    <w:p>
      <w:pPr>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一、</w:t>
      </w:r>
      <w:r>
        <w:rPr>
          <w:rFonts w:hint="eastAsia" w:ascii="宋体" w:hAnsi="宋体" w:eastAsia="宋体" w:cs="宋体"/>
          <w:sz w:val="32"/>
          <w:szCs w:val="32"/>
          <w:highlight w:val="none"/>
        </w:rPr>
        <w:t>主要职责</w:t>
      </w:r>
      <w:r>
        <w:rPr>
          <w:rFonts w:hint="eastAsia" w:ascii="宋体" w:hAnsi="宋体" w:eastAsia="宋体" w:cs="宋体"/>
          <w:sz w:val="32"/>
          <w:szCs w:val="32"/>
          <w:highlight w:val="none"/>
          <w:lang w:eastAsia="zh-CN"/>
        </w:rPr>
        <w:t>及机构设置</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二、工作任务</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三、预算单位构成</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四、人员情况说明</w:t>
      </w:r>
    </w:p>
    <w:p>
      <w:pPr>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第二部分</w:t>
      </w:r>
      <w:r>
        <w:rPr>
          <w:rFonts w:hint="eastAsia" w:ascii="宋体" w:hAnsi="宋体" w:eastAsia="宋体" w:cs="宋体"/>
          <w:b/>
          <w:bCs/>
          <w:sz w:val="32"/>
          <w:szCs w:val="32"/>
          <w:highlight w:val="none"/>
          <w:lang w:val="en-US" w:eastAsia="zh-CN"/>
        </w:rPr>
        <w:t xml:space="preserve"> 收支情况</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五、</w:t>
      </w:r>
      <w:r>
        <w:rPr>
          <w:rFonts w:hint="eastAsia" w:ascii="宋体" w:hAnsi="宋体" w:eastAsia="宋体" w:cs="宋体"/>
          <w:sz w:val="32"/>
          <w:szCs w:val="32"/>
          <w:highlight w:val="none"/>
        </w:rPr>
        <w:t>收支说明</w:t>
      </w:r>
    </w:p>
    <w:p>
      <w:pPr>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第三部分</w:t>
      </w:r>
      <w:r>
        <w:rPr>
          <w:rFonts w:hint="eastAsia" w:ascii="宋体" w:hAnsi="宋体" w:eastAsia="宋体" w:cs="宋体"/>
          <w:b/>
          <w:bCs/>
          <w:sz w:val="32"/>
          <w:szCs w:val="32"/>
          <w:highlight w:val="none"/>
          <w:lang w:val="en-US" w:eastAsia="zh-CN"/>
        </w:rPr>
        <w:t xml:space="preserve">  其他情况</w:t>
      </w:r>
    </w:p>
    <w:p>
      <w:pPr>
        <w:rPr>
          <w:rFonts w:hint="eastAsia" w:ascii="宋体" w:hAnsi="宋体" w:eastAsia="宋体" w:cs="宋体"/>
          <w:sz w:val="32"/>
          <w:szCs w:val="32"/>
          <w:highlight w:val="none"/>
          <w:u w:val="single"/>
          <w:lang w:eastAsia="zh-CN"/>
        </w:rPr>
      </w:pPr>
      <w:r>
        <w:rPr>
          <w:rFonts w:hint="eastAsia" w:ascii="宋体" w:hAnsi="宋体" w:eastAsia="宋体" w:cs="宋体"/>
          <w:sz w:val="32"/>
          <w:szCs w:val="32"/>
          <w:highlight w:val="none"/>
          <w:lang w:eastAsia="zh-CN"/>
        </w:rPr>
        <w:t>六</w:t>
      </w:r>
      <w:r>
        <w:rPr>
          <w:rFonts w:hint="eastAsia" w:ascii="宋体" w:hAnsi="宋体" w:eastAsia="宋体" w:cs="宋体"/>
          <w:sz w:val="32"/>
          <w:szCs w:val="32"/>
          <w:highlight w:val="none"/>
        </w:rPr>
        <w:t>、</w:t>
      </w:r>
      <w:r>
        <w:rPr>
          <w:rFonts w:hint="eastAsia" w:ascii="宋体" w:hAnsi="宋体" w:eastAsia="宋体" w:cs="宋体"/>
          <w:sz w:val="32"/>
          <w:szCs w:val="32"/>
          <w:highlight w:val="none"/>
          <w:u w:val="none"/>
          <w:lang w:eastAsia="zh-CN"/>
        </w:rPr>
        <w:t>“三公”经费及会议费、培训费情况说明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七</w:t>
      </w:r>
      <w:r>
        <w:rPr>
          <w:rFonts w:hint="eastAsia" w:ascii="宋体" w:hAnsi="宋体" w:eastAsia="宋体" w:cs="宋体"/>
          <w:sz w:val="32"/>
          <w:szCs w:val="32"/>
          <w:highlight w:val="none"/>
        </w:rPr>
        <w:t>、国有资产占有使用</w:t>
      </w:r>
      <w:r>
        <w:rPr>
          <w:rFonts w:hint="eastAsia" w:ascii="宋体" w:hAnsi="宋体" w:eastAsia="宋体" w:cs="宋体"/>
          <w:sz w:val="32"/>
          <w:szCs w:val="32"/>
          <w:highlight w:val="none"/>
          <w:lang w:eastAsia="zh-CN"/>
        </w:rPr>
        <w:t>及资产购置</w:t>
      </w:r>
      <w:r>
        <w:rPr>
          <w:rFonts w:hint="eastAsia" w:ascii="宋体" w:hAnsi="宋体" w:eastAsia="宋体" w:cs="宋体"/>
          <w:sz w:val="32"/>
          <w:szCs w:val="32"/>
          <w:highlight w:val="none"/>
        </w:rPr>
        <w:t>情况说明</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八、政府采购</w:t>
      </w:r>
      <w:r>
        <w:rPr>
          <w:rFonts w:hint="eastAsia" w:ascii="宋体" w:hAnsi="宋体" w:eastAsia="宋体" w:cs="宋体"/>
          <w:sz w:val="32"/>
          <w:szCs w:val="32"/>
          <w:highlight w:val="none"/>
        </w:rPr>
        <w:t>情况说明</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九、</w:t>
      </w:r>
      <w:r>
        <w:rPr>
          <w:rFonts w:hint="eastAsia" w:ascii="宋体" w:hAnsi="宋体" w:eastAsia="宋体" w:cs="宋体"/>
          <w:sz w:val="32"/>
          <w:szCs w:val="32"/>
          <w:highlight w:val="none"/>
        </w:rPr>
        <w:t>绩效目标说明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十</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机关运行经费安排说明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十一、</w:t>
      </w:r>
      <w:r>
        <w:rPr>
          <w:rFonts w:hint="eastAsia" w:ascii="宋体" w:hAnsi="宋体" w:eastAsia="宋体" w:cs="宋体"/>
          <w:sz w:val="32"/>
          <w:szCs w:val="32"/>
          <w:highlight w:val="none"/>
          <w:lang w:eastAsia="zh-CN"/>
        </w:rPr>
        <w:t>专业名词解释</w:t>
      </w:r>
    </w:p>
    <w:p>
      <w:pPr>
        <w:jc w:val="both"/>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第四部分</w:t>
      </w:r>
      <w:r>
        <w:rPr>
          <w:rFonts w:hint="eastAsia" w:ascii="宋体" w:hAnsi="宋体" w:eastAsia="宋体" w:cs="宋体"/>
          <w:b/>
          <w:bCs/>
          <w:sz w:val="32"/>
          <w:szCs w:val="32"/>
          <w:highlight w:val="none"/>
          <w:lang w:val="en-US" w:eastAsia="zh-CN"/>
        </w:rPr>
        <w:t xml:space="preserve">  公开报表</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br w:type="page"/>
      </w: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第一部分</w:t>
      </w:r>
      <w:r>
        <w:rPr>
          <w:rFonts w:hint="eastAsia" w:ascii="宋体" w:hAnsi="宋体" w:eastAsia="宋体" w:cs="宋体"/>
          <w:b/>
          <w:bCs/>
          <w:sz w:val="32"/>
          <w:szCs w:val="32"/>
          <w:highlight w:val="none"/>
          <w:lang w:val="en-US" w:eastAsia="zh-CN"/>
        </w:rPr>
        <w:t xml:space="preserve">  部门概况</w:t>
      </w:r>
    </w:p>
    <w:p>
      <w:p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一、主要职责</w:t>
      </w:r>
      <w:r>
        <w:rPr>
          <w:rFonts w:hint="eastAsia" w:ascii="仿宋_GB2312" w:hAnsi="仿宋_GB2312" w:eastAsia="仿宋_GB2312" w:cs="仿宋_GB2312"/>
          <w:b/>
          <w:bCs/>
          <w:sz w:val="32"/>
          <w:szCs w:val="32"/>
          <w:highlight w:val="none"/>
          <w:lang w:eastAsia="zh-CN"/>
        </w:rPr>
        <w:t>及机构设置</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一）贯彻执行国家有关工业和商务发展的方针政策和法律法规;拟定全县国内外贸易、外商投资、对外经济合作的发展战略、方针政策及中长期规划、年度发展目标任务;制定全县工业和中小企业(非公经济)发展规划、计划，提出产业布局、结构优化调整意见并组织实施。</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二）提出全县新型工业化发展战略和政策建议,协调解决新型工业化进程中的重大问题;编制实施工业行业、中小企业技术规范和标准,负责除能源外的行业落后产能淘汰和质量管理工作。监测分析全县工业和中小企业(非公经济)运行态势，统计并发布相关信息,进行预测预警和信息引导，协调解决行业运行、中小企业(非公经济)发展中的有关问题并提出政策建议，负责工业应急管理、产业安全和国防动员有关工作。</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三）研究提出深化流通体制改革意见，负责推进全县流通产业结构调整,指导流通企业改革、商贸服务业和社区商业发展，提出促进商贸中小企业发展的政策建议,推动流通标准化和连锁经营、商业特许经营、物流配送、电子商务等现代流通方式的发展;负责流通企业节能减排和再生资源回收工作。拟订全县内贸发展规划，促进城乡市场发展，研究提出引导县内外资金投向市场体系建设的政策,指导大宗产品批发市场规划和城市商业网点规划、商业体系建设工作，推进农村市场体系建设，组织实施农村现代流通网络工程。</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四）负责提出全县工业和中小企业(非公经济)固定资产投资规模和方向(含利用外资和境外投资)、财政性建设资金安排意见;拟订并组织实施全县工业、中小企业能源节约、资源综合利用、清洁生产促进政策和规划，组织协调相关重大示范工程和新产品、新技术、新设备、新材料的推广应用，推动淘汰落后产能。负责全县民爆物品的生产、流通、储存和安全管理工作。</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五）贯彻实施国家高新技术产业中涉及生物医药、新材料等的规划、政策和标准;组织实施行业(中小企业)技术进步和技术创新，以先进适用技术改造提升传统产业，组织实施国家、省、市重大科技项目，推进科研成果转化，推动装备制造业、软件业、信息服务业、高新技术产业等新兴产业发展。依法加强产权交易市场的培育，规范产权交易行为，搭建企业重组“平台”。推进全县工业和信息化产业体制改革和管理创新，提高行业发展水平和核心竞争力。负责网络强国建设相关工作，统筹推动大数据产业向纵深发展。</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六）承担牵头协调整顿和规范市场经济秩序工作的责任，贯彻执行国家规范市场运行、流通秩序的政策,推动商务领域信用建设，指导全县商业信用销售，建立市场诚信公共服务平台，按有关规定对特殊流通行业进行监督管理。</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七）承担全县煤炭、黄金、机械、化工、有色、冶金、轻工、纺织、建材、室内装饰等工业行业管理，负责煤矿安全监管工作，以及工业行业中、长期规划和产业规划的编制衔接，协调行业之间的关系和发展中的重大问题。</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（八）负责管理全县食盐专营工作，组织实施食盐储备管理以及宏观调控等工作。</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九）执行国家进出口商品、加工贸易、服务贸易管理办法和进出口管理商品、技术目录，组织落实国家促进外贸增长方式转变的政策措施;负责进出口配额计划的编制、申报并组织实施;指导和推进贸易促进活动和外贸促进体系建设;贯彻执行国家对外技术贸易、进出口管制以及鼓励技术和成套设备进出口的贸易政策，推进进出口贸易标准化工作，依法监督技术引进、设备进口、国家限制出口技术工作。</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十）依照《中华人民共和国公司法》等法律法规，指导企业深化改革和实施重组，推进现代企业制度建设，完善公司法人治理结构，强化企业管理，提升经营水平，提高经济效益;指导企业股份制改造和公司上市的辅导、审核和推荐工作。</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十一）贯彻执行国家有关中小企业(非公经济)发展的方针政策和法律法规,制定并组织实施中小企业发展规划和工业园区建设规划，研究并提出扶持中小企业(非公经济)发展的政策和措施，促进全县非公经济发展工作;负责中小企业(非公经济)各项扶持资金的申报审核、批准上报和使用监管工作;指导企业经济技术协作，开展招商引资，协调推动企业与科研院所、高等院校的合作，增强自主创新能力;健全企业维权工作机制，维护企业和企业家的合法权益，开展企业减负工作;实施产业引导、创业辅导和政策扶持，培植经济主体;加快中小企业(非公经济)生产要素市场化建设,负责中小企业信用担保业的发展和融资担保机制的建立，指导协调中小企业融资工作。</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十二）承担组织实施全县重要消费品市场调控和重要生产资料流通管理的责任，负责建立健全全县生活必需品市场供应应急管理机制，监测分析市场运行、商品供求状况，调查分析商品价格信息，进行预测预警和信息引导，按分工负责重要消费品储备管理和市场调控工作，按有关规定对成品油流通进行监督管理。</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十三）承担组织协调我县反倾销、反补贴保障措施及其他与进出口公平贸易相关的工作，建立进出口公平贸易预警机制，组织产业损害调查;指导协调国外对我县出口商品的反倾销、反补贴保障措施的应诉及相关工作。</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十四）指导全县外商投资工作，贯彻执行国家有关外商投资政策和改革方案，依法核准外商投资企业的设立及变更事项，依法监督检查外商投资企业执行有关法律法规、规章、合同章程的情况并协调解决有关问题;分析研究全县外商投资情况,定期向县政府报送有关动态和建议。</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十五）负责全县对外经济合作工作;拟订并执行全县对外经济技术合作政策，依法管理和监督我县境(国)外承包工程、境(国)外劳务合作等，拟订本县人员出境就业管理政策，负责牵头外派劳务和境外就业人员的权益保护工作,负责县内企业对外投资开办企业(金融企业除外)的初审工作;管理外国及香港、澳门特别行政区、台湾驻县商务代表机构的设立业务。</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（十六）负责对外援助工作，管理多、双边对我县的无偿援助和赠款(不含财政合作项下外国政府及国际金融组织对中国赠款)等发展合作业务;监督检查援外项目实施情况。</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十七）负责全县有关出国经贸展览和国外来镇展览业务及相关事宜的组织、协调、监督和管理工作;进行经贸信息的收集、整理、传递和发布工作;联络组织国内外经贸洽谈和技术交流活动;向国内外有关企业和机构提供经贸信息、咨询及资信调查等各类服务。</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（十八）管理县电子商务服务中心。</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（十九）完成县委、县政府交办的其他任务。</w:t>
      </w:r>
    </w:p>
    <w:p>
      <w:pPr>
        <w:autoSpaceDE w:val="0"/>
        <w:autoSpaceDN w:val="0"/>
        <w:adjustRightInd w:val="0"/>
        <w:ind w:firstLine="602" w:firstLineChars="200"/>
        <w:jc w:val="left"/>
        <w:rPr>
          <w:rFonts w:ascii="仿宋_GB2312" w:hAnsi="Verdana" w:eastAsia="仿宋_GB2312" w:cs="宋体"/>
          <w:b/>
          <w:bCs/>
          <w:sz w:val="30"/>
          <w:szCs w:val="30"/>
        </w:rPr>
      </w:pPr>
      <w:r>
        <w:rPr>
          <w:rFonts w:hint="eastAsia" w:ascii="仿宋_GB2312" w:hAnsi="Verdana" w:eastAsia="仿宋_GB2312" w:cs="宋体"/>
          <w:b/>
          <w:bCs/>
          <w:sz w:val="30"/>
          <w:szCs w:val="30"/>
        </w:rPr>
        <w:t>（二十）县经济贸易局设下列内设机构：</w:t>
      </w:r>
    </w:p>
    <w:p>
      <w:pPr>
        <w:autoSpaceDE w:val="0"/>
        <w:autoSpaceDN w:val="0"/>
        <w:adjustRightInd w:val="0"/>
        <w:ind w:firstLine="600" w:firstLineChars="200"/>
        <w:jc w:val="left"/>
        <w:rPr>
          <w:rFonts w:ascii="仿宋_GB2312" w:hAnsi="Verdana" w:eastAsia="仿宋_GB2312" w:cs="宋体"/>
          <w:sz w:val="30"/>
          <w:szCs w:val="30"/>
        </w:rPr>
      </w:pPr>
      <w:r>
        <w:rPr>
          <w:rFonts w:hint="eastAsia" w:ascii="仿宋_GB2312" w:hAnsi="Verdana" w:eastAsia="仿宋_GB2312" w:cs="宋体"/>
          <w:sz w:val="30"/>
          <w:szCs w:val="30"/>
        </w:rPr>
        <w:t>（1）政办股负责局机关党务、政务、事务工作，制定机关各项规章制度并督促检查落实情况</w:t>
      </w:r>
      <w:r>
        <w:rPr>
          <w:rFonts w:ascii="仿宋_GB2312" w:hAnsi="Verdana" w:eastAsia="仿宋_GB2312" w:cs="宋体"/>
          <w:sz w:val="30"/>
          <w:szCs w:val="30"/>
        </w:rPr>
        <w:t>;</w:t>
      </w:r>
      <w:r>
        <w:rPr>
          <w:rFonts w:hint="eastAsia" w:ascii="仿宋_GB2312" w:hAnsi="Verdana" w:eastAsia="仿宋_GB2312" w:cs="宋体"/>
          <w:sz w:val="30"/>
          <w:szCs w:val="30"/>
        </w:rPr>
        <w:t>负责综合性文件的草拟、会议组织和会议决定事项的督办</w:t>
      </w:r>
      <w:r>
        <w:rPr>
          <w:rFonts w:ascii="仿宋_GB2312" w:hAnsi="Verdana" w:eastAsia="仿宋_GB2312" w:cs="宋体"/>
          <w:sz w:val="30"/>
          <w:szCs w:val="30"/>
        </w:rPr>
        <w:t>;</w:t>
      </w:r>
      <w:r>
        <w:rPr>
          <w:rFonts w:hint="eastAsia" w:ascii="仿宋_GB2312" w:hAnsi="Verdana" w:eastAsia="仿宋_GB2312" w:cs="宋体"/>
          <w:sz w:val="30"/>
          <w:szCs w:val="30"/>
        </w:rPr>
        <w:t>负责局机关机构编制、文秘、财务、公文管理、政务信息、劳资、机要、保密、档案、精神文明、纪检监察、党风廉政、宣传、信访维稳和接待以及上级部门安排的临时性、阶段性工作</w:t>
      </w:r>
      <w:r>
        <w:rPr>
          <w:rFonts w:ascii="仿宋_GB2312" w:hAnsi="Verdana" w:eastAsia="仿宋_GB2312" w:cs="宋体"/>
          <w:sz w:val="30"/>
          <w:szCs w:val="30"/>
        </w:rPr>
        <w:t>;</w:t>
      </w:r>
      <w:r>
        <w:rPr>
          <w:rFonts w:hint="eastAsia" w:ascii="仿宋_GB2312" w:hAnsi="Verdana" w:eastAsia="仿宋_GB2312" w:cs="宋体"/>
          <w:sz w:val="30"/>
          <w:szCs w:val="30"/>
        </w:rPr>
        <w:t>负责人大建议和政协提案的办理</w:t>
      </w:r>
      <w:r>
        <w:rPr>
          <w:rFonts w:ascii="仿宋_GB2312" w:hAnsi="Verdana" w:eastAsia="仿宋_GB2312" w:cs="宋体"/>
          <w:sz w:val="30"/>
          <w:szCs w:val="30"/>
        </w:rPr>
        <w:t>;</w:t>
      </w:r>
      <w:r>
        <w:rPr>
          <w:rFonts w:hint="eastAsia" w:ascii="仿宋_GB2312" w:hAnsi="Verdana" w:eastAsia="仿宋_GB2312" w:cs="宋体"/>
          <w:sz w:val="30"/>
          <w:szCs w:val="30"/>
        </w:rPr>
        <w:t>组织实施局机关目标责任及考核、奖惩工作</w:t>
      </w:r>
      <w:r>
        <w:rPr>
          <w:rFonts w:ascii="仿宋_GB2312" w:hAnsi="Verdana" w:eastAsia="仿宋_GB2312" w:cs="宋体"/>
          <w:sz w:val="30"/>
          <w:szCs w:val="30"/>
        </w:rPr>
        <w:t>;</w:t>
      </w:r>
      <w:r>
        <w:rPr>
          <w:rFonts w:hint="eastAsia" w:ascii="仿宋_GB2312" w:hAnsi="Verdana" w:eastAsia="仿宋_GB2312" w:cs="宋体"/>
          <w:sz w:val="30"/>
          <w:szCs w:val="30"/>
        </w:rPr>
        <w:t>负责房产、办公设备的配置、安全保卫、环境卫生、计划生育、后勤、双创等以及领导交办的其他工作。</w:t>
      </w:r>
    </w:p>
    <w:p>
      <w:pPr>
        <w:autoSpaceDE w:val="0"/>
        <w:autoSpaceDN w:val="0"/>
        <w:adjustRightInd w:val="0"/>
        <w:ind w:firstLine="600" w:firstLineChars="200"/>
        <w:jc w:val="left"/>
        <w:rPr>
          <w:rFonts w:ascii="仿宋_GB2312" w:hAnsi="Verdana" w:eastAsia="仿宋_GB2312" w:cs="宋体"/>
          <w:sz w:val="30"/>
          <w:szCs w:val="30"/>
        </w:rPr>
      </w:pPr>
      <w:r>
        <w:rPr>
          <w:rFonts w:hint="eastAsia" w:ascii="仿宋_GB2312" w:hAnsi="Verdana" w:eastAsia="仿宋_GB2312" w:cs="宋体"/>
          <w:sz w:val="30"/>
          <w:szCs w:val="30"/>
        </w:rPr>
        <w:t>（2）商务股对全县轻工、石油、化工、建材、森工、室内装饰等行业进行行业管理</w:t>
      </w:r>
      <w:r>
        <w:rPr>
          <w:rFonts w:ascii="仿宋_GB2312" w:hAnsi="Verdana" w:eastAsia="仿宋_GB2312" w:cs="宋体"/>
          <w:sz w:val="30"/>
          <w:szCs w:val="30"/>
        </w:rPr>
        <w:t>;</w:t>
      </w:r>
      <w:r>
        <w:rPr>
          <w:rFonts w:hint="eastAsia" w:ascii="仿宋_GB2312" w:hAnsi="Verdana" w:eastAsia="仿宋_GB2312" w:cs="宋体"/>
          <w:sz w:val="30"/>
          <w:szCs w:val="30"/>
        </w:rPr>
        <w:t>贯彻执行相关法规，研究制订商贸企业的中长期发展规划，指导流通体制改革，监测分析市场运行和重要产品的产销状况并组织调控</w:t>
      </w:r>
      <w:r>
        <w:rPr>
          <w:rFonts w:ascii="仿宋_GB2312" w:hAnsi="Verdana" w:eastAsia="仿宋_GB2312" w:cs="宋体"/>
          <w:sz w:val="30"/>
          <w:szCs w:val="30"/>
        </w:rPr>
        <w:t>;</w:t>
      </w:r>
      <w:r>
        <w:rPr>
          <w:rFonts w:hint="eastAsia" w:ascii="仿宋_GB2312" w:hAnsi="Verdana" w:eastAsia="仿宋_GB2312" w:cs="宋体"/>
          <w:sz w:val="30"/>
          <w:szCs w:val="30"/>
        </w:rPr>
        <w:t>负责对商贸企业实行宏观管理和调控指导</w:t>
      </w:r>
      <w:r>
        <w:rPr>
          <w:rFonts w:ascii="仿宋_GB2312" w:hAnsi="Verdana" w:eastAsia="仿宋_GB2312" w:cs="宋体"/>
          <w:sz w:val="30"/>
          <w:szCs w:val="30"/>
        </w:rPr>
        <w:t>;</w:t>
      </w:r>
    </w:p>
    <w:p>
      <w:pPr>
        <w:autoSpaceDE w:val="0"/>
        <w:autoSpaceDN w:val="0"/>
        <w:adjustRightInd w:val="0"/>
        <w:jc w:val="left"/>
        <w:rPr>
          <w:rFonts w:ascii="仿宋_GB2312" w:hAnsi="Verdana" w:eastAsia="仿宋_GB2312" w:cs="宋体"/>
          <w:sz w:val="30"/>
          <w:szCs w:val="30"/>
        </w:rPr>
      </w:pPr>
      <w:r>
        <w:rPr>
          <w:rFonts w:hint="eastAsia" w:ascii="仿宋_GB2312" w:hAnsi="Verdana" w:eastAsia="仿宋_GB2312" w:cs="宋体"/>
          <w:sz w:val="30"/>
          <w:szCs w:val="30"/>
        </w:rPr>
        <w:t>合理规划全县商品流通市场和网点布局，培育发展和完善市场体系</w:t>
      </w:r>
      <w:r>
        <w:rPr>
          <w:rFonts w:ascii="仿宋_GB2312" w:hAnsi="Verdana" w:eastAsia="仿宋_GB2312" w:cs="宋体"/>
          <w:sz w:val="30"/>
          <w:szCs w:val="30"/>
        </w:rPr>
        <w:t>;</w:t>
      </w:r>
      <w:r>
        <w:rPr>
          <w:rFonts w:hint="eastAsia" w:ascii="仿宋_GB2312" w:hAnsi="Verdana" w:eastAsia="仿宋_GB2312" w:cs="宋体"/>
          <w:sz w:val="30"/>
          <w:szCs w:val="30"/>
        </w:rPr>
        <w:t>负责整顿和规范市场经济秩序的日常工作</w:t>
      </w:r>
      <w:r>
        <w:rPr>
          <w:rFonts w:ascii="仿宋_GB2312" w:hAnsi="Verdana" w:eastAsia="仿宋_GB2312" w:cs="宋体"/>
          <w:sz w:val="30"/>
          <w:szCs w:val="30"/>
        </w:rPr>
        <w:t>;</w:t>
      </w:r>
      <w:r>
        <w:rPr>
          <w:rFonts w:hint="eastAsia" w:ascii="仿宋_GB2312" w:hAnsi="Verdana" w:eastAsia="仿宋_GB2312" w:cs="宋体"/>
          <w:sz w:val="30"/>
          <w:szCs w:val="30"/>
        </w:rPr>
        <w:t>组织拟订餐饮、住宿及有关服务业分等级标准并指导评定</w:t>
      </w:r>
      <w:r>
        <w:rPr>
          <w:rFonts w:ascii="仿宋_GB2312" w:hAnsi="Verdana" w:eastAsia="仿宋_GB2312" w:cs="宋体"/>
          <w:sz w:val="30"/>
          <w:szCs w:val="30"/>
        </w:rPr>
        <w:t>;</w:t>
      </w:r>
      <w:r>
        <w:rPr>
          <w:rFonts w:hint="eastAsia" w:ascii="仿宋_GB2312" w:hAnsi="Verdana" w:eastAsia="仿宋_GB2312" w:cs="宋体"/>
          <w:sz w:val="30"/>
          <w:szCs w:val="30"/>
        </w:rPr>
        <w:t>负责商业、服务业从业人员的培训，拟定并组织实施服务业发展与规划的政策、行业规划和技术标准</w:t>
      </w:r>
      <w:r>
        <w:rPr>
          <w:rFonts w:ascii="仿宋_GB2312" w:hAnsi="Verdana" w:eastAsia="仿宋_GB2312" w:cs="宋体"/>
          <w:sz w:val="30"/>
          <w:szCs w:val="30"/>
        </w:rPr>
        <w:t>;</w:t>
      </w:r>
      <w:r>
        <w:rPr>
          <w:rFonts w:hint="eastAsia" w:ascii="仿宋_GB2312" w:hAnsi="Verdana" w:eastAsia="仿宋_GB2312" w:cs="宋体"/>
          <w:sz w:val="30"/>
          <w:szCs w:val="30"/>
        </w:rPr>
        <w:t>负责全县商贸流通领域商品质量管理工作，组织实施流通环节质量安全标准认证体系</w:t>
      </w:r>
      <w:r>
        <w:rPr>
          <w:rFonts w:ascii="仿宋_GB2312" w:hAnsi="Verdana" w:eastAsia="仿宋_GB2312" w:cs="宋体"/>
          <w:sz w:val="30"/>
          <w:szCs w:val="30"/>
        </w:rPr>
        <w:t>;</w:t>
      </w:r>
      <w:r>
        <w:rPr>
          <w:rFonts w:hint="eastAsia" w:ascii="仿宋_GB2312" w:hAnsi="Verdana" w:eastAsia="仿宋_GB2312" w:cs="宋体"/>
          <w:sz w:val="30"/>
          <w:szCs w:val="30"/>
        </w:rPr>
        <w:t>负责全县“万村千乡”、“家电下乡”、“双百市场”、“农超对接”等工程项目的组织实施工作。</w:t>
      </w:r>
    </w:p>
    <w:p>
      <w:pPr>
        <w:autoSpaceDE w:val="0"/>
        <w:autoSpaceDN w:val="0"/>
        <w:adjustRightInd w:val="0"/>
        <w:ind w:firstLine="600" w:firstLineChars="200"/>
        <w:jc w:val="left"/>
        <w:rPr>
          <w:rFonts w:ascii="仿宋_GB2312" w:hAnsi="Verdana" w:eastAsia="仿宋_GB2312" w:cs="宋体"/>
          <w:sz w:val="30"/>
          <w:szCs w:val="30"/>
        </w:rPr>
      </w:pPr>
      <w:r>
        <w:rPr>
          <w:rFonts w:hint="eastAsia" w:ascii="仿宋_GB2312" w:hAnsi="Verdana" w:eastAsia="仿宋_GB2312" w:cs="宋体"/>
          <w:sz w:val="30"/>
          <w:szCs w:val="30"/>
        </w:rPr>
        <w:t>（3）工业经济运行监测协调股负责全县工业运行监测和态势分析，进行预测预警和信息引导，科学制定工业年度发展目标，协调解决运行中的重大的问题，准确把握发展动态趋势</w:t>
      </w:r>
      <w:r>
        <w:rPr>
          <w:rFonts w:ascii="仿宋_GB2312" w:hAnsi="Verdana" w:eastAsia="仿宋_GB2312" w:cs="宋体"/>
          <w:sz w:val="30"/>
          <w:szCs w:val="30"/>
        </w:rPr>
        <w:t>,</w:t>
      </w:r>
      <w:r>
        <w:rPr>
          <w:rFonts w:hint="eastAsia" w:ascii="仿宋_GB2312" w:hAnsi="Verdana" w:eastAsia="仿宋_GB2312" w:cs="宋体"/>
          <w:sz w:val="30"/>
          <w:szCs w:val="30"/>
        </w:rPr>
        <w:t>及时为主管部门和政府领导决策提供依据</w:t>
      </w:r>
      <w:r>
        <w:rPr>
          <w:rFonts w:ascii="仿宋_GB2312" w:hAnsi="Verdana" w:eastAsia="仿宋_GB2312" w:cs="宋体"/>
          <w:sz w:val="30"/>
          <w:szCs w:val="30"/>
        </w:rPr>
        <w:t>;</w:t>
      </w:r>
      <w:r>
        <w:rPr>
          <w:rFonts w:hint="eastAsia" w:ascii="仿宋_GB2312" w:hAnsi="Verdana" w:eastAsia="仿宋_GB2312" w:cs="宋体"/>
          <w:sz w:val="30"/>
          <w:szCs w:val="30"/>
        </w:rPr>
        <w:t>负责全县工业年度发展目标完成情况的考核评价和重要报告的草拟</w:t>
      </w:r>
      <w:r>
        <w:rPr>
          <w:rFonts w:ascii="仿宋_GB2312" w:hAnsi="Verdana" w:eastAsia="仿宋_GB2312" w:cs="宋体"/>
          <w:sz w:val="30"/>
          <w:szCs w:val="30"/>
        </w:rPr>
        <w:t>;</w:t>
      </w:r>
      <w:r>
        <w:rPr>
          <w:rFonts w:hint="eastAsia" w:ascii="仿宋_GB2312" w:hAnsi="Verdana" w:eastAsia="仿宋_GB2312" w:cs="宋体"/>
          <w:sz w:val="30"/>
          <w:szCs w:val="30"/>
        </w:rPr>
        <w:t>承担工业应急管理、产业安全和国防动员相关工作</w:t>
      </w:r>
      <w:r>
        <w:rPr>
          <w:rFonts w:ascii="仿宋_GB2312" w:hAnsi="Verdana" w:eastAsia="仿宋_GB2312" w:cs="宋体"/>
          <w:sz w:val="30"/>
          <w:szCs w:val="30"/>
        </w:rPr>
        <w:t>;</w:t>
      </w:r>
      <w:r>
        <w:rPr>
          <w:rFonts w:hint="eastAsia" w:ascii="仿宋_GB2312" w:hAnsi="Verdana" w:eastAsia="仿宋_GB2312" w:cs="宋体"/>
          <w:sz w:val="30"/>
          <w:szCs w:val="30"/>
        </w:rPr>
        <w:t>掌握重点企业生产经营状态，准确把握发展动态趋势</w:t>
      </w:r>
      <w:r>
        <w:rPr>
          <w:rFonts w:ascii="仿宋_GB2312" w:hAnsi="Verdana" w:eastAsia="仿宋_GB2312" w:cs="宋体"/>
          <w:sz w:val="30"/>
          <w:szCs w:val="30"/>
        </w:rPr>
        <w:t>,</w:t>
      </w:r>
      <w:r>
        <w:rPr>
          <w:rFonts w:hint="eastAsia" w:ascii="仿宋_GB2312" w:hAnsi="Verdana" w:eastAsia="仿宋_GB2312" w:cs="宋体"/>
          <w:sz w:val="30"/>
          <w:szCs w:val="30"/>
        </w:rPr>
        <w:t>及时为主管部门和政府领导决策提供依据，反馈宏观政策和领导决策意见</w:t>
      </w:r>
      <w:r>
        <w:rPr>
          <w:rFonts w:ascii="仿宋_GB2312" w:hAnsi="Verdana" w:eastAsia="仿宋_GB2312" w:cs="宋体"/>
          <w:sz w:val="30"/>
          <w:szCs w:val="30"/>
        </w:rPr>
        <w:t>;</w:t>
      </w:r>
      <w:r>
        <w:rPr>
          <w:rFonts w:hint="eastAsia" w:ascii="仿宋_GB2312" w:hAnsi="Verdana" w:eastAsia="仿宋_GB2312" w:cs="宋体"/>
          <w:sz w:val="30"/>
          <w:szCs w:val="30"/>
        </w:rPr>
        <w:t>组织开展项目推介，搭建平台，促进银企合作，保障企业生产经营和项目建设的资金需求</w:t>
      </w:r>
      <w:r>
        <w:rPr>
          <w:rFonts w:ascii="仿宋_GB2312" w:hAnsi="Verdana" w:eastAsia="仿宋_GB2312" w:cs="宋体"/>
          <w:sz w:val="30"/>
          <w:szCs w:val="30"/>
        </w:rPr>
        <w:t>;</w:t>
      </w:r>
      <w:r>
        <w:rPr>
          <w:rFonts w:hint="eastAsia" w:ascii="仿宋_GB2312" w:hAnsi="Verdana" w:eastAsia="仿宋_GB2312" w:cs="宋体"/>
          <w:sz w:val="30"/>
          <w:szCs w:val="30"/>
        </w:rPr>
        <w:t>指导企业改革和技术进步，规范企业行为；负责全县民用爆破物品销售许可的监督管理工作；贯彻落实中、省、市关于盐业管理的有关政策规定，承担盐业行业管理职责。</w:t>
      </w:r>
    </w:p>
    <w:p>
      <w:pPr>
        <w:autoSpaceDE w:val="0"/>
        <w:autoSpaceDN w:val="0"/>
        <w:adjustRightInd w:val="0"/>
        <w:ind w:firstLine="600" w:firstLineChars="200"/>
        <w:jc w:val="left"/>
        <w:rPr>
          <w:rFonts w:ascii="仿宋_GB2312" w:hAnsi="Verdana" w:eastAsia="仿宋_GB2312" w:cs="宋体"/>
          <w:sz w:val="30"/>
          <w:szCs w:val="30"/>
        </w:rPr>
      </w:pPr>
      <w:r>
        <w:rPr>
          <w:rFonts w:hint="eastAsia" w:ascii="仿宋_GB2312" w:hAnsi="Verdana" w:eastAsia="仿宋_GB2312" w:cs="宋体"/>
          <w:sz w:val="30"/>
          <w:szCs w:val="30"/>
        </w:rPr>
        <w:t>（4）项目建设股研究提出新型工业化、信息化产业发展战略，制定工业和信息化发展规划并监督执行，组织推进产业结构调整、工业与相关产业融合发展</w:t>
      </w:r>
      <w:r>
        <w:rPr>
          <w:rFonts w:ascii="仿宋_GB2312" w:hAnsi="Verdana" w:eastAsia="仿宋_GB2312" w:cs="宋体"/>
          <w:sz w:val="30"/>
          <w:szCs w:val="30"/>
        </w:rPr>
        <w:t>,</w:t>
      </w:r>
      <w:r>
        <w:rPr>
          <w:rFonts w:hint="eastAsia" w:ascii="仿宋_GB2312" w:hAnsi="Verdana" w:eastAsia="仿宋_GB2312" w:cs="宋体"/>
          <w:sz w:val="30"/>
          <w:szCs w:val="30"/>
        </w:rPr>
        <w:t>参与投资项目的审核</w:t>
      </w:r>
      <w:r>
        <w:rPr>
          <w:rFonts w:ascii="仿宋_GB2312" w:hAnsi="Verdana" w:eastAsia="仿宋_GB2312" w:cs="宋体"/>
          <w:sz w:val="30"/>
          <w:szCs w:val="30"/>
        </w:rPr>
        <w:t>;</w:t>
      </w:r>
      <w:r>
        <w:rPr>
          <w:rFonts w:hint="eastAsia" w:ascii="仿宋_GB2312" w:hAnsi="Verdana" w:eastAsia="仿宋_GB2312" w:cs="宋体"/>
          <w:sz w:val="30"/>
          <w:szCs w:val="30"/>
        </w:rPr>
        <w:t>负责工业技术改造和技术进步工作，承担装备制造、环保产业、安全生产、节能减排、新型材料、食品、医药、纺织等工业技改项目的申报以及项目的管理和资金使用的监督检查等工作。</w:t>
      </w:r>
    </w:p>
    <w:p>
      <w:pPr>
        <w:autoSpaceDE w:val="0"/>
        <w:autoSpaceDN w:val="0"/>
        <w:adjustRightInd w:val="0"/>
        <w:ind w:firstLine="600" w:firstLineChars="200"/>
        <w:jc w:val="left"/>
        <w:rPr>
          <w:rFonts w:ascii="仿宋_GB2312" w:hAnsi="Verdana" w:eastAsia="仿宋_GB2312" w:cs="宋体"/>
          <w:sz w:val="30"/>
          <w:szCs w:val="30"/>
        </w:rPr>
      </w:pPr>
      <w:r>
        <w:rPr>
          <w:rFonts w:hint="eastAsia" w:ascii="仿宋_GB2312" w:hAnsi="Verdana" w:eastAsia="仿宋_GB2312" w:cs="宋体"/>
          <w:sz w:val="30"/>
          <w:szCs w:val="30"/>
        </w:rPr>
        <w:t>（5）产业规划与企业发展股拟定并组织实施中小企业发展规划和工业园区建设规划</w:t>
      </w:r>
      <w:r>
        <w:rPr>
          <w:rFonts w:ascii="仿宋_GB2312" w:hAnsi="Verdana" w:eastAsia="仿宋_GB2312" w:cs="宋体"/>
          <w:sz w:val="30"/>
          <w:szCs w:val="30"/>
        </w:rPr>
        <w:t>,</w:t>
      </w:r>
      <w:r>
        <w:rPr>
          <w:rFonts w:hint="eastAsia" w:ascii="仿宋_GB2312" w:hAnsi="Verdana" w:eastAsia="仿宋_GB2312" w:cs="宋体"/>
          <w:sz w:val="30"/>
          <w:szCs w:val="30"/>
        </w:rPr>
        <w:t>研究并提出扶持中小企业</w:t>
      </w:r>
      <w:r>
        <w:rPr>
          <w:rFonts w:ascii="仿宋_GB2312" w:hAnsi="Verdana" w:eastAsia="仿宋_GB2312" w:cs="宋体"/>
          <w:sz w:val="30"/>
          <w:szCs w:val="30"/>
        </w:rPr>
        <w:t>(</w:t>
      </w:r>
      <w:r>
        <w:rPr>
          <w:rFonts w:hint="eastAsia" w:ascii="仿宋_GB2312" w:hAnsi="Verdana" w:eastAsia="仿宋_GB2312" w:cs="宋体"/>
          <w:sz w:val="30"/>
          <w:szCs w:val="30"/>
        </w:rPr>
        <w:t>非公有经济</w:t>
      </w:r>
      <w:r>
        <w:rPr>
          <w:rFonts w:ascii="仿宋_GB2312" w:hAnsi="Verdana" w:eastAsia="仿宋_GB2312" w:cs="宋体"/>
          <w:sz w:val="30"/>
          <w:szCs w:val="30"/>
        </w:rPr>
        <w:t>)</w:t>
      </w:r>
      <w:r>
        <w:rPr>
          <w:rFonts w:hint="eastAsia" w:ascii="仿宋_GB2312" w:hAnsi="Verdana" w:eastAsia="仿宋_GB2312" w:cs="宋体"/>
          <w:sz w:val="30"/>
          <w:szCs w:val="30"/>
        </w:rPr>
        <w:t>发展的政策和措施，促进全县非公经济发展工作</w:t>
      </w:r>
      <w:r>
        <w:rPr>
          <w:rFonts w:ascii="仿宋_GB2312" w:hAnsi="Verdana" w:eastAsia="仿宋_GB2312" w:cs="宋体"/>
          <w:sz w:val="30"/>
          <w:szCs w:val="30"/>
        </w:rPr>
        <w:t>;</w:t>
      </w:r>
      <w:r>
        <w:rPr>
          <w:rFonts w:hint="eastAsia" w:ascii="仿宋_GB2312" w:hAnsi="Verdana" w:eastAsia="仿宋_GB2312" w:cs="宋体"/>
          <w:sz w:val="30"/>
          <w:szCs w:val="30"/>
        </w:rPr>
        <w:t>负责中小企业</w:t>
      </w:r>
      <w:r>
        <w:rPr>
          <w:rFonts w:ascii="仿宋_GB2312" w:hAnsi="Verdana" w:eastAsia="仿宋_GB2312" w:cs="宋体"/>
          <w:sz w:val="30"/>
          <w:szCs w:val="30"/>
        </w:rPr>
        <w:t>(</w:t>
      </w:r>
      <w:r>
        <w:rPr>
          <w:rFonts w:hint="eastAsia" w:ascii="仿宋_GB2312" w:hAnsi="Verdana" w:eastAsia="仿宋_GB2312" w:cs="宋体"/>
          <w:sz w:val="30"/>
          <w:szCs w:val="30"/>
        </w:rPr>
        <w:t>非公经济</w:t>
      </w:r>
      <w:r>
        <w:rPr>
          <w:rFonts w:ascii="仿宋_GB2312" w:hAnsi="Verdana" w:eastAsia="仿宋_GB2312" w:cs="宋体"/>
          <w:sz w:val="30"/>
          <w:szCs w:val="30"/>
        </w:rPr>
        <w:t>)</w:t>
      </w:r>
      <w:r>
        <w:rPr>
          <w:rFonts w:hint="eastAsia" w:ascii="仿宋_GB2312" w:hAnsi="Verdana" w:eastAsia="仿宋_GB2312" w:cs="宋体"/>
          <w:sz w:val="30"/>
          <w:szCs w:val="30"/>
        </w:rPr>
        <w:t>各项扶持资金的审核申报和使用监管工作</w:t>
      </w:r>
      <w:r>
        <w:rPr>
          <w:rFonts w:ascii="仿宋_GB2312" w:hAnsi="Verdana" w:eastAsia="仿宋_GB2312" w:cs="宋体"/>
          <w:sz w:val="30"/>
          <w:szCs w:val="30"/>
        </w:rPr>
        <w:t>;</w:t>
      </w:r>
      <w:r>
        <w:rPr>
          <w:rFonts w:hint="eastAsia" w:ascii="仿宋_GB2312" w:hAnsi="Verdana" w:eastAsia="仿宋_GB2312" w:cs="宋体"/>
          <w:sz w:val="30"/>
          <w:szCs w:val="30"/>
        </w:rPr>
        <w:t>指导企业经济技术协作，开展招商引资，协调推动企业与科研院所、高等院校的合作，增强自主创新能力</w:t>
      </w:r>
      <w:r>
        <w:rPr>
          <w:rFonts w:ascii="仿宋_GB2312" w:hAnsi="Verdana" w:eastAsia="仿宋_GB2312" w:cs="宋体"/>
          <w:sz w:val="30"/>
          <w:szCs w:val="30"/>
        </w:rPr>
        <w:t>;</w:t>
      </w:r>
      <w:r>
        <w:rPr>
          <w:rFonts w:hint="eastAsia" w:ascii="仿宋_GB2312" w:hAnsi="Verdana" w:eastAsia="仿宋_GB2312" w:cs="宋体"/>
          <w:sz w:val="30"/>
          <w:szCs w:val="30"/>
        </w:rPr>
        <w:t>健全企业维权工作机制，维护企业和企业家的合法权益，开展企业减负工作</w:t>
      </w:r>
      <w:r>
        <w:rPr>
          <w:rFonts w:ascii="仿宋_GB2312" w:hAnsi="Verdana" w:eastAsia="仿宋_GB2312" w:cs="宋体"/>
          <w:sz w:val="30"/>
          <w:szCs w:val="30"/>
        </w:rPr>
        <w:t>;</w:t>
      </w:r>
      <w:r>
        <w:rPr>
          <w:rFonts w:hint="eastAsia" w:ascii="仿宋_GB2312" w:hAnsi="Verdana" w:eastAsia="仿宋_GB2312" w:cs="宋体"/>
          <w:sz w:val="30"/>
          <w:szCs w:val="30"/>
        </w:rPr>
        <w:t>负责收集、汇总行业信息和发展动态，并进行综合分析提供市场预测</w:t>
      </w:r>
      <w:r>
        <w:rPr>
          <w:rFonts w:ascii="仿宋_GB2312" w:hAnsi="Verdana" w:eastAsia="仿宋_GB2312" w:cs="宋体"/>
          <w:sz w:val="30"/>
          <w:szCs w:val="30"/>
        </w:rPr>
        <w:t>;</w:t>
      </w:r>
      <w:r>
        <w:rPr>
          <w:rFonts w:hint="eastAsia" w:ascii="仿宋_GB2312" w:hAnsi="Verdana" w:eastAsia="仿宋_GB2312" w:cs="宋体"/>
          <w:sz w:val="30"/>
          <w:szCs w:val="30"/>
        </w:rPr>
        <w:t>贯彻执行国家信息化建设和发展的方针政策</w:t>
      </w:r>
      <w:r>
        <w:rPr>
          <w:rFonts w:ascii="仿宋_GB2312" w:hAnsi="Verdana" w:eastAsia="仿宋_GB2312" w:cs="宋体"/>
          <w:sz w:val="30"/>
          <w:szCs w:val="30"/>
        </w:rPr>
        <w:t>,</w:t>
      </w:r>
      <w:r>
        <w:rPr>
          <w:rFonts w:hint="eastAsia" w:ascii="仿宋_GB2312" w:hAnsi="Verdana" w:eastAsia="仿宋_GB2312" w:cs="宋体"/>
          <w:sz w:val="30"/>
          <w:szCs w:val="30"/>
        </w:rPr>
        <w:t>研究提出发展对策，编制实施全县信息化发展规划，协调信息化建设中的重大问题</w:t>
      </w:r>
      <w:r>
        <w:rPr>
          <w:rFonts w:ascii="仿宋_GB2312" w:hAnsi="Verdana" w:eastAsia="仿宋_GB2312" w:cs="宋体"/>
          <w:sz w:val="30"/>
          <w:szCs w:val="30"/>
        </w:rPr>
        <w:t>;</w:t>
      </w:r>
      <w:r>
        <w:rPr>
          <w:rFonts w:hint="eastAsia" w:ascii="仿宋_GB2312" w:hAnsi="Verdana" w:eastAsia="仿宋_GB2312" w:cs="宋体"/>
          <w:sz w:val="30"/>
          <w:szCs w:val="30"/>
        </w:rPr>
        <w:t>执行信息化建设投资项目管理办法，协调和指导企业信息化工作</w:t>
      </w:r>
      <w:r>
        <w:rPr>
          <w:rFonts w:ascii="仿宋_GB2312" w:hAnsi="Verdana" w:eastAsia="仿宋_GB2312" w:cs="宋体"/>
          <w:sz w:val="30"/>
          <w:szCs w:val="30"/>
        </w:rPr>
        <w:t>,</w:t>
      </w:r>
      <w:r>
        <w:rPr>
          <w:rFonts w:hint="eastAsia" w:ascii="仿宋_GB2312" w:hAnsi="Verdana" w:eastAsia="仿宋_GB2312" w:cs="宋体"/>
          <w:sz w:val="30"/>
          <w:szCs w:val="30"/>
        </w:rPr>
        <w:t>推进信息化与工业化融合、高新技术与传统技术改造结合，促进电信、广播电视和互联网络融合</w:t>
      </w:r>
      <w:r>
        <w:rPr>
          <w:rFonts w:ascii="仿宋_GB2312" w:hAnsi="Verdana" w:eastAsia="仿宋_GB2312" w:cs="宋体"/>
          <w:sz w:val="30"/>
          <w:szCs w:val="30"/>
        </w:rPr>
        <w:t>;</w:t>
      </w:r>
      <w:r>
        <w:rPr>
          <w:rFonts w:hint="eastAsia" w:ascii="仿宋_GB2312" w:hAnsi="Verdana" w:eastAsia="仿宋_GB2312" w:cs="宋体"/>
          <w:sz w:val="30"/>
          <w:szCs w:val="30"/>
        </w:rPr>
        <w:t>抓好非公有经济的统计上报和企业监测工作。</w:t>
      </w:r>
    </w:p>
    <w:p>
      <w:pPr>
        <w:autoSpaceDE w:val="0"/>
        <w:autoSpaceDN w:val="0"/>
        <w:adjustRightInd w:val="0"/>
        <w:ind w:firstLine="600" w:firstLineChars="200"/>
        <w:jc w:val="left"/>
        <w:rPr>
          <w:rFonts w:ascii="仿宋_GB2312" w:hAnsi="Verdana" w:eastAsia="仿宋_GB2312" w:cs="宋体"/>
          <w:sz w:val="30"/>
          <w:szCs w:val="30"/>
        </w:rPr>
      </w:pPr>
      <w:r>
        <w:rPr>
          <w:rFonts w:hint="eastAsia" w:ascii="仿宋_GB2312" w:hAnsi="Verdana" w:eastAsia="仿宋_GB2312" w:cs="宋体"/>
          <w:sz w:val="30"/>
          <w:szCs w:val="30"/>
        </w:rPr>
        <w:t>（6）煤炭管理办公室依据国家相关法律法规和政策规定，负责全县煤炭生产行业管理和开办煤矿立项初审报批、矿井筹建、设计审批和验收，指导煤矿按照生产安全规范要求，完善生产安全设备设施，负责查处煤炭生产中的违法违规行为和煤矿安全生产工作，组织煤矿事故应急救援工作。</w:t>
      </w:r>
    </w:p>
    <w:p>
      <w:pPr>
        <w:autoSpaceDE w:val="0"/>
        <w:autoSpaceDN w:val="0"/>
        <w:adjustRightInd w:val="0"/>
        <w:ind w:firstLine="600" w:firstLineChars="200"/>
        <w:jc w:val="left"/>
        <w:rPr>
          <w:rFonts w:ascii="仿宋_GB2312" w:hAnsi="Verdana" w:eastAsia="仿宋_GB2312" w:cs="宋体"/>
          <w:sz w:val="30"/>
          <w:szCs w:val="30"/>
        </w:rPr>
      </w:pPr>
      <w:r>
        <w:rPr>
          <w:rFonts w:hint="eastAsia" w:ascii="仿宋_GB2312" w:hAnsi="Verdana" w:eastAsia="仿宋_GB2312" w:cs="宋体"/>
          <w:sz w:val="30"/>
          <w:szCs w:val="30"/>
        </w:rPr>
        <w:t>（7）县经济贸易局机关行政编制</w:t>
      </w:r>
      <w:r>
        <w:rPr>
          <w:rFonts w:ascii="仿宋_GB2312" w:hAnsi="Verdana" w:eastAsia="仿宋_GB2312" w:cs="宋体"/>
          <w:sz w:val="30"/>
          <w:szCs w:val="30"/>
        </w:rPr>
        <w:t xml:space="preserve"> 9 </w:t>
      </w:r>
      <w:r>
        <w:rPr>
          <w:rFonts w:hint="eastAsia" w:ascii="仿宋_GB2312" w:hAnsi="Verdana" w:eastAsia="仿宋_GB2312" w:cs="宋体"/>
          <w:sz w:val="30"/>
          <w:szCs w:val="30"/>
        </w:rPr>
        <w:t>名。设局长</w:t>
      </w:r>
      <w:r>
        <w:rPr>
          <w:rFonts w:ascii="仿宋_GB2312" w:hAnsi="Verdana" w:eastAsia="仿宋_GB2312" w:cs="宋体"/>
          <w:sz w:val="30"/>
          <w:szCs w:val="30"/>
        </w:rPr>
        <w:t xml:space="preserve"> 1 </w:t>
      </w:r>
      <w:r>
        <w:rPr>
          <w:rFonts w:hint="eastAsia" w:ascii="仿宋_GB2312" w:hAnsi="Verdana" w:eastAsia="仿宋_GB2312" w:cs="宋体"/>
          <w:sz w:val="30"/>
          <w:szCs w:val="30"/>
        </w:rPr>
        <w:t>名，副局长</w:t>
      </w:r>
      <w:r>
        <w:rPr>
          <w:rFonts w:ascii="仿宋_GB2312" w:hAnsi="Verdana" w:eastAsia="仿宋_GB2312" w:cs="宋体"/>
          <w:sz w:val="30"/>
          <w:szCs w:val="30"/>
        </w:rPr>
        <w:t xml:space="preserve">2 </w:t>
      </w:r>
      <w:r>
        <w:rPr>
          <w:rFonts w:hint="eastAsia" w:ascii="仿宋_GB2312" w:hAnsi="Verdana" w:eastAsia="仿宋_GB2312" w:cs="宋体"/>
          <w:sz w:val="30"/>
          <w:szCs w:val="30"/>
        </w:rPr>
        <w:t>名，总工程师</w:t>
      </w:r>
      <w:r>
        <w:rPr>
          <w:rFonts w:ascii="仿宋_GB2312" w:hAnsi="Verdana" w:eastAsia="仿宋_GB2312" w:cs="宋体"/>
          <w:sz w:val="30"/>
          <w:szCs w:val="30"/>
        </w:rPr>
        <w:t xml:space="preserve">1 </w:t>
      </w:r>
      <w:r>
        <w:rPr>
          <w:rFonts w:hint="eastAsia" w:ascii="仿宋_GB2312" w:hAnsi="Verdana" w:eastAsia="仿宋_GB2312" w:cs="宋体"/>
          <w:sz w:val="30"/>
          <w:szCs w:val="30"/>
        </w:rPr>
        <w:t>名。</w:t>
      </w:r>
    </w:p>
    <w:p>
      <w:pPr>
        <w:autoSpaceDE w:val="0"/>
        <w:autoSpaceDN w:val="0"/>
        <w:adjustRightInd w:val="0"/>
        <w:ind w:firstLine="600" w:firstLineChars="200"/>
        <w:jc w:val="left"/>
        <w:rPr>
          <w:rFonts w:ascii="仿宋_GB2312" w:hAnsi="Verdana" w:eastAsia="仿宋_GB2312" w:cs="宋体"/>
          <w:sz w:val="30"/>
          <w:szCs w:val="30"/>
        </w:rPr>
      </w:pPr>
      <w:r>
        <w:rPr>
          <w:rFonts w:hint="eastAsia" w:ascii="仿宋_GB2312" w:hAnsi="Verdana" w:eastAsia="仿宋_GB2312" w:cs="宋体"/>
          <w:sz w:val="30"/>
          <w:szCs w:val="30"/>
        </w:rPr>
        <w:t>（8）县经济贸易局所属事业单位的设置、职责和编制事项另行规定。</w:t>
      </w:r>
    </w:p>
    <w:p>
      <w:pPr>
        <w:autoSpaceDE w:val="0"/>
        <w:autoSpaceDN w:val="0"/>
        <w:adjustRightInd w:val="0"/>
        <w:ind w:firstLine="600" w:firstLineChars="200"/>
        <w:jc w:val="left"/>
        <w:rPr>
          <w:rFonts w:ascii="仿宋_GB2312" w:hAnsi="Verdana" w:eastAsia="仿宋_GB2312" w:cs="宋体"/>
          <w:sz w:val="30"/>
          <w:szCs w:val="30"/>
        </w:rPr>
      </w:pPr>
      <w:r>
        <w:rPr>
          <w:rFonts w:hint="eastAsia" w:ascii="仿宋_GB2312" w:hAnsi="Verdana" w:eastAsia="仿宋_GB2312" w:cs="宋体"/>
          <w:sz w:val="30"/>
          <w:szCs w:val="30"/>
        </w:rPr>
        <w:t>（9）本规定由县委机构编制委员会办公室负责解释，其调整由县委机构编制委员会办公室按规定程序办理。</w:t>
      </w:r>
    </w:p>
    <w:p>
      <w:pPr>
        <w:ind w:firstLine="600" w:firstLineChars="200"/>
        <w:rPr>
          <w:rFonts w:ascii="仿宋_GB2312" w:hAnsi="Verdana" w:eastAsia="仿宋_GB2312" w:cs="宋体"/>
          <w:sz w:val="30"/>
          <w:szCs w:val="30"/>
        </w:rPr>
      </w:pPr>
      <w:r>
        <w:rPr>
          <w:rFonts w:hint="eastAsia" w:ascii="仿宋_GB2312" w:hAnsi="Verdana" w:eastAsia="仿宋_GB2312" w:cs="宋体"/>
          <w:sz w:val="30"/>
          <w:szCs w:val="30"/>
        </w:rPr>
        <w:t>（10）本规定自</w:t>
      </w:r>
      <w:r>
        <w:rPr>
          <w:rFonts w:ascii="仿宋_GB2312" w:hAnsi="Verdana" w:eastAsia="仿宋_GB2312" w:cs="宋体"/>
          <w:sz w:val="30"/>
          <w:szCs w:val="30"/>
        </w:rPr>
        <w:t xml:space="preserve"> 2019 </w:t>
      </w:r>
      <w:r>
        <w:rPr>
          <w:rFonts w:hint="eastAsia" w:ascii="仿宋_GB2312" w:hAnsi="Verdana" w:eastAsia="仿宋_GB2312" w:cs="宋体"/>
          <w:sz w:val="30"/>
          <w:szCs w:val="30"/>
        </w:rPr>
        <w:t>年</w:t>
      </w:r>
      <w:r>
        <w:rPr>
          <w:rFonts w:ascii="仿宋_GB2312" w:hAnsi="Verdana" w:eastAsia="仿宋_GB2312" w:cs="宋体"/>
          <w:sz w:val="30"/>
          <w:szCs w:val="30"/>
        </w:rPr>
        <w:t xml:space="preserve"> 4 </w:t>
      </w:r>
      <w:r>
        <w:rPr>
          <w:rFonts w:hint="eastAsia" w:ascii="仿宋_GB2312" w:hAnsi="Verdana" w:eastAsia="仿宋_GB2312" w:cs="宋体"/>
          <w:sz w:val="30"/>
          <w:szCs w:val="30"/>
        </w:rPr>
        <w:t>月</w:t>
      </w:r>
      <w:r>
        <w:rPr>
          <w:rFonts w:ascii="仿宋_GB2312" w:hAnsi="Verdana" w:eastAsia="仿宋_GB2312" w:cs="宋体"/>
          <w:sz w:val="30"/>
          <w:szCs w:val="30"/>
        </w:rPr>
        <w:t xml:space="preserve">1 </w:t>
      </w:r>
      <w:r>
        <w:rPr>
          <w:rFonts w:hint="eastAsia" w:ascii="仿宋_GB2312" w:hAnsi="Verdana" w:eastAsia="仿宋_GB2312" w:cs="宋体"/>
          <w:sz w:val="30"/>
          <w:szCs w:val="30"/>
        </w:rPr>
        <w:t>日起施行。</w:t>
      </w:r>
    </w:p>
    <w:p>
      <w:pPr>
        <w:ind w:firstLine="640" w:firstLineChars="200"/>
        <w:jc w:val="left"/>
        <w:rPr>
          <w:rFonts w:hint="eastAsia" w:ascii="仿宋_GB2312" w:hAnsi="仿宋_GB2312" w:eastAsia="仿宋_GB2312" w:cs="仿宋_GB2312"/>
          <w:sz w:val="32"/>
          <w:szCs w:val="32"/>
          <w:highlight w:val="none"/>
          <w:lang w:eastAsia="zh-CN"/>
        </w:rPr>
      </w:pPr>
    </w:p>
    <w:p>
      <w:pPr>
        <w:numPr>
          <w:ilvl w:val="0"/>
          <w:numId w:val="1"/>
        </w:num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工作任务</w:t>
      </w:r>
    </w:p>
    <w:p>
      <w:pPr>
        <w:keepNext w:val="0"/>
        <w:keepLines w:val="0"/>
        <w:pageBreakBefore w:val="0"/>
        <w:widowControl w:val="0"/>
        <w:pBdr>
          <w:bottom w:val="single" w:color="FFFFFF" w:sz="6" w:space="31"/>
        </w:pBdr>
        <w:tabs>
          <w:tab w:val="left" w:pos="720"/>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2023年预期发展目标是：</w:t>
      </w:r>
      <w:r>
        <w:rPr>
          <w:rFonts w:hint="eastAsia" w:ascii="仿宋_GB2312" w:hAnsi="仿宋_GB2312" w:eastAsia="仿宋_GB2312" w:cs="仿宋_GB2312"/>
          <w:sz w:val="32"/>
          <w:szCs w:val="32"/>
          <w:lang w:val="en-US" w:eastAsia="zh-CN"/>
        </w:rPr>
        <w:t>规模工业增加值增速9%以上；社会消费品零售总额增长10%以上；外贸进出口贸易总额2500万元；非公有制经济增加值占GDP比重60.0%；新建标准化厂房2.5万平方米；新增“五上”企业10户以上。要实现上述目标，主要做好以下几方面工作。</w:t>
      </w:r>
    </w:p>
    <w:p>
      <w:pPr>
        <w:keepNext w:val="0"/>
        <w:keepLines w:val="0"/>
        <w:pageBreakBefore w:val="0"/>
        <w:widowControl w:val="0"/>
        <w:pBdr>
          <w:bottom w:val="single" w:color="FFFFFF" w:sz="6" w:space="31"/>
        </w:pBdr>
        <w:tabs>
          <w:tab w:val="left" w:pos="720"/>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sz w:val="32"/>
        </w:rPr>
      </w:pPr>
      <w:r>
        <w:rPr>
          <w:rFonts w:hint="eastAsia" w:ascii="楷体_GB2312" w:hAnsi="楷体" w:eastAsia="楷体_GB2312"/>
          <w:sz w:val="32"/>
          <w:szCs w:val="32"/>
        </w:rPr>
        <w:t>（一）强化任务落实。</w:t>
      </w:r>
      <w:r>
        <w:rPr>
          <w:rFonts w:hint="eastAsia" w:ascii="仿宋_GB2312" w:hAnsi="仿宋_GB2312" w:eastAsia="仿宋_GB2312"/>
          <w:sz w:val="32"/>
        </w:rPr>
        <w:t>加大工</w:t>
      </w:r>
      <w:r>
        <w:rPr>
          <w:rFonts w:hint="eastAsia" w:ascii="仿宋_GB2312" w:hAnsi="仿宋_GB2312" w:eastAsia="仿宋_GB2312"/>
          <w:sz w:val="32"/>
          <w:lang w:val="en-US" w:eastAsia="zh-CN"/>
        </w:rPr>
        <w:t>贸</w:t>
      </w:r>
      <w:r>
        <w:rPr>
          <w:rFonts w:hint="eastAsia" w:ascii="仿宋_GB2312" w:hAnsi="仿宋_GB2312" w:eastAsia="仿宋_GB2312"/>
          <w:sz w:val="32"/>
        </w:rPr>
        <w:t>经济发展任务落实力度，将任务细化分解到单位到人头，</w:t>
      </w:r>
      <w:r>
        <w:rPr>
          <w:rFonts w:hint="eastAsia" w:ascii="仿宋_GB2312" w:hAnsi="Verdana" w:eastAsia="仿宋_GB2312" w:cs="宋体"/>
          <w:color w:val="000000"/>
          <w:sz w:val="32"/>
          <w:szCs w:val="32"/>
        </w:rPr>
        <w:t>精准锁定月度目标</w:t>
      </w:r>
      <w:r>
        <w:rPr>
          <w:rFonts w:hint="eastAsia" w:ascii="仿宋_GB2312" w:hAnsi="仿宋" w:eastAsia="仿宋_GB2312"/>
          <w:sz w:val="32"/>
          <w:szCs w:val="32"/>
        </w:rPr>
        <w:t>，</w:t>
      </w:r>
      <w:r>
        <w:rPr>
          <w:rFonts w:hint="eastAsia" w:ascii="仿宋_GB2312" w:eastAsia="仿宋_GB2312"/>
          <w:sz w:val="32"/>
          <w:szCs w:val="32"/>
        </w:rPr>
        <w:t>随时掌握运行动态，及时发现解决运行中存在的问题，</w:t>
      </w:r>
      <w:r>
        <w:rPr>
          <w:rFonts w:hint="eastAsia" w:ascii="仿宋_GB2312" w:hAnsi="仿宋" w:eastAsia="仿宋_GB2312"/>
          <w:sz w:val="32"/>
          <w:szCs w:val="32"/>
        </w:rPr>
        <w:t>着力抓好企业生产经营、项目开工和安全生产等关键环节和重点工作。</w:t>
      </w:r>
      <w:r>
        <w:rPr>
          <w:rFonts w:hint="eastAsia" w:ascii="仿宋_GB2312" w:eastAsia="仿宋_GB2312"/>
          <w:color w:val="000000"/>
          <w:sz w:val="32"/>
          <w:szCs w:val="32"/>
          <w:lang w:val="en-US" w:eastAsia="zh-CN"/>
        </w:rPr>
        <w:t>切实</w:t>
      </w:r>
      <w:r>
        <w:rPr>
          <w:rFonts w:hint="eastAsia" w:ascii="仿宋_GB2312" w:eastAsia="仿宋_GB2312"/>
          <w:color w:val="000000"/>
          <w:sz w:val="32"/>
          <w:szCs w:val="32"/>
        </w:rPr>
        <w:t>加强工</w:t>
      </w:r>
      <w:r>
        <w:rPr>
          <w:rFonts w:hint="eastAsia" w:ascii="仿宋_GB2312" w:eastAsia="仿宋_GB2312"/>
          <w:color w:val="000000"/>
          <w:sz w:val="32"/>
          <w:szCs w:val="32"/>
          <w:lang w:val="en-US" w:eastAsia="zh-CN"/>
        </w:rPr>
        <w:t>贸</w:t>
      </w:r>
      <w:r>
        <w:rPr>
          <w:rFonts w:hint="eastAsia" w:ascii="仿宋_GB2312" w:eastAsia="仿宋_GB2312"/>
          <w:color w:val="000000"/>
          <w:sz w:val="32"/>
          <w:szCs w:val="32"/>
        </w:rPr>
        <w:t>经济研判，系统考量价格指数、增加值增加率等关键因素，研判到每个环节、每个点、每个企业，确保不出纰漏</w:t>
      </w:r>
      <w:r>
        <w:rPr>
          <w:rFonts w:hint="eastAsia" w:ascii="仿宋_GB2312" w:hAnsi="仿宋_GB2312" w:eastAsia="仿宋_GB2312"/>
          <w:color w:val="000000"/>
          <w:sz w:val="32"/>
        </w:rPr>
        <w:t>。</w:t>
      </w:r>
    </w:p>
    <w:p>
      <w:pPr>
        <w:keepNext w:val="0"/>
        <w:keepLines w:val="0"/>
        <w:pageBreakBefore w:val="0"/>
        <w:widowControl w:val="0"/>
        <w:pBdr>
          <w:bottom w:val="single" w:color="FFFFFF" w:sz="6" w:space="31"/>
        </w:pBdr>
        <w:tabs>
          <w:tab w:val="left" w:pos="720"/>
        </w:tabs>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b/>
          <w:bCs/>
          <w:sz w:val="32"/>
          <w:szCs w:val="32"/>
          <w:lang w:val="en-US" w:eastAsia="zh-CN"/>
        </w:rPr>
      </w:pPr>
      <w:r>
        <w:rPr>
          <w:rFonts w:hint="eastAsia" w:ascii="楷体" w:hAnsi="楷体" w:eastAsia="楷体" w:cs="楷体"/>
          <w:b w:val="0"/>
          <w:bCs w:val="0"/>
          <w:sz w:val="32"/>
          <w:szCs w:val="32"/>
          <w:lang w:val="en-US" w:eastAsia="zh-CN"/>
        </w:rPr>
        <w:t>（二）做强主导产业。</w:t>
      </w:r>
      <w:r>
        <w:rPr>
          <w:rFonts w:hint="eastAsia" w:ascii="仿宋_GB2312" w:hAnsi="仿宋_GB2312" w:eastAsia="仿宋_GB2312" w:cs="仿宋_GB2312"/>
          <w:b w:val="0"/>
          <w:bCs w:val="0"/>
          <w:sz w:val="32"/>
          <w:szCs w:val="32"/>
          <w:lang w:val="en-US" w:eastAsia="zh-CN"/>
        </w:rPr>
        <w:t>立足实际，聚力抓好三大产业：</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做深中药材加工产业。发挥道地药材优势，加快推进中药饮片、中药配方颗粒项目产业化步伐；</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做特富硒食品产业。依托汉巴、莲花等企业，实施技改扩能，重点发展腊肉食品、中药保健酒、苦荞等；</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做优清洁能源产业。支持桂花能源尽快主板上市，积极推动页岩气规模开发。</w:t>
      </w:r>
    </w:p>
    <w:p>
      <w:pPr>
        <w:keepNext w:val="0"/>
        <w:keepLines w:val="0"/>
        <w:pageBreakBefore w:val="0"/>
        <w:widowControl w:val="0"/>
        <w:pBdr>
          <w:bottom w:val="single" w:color="FFFFFF" w:sz="6" w:space="31"/>
        </w:pBdr>
        <w:tabs>
          <w:tab w:val="left" w:pos="720"/>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b w:val="0"/>
          <w:bCs w:val="0"/>
          <w:sz w:val="32"/>
          <w:szCs w:val="32"/>
          <w:lang w:val="en-US" w:eastAsia="zh-CN"/>
        </w:rPr>
        <w:t>（三）力促项目建设。</w:t>
      </w:r>
      <w:r>
        <w:rPr>
          <w:rFonts w:hint="eastAsia" w:ascii="仿宋_GB2312" w:hAnsi="仿宋_GB2312" w:eastAsia="仿宋_GB2312" w:cs="仿宋_GB2312"/>
          <w:b w:val="0"/>
          <w:bCs w:val="0"/>
          <w:sz w:val="32"/>
          <w:szCs w:val="32"/>
          <w:lang w:val="en-US" w:eastAsia="zh-CN"/>
        </w:rPr>
        <w:t>坚持“项目为王”理念，前瞻思维谋项目，全力出击招项目，加快速度建项目，力促</w:t>
      </w:r>
      <w:r>
        <w:rPr>
          <w:rFonts w:hint="eastAsia" w:ascii="仿宋_GB2312" w:hAnsi="仿宋_GB2312" w:eastAsia="仿宋_GB2312" w:cs="仿宋_GB2312"/>
          <w:color w:val="auto"/>
          <w:sz w:val="32"/>
          <w:szCs w:val="32"/>
          <w:lang w:val="en-US" w:eastAsia="zh-CN"/>
        </w:rPr>
        <w:t>鹏山龙翔、环保产品加工等项目尽早竣工投产。</w:t>
      </w:r>
    </w:p>
    <w:p>
      <w:pPr>
        <w:keepNext w:val="0"/>
        <w:keepLines w:val="0"/>
        <w:pageBreakBefore w:val="0"/>
        <w:widowControl w:val="0"/>
        <w:pBdr>
          <w:bottom w:val="single" w:color="FFFFFF" w:sz="6" w:space="31"/>
        </w:pBdr>
        <w:tabs>
          <w:tab w:val="left" w:pos="720"/>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val="0"/>
          <w:bCs w:val="0"/>
          <w:sz w:val="32"/>
          <w:szCs w:val="32"/>
          <w:lang w:val="en-US" w:eastAsia="zh-CN"/>
        </w:rPr>
        <w:t>（四）</w:t>
      </w:r>
      <w:r>
        <w:rPr>
          <w:rFonts w:hint="eastAsia" w:ascii="楷体" w:hAnsi="楷体" w:eastAsia="楷体" w:cs="楷体"/>
          <w:bCs/>
          <w:color w:val="000000"/>
          <w:kern w:val="0"/>
          <w:sz w:val="32"/>
          <w:szCs w:val="32"/>
          <w:lang w:val="en-US" w:eastAsia="zh-CN"/>
        </w:rPr>
        <w:t>扩大</w:t>
      </w:r>
      <w:r>
        <w:rPr>
          <w:rFonts w:hint="eastAsia" w:ascii="楷体" w:hAnsi="楷体" w:eastAsia="楷体" w:cs="楷体"/>
          <w:bCs/>
          <w:color w:val="000000"/>
          <w:kern w:val="0"/>
          <w:sz w:val="32"/>
          <w:szCs w:val="32"/>
        </w:rPr>
        <w:t>产品销售。</w:t>
      </w:r>
      <w:r>
        <w:rPr>
          <w:rFonts w:hint="eastAsia" w:ascii="仿宋_GB2312" w:hAnsi="仿宋" w:eastAsia="仿宋_GB2312"/>
          <w:sz w:val="32"/>
          <w:szCs w:val="32"/>
        </w:rPr>
        <w:t xml:space="preserve"> </w:t>
      </w:r>
      <w:r>
        <w:rPr>
          <w:rFonts w:hint="eastAsia" w:ascii="仿宋_GB2312" w:hAnsi="宋体" w:eastAsia="仿宋_GB2312" w:cs="宋体"/>
          <w:color w:val="000000"/>
          <w:kern w:val="0"/>
          <w:sz w:val="32"/>
          <w:szCs w:val="32"/>
        </w:rPr>
        <w:t>围绕工业商贸发展状况，</w:t>
      </w:r>
      <w:r>
        <w:rPr>
          <w:rFonts w:hint="eastAsia" w:ascii="仿宋_GB2312" w:hAnsi="仿宋" w:eastAsia="仿宋_GB2312"/>
          <w:b/>
          <w:sz w:val="32"/>
          <w:szCs w:val="32"/>
          <w:lang w:val="en-US" w:eastAsia="zh-CN"/>
        </w:rPr>
        <w:t>一</w:t>
      </w:r>
      <w:r>
        <w:rPr>
          <w:rFonts w:hint="eastAsia" w:ascii="仿宋_GB2312" w:hAnsi="仿宋" w:eastAsia="仿宋_GB2312"/>
          <w:b/>
          <w:sz w:val="32"/>
          <w:szCs w:val="32"/>
        </w:rPr>
        <w:t>是</w:t>
      </w:r>
      <w:r>
        <w:rPr>
          <w:rFonts w:hint="eastAsia" w:ascii="仿宋_GB2312" w:hAnsi="仿宋" w:eastAsia="仿宋_GB2312"/>
          <w:sz w:val="32"/>
          <w:szCs w:val="32"/>
        </w:rPr>
        <w:t>鼓励和支持消费品生产企业积极参加各类贸展活动，扩大产品的知名度和影响力，促进产品销售；支持超市、酒店等流通企业在“双节”期间开展形式多样的促销活动动，吸引消费。</w:t>
      </w:r>
      <w:r>
        <w:rPr>
          <w:rFonts w:hint="eastAsia" w:ascii="仿宋_GB2312" w:hAnsi="仿宋" w:eastAsia="仿宋_GB2312"/>
          <w:sz w:val="32"/>
          <w:szCs w:val="32"/>
          <w:lang w:val="en-US" w:eastAsia="zh-CN"/>
        </w:rPr>
        <w:t>二</w:t>
      </w:r>
      <w:r>
        <w:rPr>
          <w:rFonts w:hint="eastAsia" w:ascii="仿宋_GB2312" w:hAnsi="仿宋" w:eastAsia="仿宋_GB2312"/>
          <w:b/>
          <w:sz w:val="32"/>
          <w:szCs w:val="32"/>
        </w:rPr>
        <w:t>是</w:t>
      </w:r>
      <w:r>
        <w:rPr>
          <w:rFonts w:hint="eastAsia" w:ascii="仿宋_GB2312" w:eastAsia="仿宋_GB2312"/>
          <w:sz w:val="32"/>
          <w:szCs w:val="32"/>
        </w:rPr>
        <w:t>以电子商务进农村综合示范项目县为契机，着力构建服务、物流、品牌、培训四大体系，突出抓好站点运营、物流整合、区域公共品牌、产品溯源、网货中心运营</w:t>
      </w:r>
      <w:r>
        <w:rPr>
          <w:rFonts w:hint="eastAsia" w:ascii="仿宋_GB2312" w:eastAsia="仿宋_GB2312"/>
          <w:sz w:val="32"/>
          <w:szCs w:val="32"/>
          <w:lang w:eastAsia="zh-CN"/>
        </w:rPr>
        <w:t>、</w:t>
      </w:r>
      <w:r>
        <w:rPr>
          <w:rFonts w:hint="eastAsia" w:ascii="仿宋_GB2312" w:eastAsia="仿宋_GB2312"/>
          <w:sz w:val="32"/>
          <w:szCs w:val="32"/>
          <w:lang w:val="en-US" w:eastAsia="zh-CN"/>
        </w:rPr>
        <w:t>直播带货</w:t>
      </w:r>
      <w:r>
        <w:rPr>
          <w:rFonts w:hint="eastAsia" w:ascii="仿宋_GB2312" w:eastAsia="仿宋_GB2312"/>
          <w:sz w:val="32"/>
          <w:szCs w:val="32"/>
        </w:rPr>
        <w:t>等工作</w:t>
      </w:r>
      <w:r>
        <w:rPr>
          <w:rFonts w:hint="eastAsia" w:ascii="仿宋_GB2312" w:eastAsia="仿宋_GB2312"/>
          <w:sz w:val="32"/>
          <w:szCs w:val="32"/>
          <w:lang w:eastAsia="zh-CN"/>
        </w:rPr>
        <w:t>，</w:t>
      </w:r>
      <w:r>
        <w:rPr>
          <w:rFonts w:hint="eastAsia" w:ascii="仿宋_GB2312" w:hAnsi="仿宋_GB2312" w:eastAsia="仿宋_GB2312" w:cs="仿宋_GB2312"/>
          <w:sz w:val="32"/>
          <w:szCs w:val="32"/>
        </w:rPr>
        <w:t>力争电商交易额取得明显突破。</w:t>
      </w:r>
    </w:p>
    <w:p>
      <w:pPr>
        <w:keepNext w:val="0"/>
        <w:keepLines w:val="0"/>
        <w:pageBreakBefore w:val="0"/>
        <w:widowControl w:val="0"/>
        <w:numPr>
          <w:ilvl w:val="0"/>
          <w:numId w:val="0"/>
        </w:numPr>
        <w:pBdr>
          <w:bottom w:val="single" w:color="FFFFFF" w:sz="6" w:space="31"/>
        </w:pBdr>
        <w:tabs>
          <w:tab w:val="left" w:pos="720"/>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（五）增强园区承载。</w:t>
      </w:r>
      <w:r>
        <w:rPr>
          <w:rFonts w:hint="eastAsia" w:ascii="仿宋_GB2312" w:hAnsi="仿宋_GB2312" w:eastAsia="仿宋_GB2312" w:cs="仿宋_GB2312"/>
          <w:b w:val="0"/>
          <w:bCs w:val="0"/>
          <w:sz w:val="32"/>
          <w:szCs w:val="32"/>
          <w:lang w:val="en-US" w:eastAsia="zh-CN"/>
        </w:rPr>
        <w:t>强化“以亩均论英雄”的鲜明导向，做好筑巢引凤强基工作，加快推进飞地经济园区标准化厂房项目和县域工业区中园建设，启动文彩工业集中区建设，</w:t>
      </w:r>
      <w:r>
        <w:rPr>
          <w:rFonts w:hint="eastAsia" w:ascii="仿宋_GB2312" w:eastAsia="仿宋_GB2312"/>
          <w:sz w:val="32"/>
          <w:szCs w:val="32"/>
          <w:lang w:val="en-US" w:eastAsia="zh-CN"/>
        </w:rPr>
        <w:t>强化要素保障，整合资源加大投入，</w:t>
      </w:r>
      <w:r>
        <w:rPr>
          <w:rFonts w:hint="eastAsia" w:ascii="仿宋_GB2312" w:hAnsi="仿宋_GB2312" w:eastAsia="仿宋_GB2312" w:cs="仿宋_GB2312"/>
          <w:b w:val="0"/>
          <w:bCs w:val="0"/>
          <w:sz w:val="32"/>
          <w:szCs w:val="32"/>
          <w:lang w:val="en-US" w:eastAsia="zh-CN"/>
        </w:rPr>
        <w:t>持续配套完善基础设施、公用设施、生活设施，力争建设更多标准化厂房，吸纳更多企业入园发展。</w:t>
      </w:r>
    </w:p>
    <w:p>
      <w:pPr>
        <w:keepNext w:val="0"/>
        <w:keepLines w:val="0"/>
        <w:pageBreakBefore w:val="0"/>
        <w:widowControl w:val="0"/>
        <w:pBdr>
          <w:bottom w:val="single" w:color="FFFFFF" w:sz="6" w:space="31"/>
        </w:pBdr>
        <w:tabs>
          <w:tab w:val="left" w:pos="720"/>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snapToGrid w:val="0"/>
          <w:color w:val="333333"/>
          <w:kern w:val="0"/>
          <w:sz w:val="32"/>
          <w:szCs w:val="32"/>
        </w:rPr>
      </w:pPr>
      <w:r>
        <w:rPr>
          <w:rFonts w:hint="eastAsia" w:ascii="楷体" w:hAnsi="楷体" w:eastAsia="楷体" w:cs="楷体"/>
          <w:b w:val="0"/>
          <w:bCs w:val="0"/>
          <w:sz w:val="32"/>
          <w:szCs w:val="32"/>
          <w:lang w:val="en-US" w:eastAsia="zh-CN"/>
        </w:rPr>
        <w:t>（六）狠抓主体培育。</w:t>
      </w:r>
      <w:r>
        <w:rPr>
          <w:rFonts w:hint="eastAsia" w:ascii="仿宋_GB2312" w:hAnsi="仿宋" w:eastAsia="仿宋_GB2312" w:cs="Times New Roman"/>
          <w:kern w:val="0"/>
          <w:sz w:val="32"/>
          <w:szCs w:val="32"/>
          <w:lang w:val="en-US" w:eastAsia="zh-CN"/>
        </w:rPr>
        <w:t>进一步完善</w:t>
      </w:r>
      <w:r>
        <w:rPr>
          <w:rFonts w:hint="eastAsia" w:ascii="仿宋_GB2312" w:hAnsi="仿宋" w:eastAsia="仿宋_GB2312" w:cs="Times New Roman"/>
          <w:kern w:val="0"/>
          <w:sz w:val="32"/>
          <w:szCs w:val="32"/>
        </w:rPr>
        <w:t>奖励扶持措施，力促“个改企”和“小升规”培育新的主体。对</w:t>
      </w:r>
      <w:r>
        <w:rPr>
          <w:rFonts w:hint="eastAsia" w:ascii="仿宋_GB2312" w:hAnsi="仿宋" w:eastAsia="仿宋_GB2312" w:cs="Times New Roman"/>
          <w:sz w:val="32"/>
          <w:szCs w:val="32"/>
        </w:rPr>
        <w:t>培育企业</w:t>
      </w:r>
      <w:r>
        <w:rPr>
          <w:rFonts w:hint="eastAsia" w:ascii="仿宋_GB2312" w:hAnsi="Verdana" w:eastAsia="仿宋_GB2312" w:cs="宋体"/>
          <w:color w:val="000000"/>
          <w:kern w:val="0"/>
          <w:sz w:val="32"/>
          <w:szCs w:val="32"/>
        </w:rPr>
        <w:t>实行“一企一策一档”培育管理措施，强化现场指导、审核和财务规范帮扶，</w:t>
      </w:r>
      <w:r>
        <w:rPr>
          <w:rFonts w:hint="eastAsia" w:ascii="仿宋_GB2312" w:hAnsi="Calibri" w:eastAsia="仿宋_GB2312" w:cs="Times New Roman"/>
          <w:color w:val="000000"/>
          <w:sz w:val="32"/>
          <w:szCs w:val="32"/>
        </w:rPr>
        <w:t>做到成熟一户申报一户，</w:t>
      </w:r>
      <w:r>
        <w:rPr>
          <w:rFonts w:hint="eastAsia" w:ascii="仿宋_GB2312" w:hAnsi="仿宋" w:eastAsia="仿宋_GB2312" w:cs="仿宋"/>
          <w:snapToGrid w:val="0"/>
          <w:color w:val="333333"/>
          <w:kern w:val="0"/>
          <w:sz w:val="32"/>
          <w:szCs w:val="32"/>
        </w:rPr>
        <w:t>形成持续增长动力，力争培育纳统</w:t>
      </w:r>
      <w:r>
        <w:rPr>
          <w:rFonts w:hint="eastAsia" w:ascii="仿宋_GB2312" w:hAnsi="仿宋" w:eastAsia="仿宋_GB2312" w:cs="仿宋"/>
          <w:snapToGrid w:val="0"/>
          <w:color w:val="333333"/>
          <w:kern w:val="0"/>
          <w:sz w:val="32"/>
          <w:szCs w:val="32"/>
          <w:lang w:eastAsia="zh-CN"/>
        </w:rPr>
        <w:t>“</w:t>
      </w:r>
      <w:r>
        <w:rPr>
          <w:rFonts w:hint="eastAsia" w:ascii="仿宋_GB2312" w:hAnsi="仿宋" w:eastAsia="仿宋_GB2312" w:cs="仿宋"/>
          <w:snapToGrid w:val="0"/>
          <w:color w:val="333333"/>
          <w:kern w:val="0"/>
          <w:sz w:val="32"/>
          <w:szCs w:val="32"/>
          <w:lang w:val="en-US" w:eastAsia="zh-CN"/>
        </w:rPr>
        <w:t>五上</w:t>
      </w:r>
      <w:r>
        <w:rPr>
          <w:rFonts w:hint="eastAsia" w:ascii="仿宋_GB2312" w:hAnsi="仿宋" w:eastAsia="仿宋_GB2312" w:cs="仿宋"/>
          <w:snapToGrid w:val="0"/>
          <w:color w:val="333333"/>
          <w:kern w:val="0"/>
          <w:sz w:val="32"/>
          <w:szCs w:val="32"/>
          <w:lang w:eastAsia="zh-CN"/>
        </w:rPr>
        <w:t>”</w:t>
      </w:r>
      <w:r>
        <w:rPr>
          <w:rFonts w:hint="eastAsia" w:ascii="仿宋_GB2312" w:hAnsi="仿宋" w:eastAsia="仿宋_GB2312" w:cs="仿宋"/>
          <w:snapToGrid w:val="0"/>
          <w:color w:val="333333"/>
          <w:kern w:val="0"/>
          <w:sz w:val="32"/>
          <w:szCs w:val="32"/>
          <w:lang w:val="en-US" w:eastAsia="zh-CN"/>
        </w:rPr>
        <w:t>10</w:t>
      </w:r>
      <w:r>
        <w:rPr>
          <w:rFonts w:hint="eastAsia" w:ascii="仿宋_GB2312" w:hAnsi="仿宋" w:eastAsia="仿宋_GB2312" w:cs="仿宋"/>
          <w:snapToGrid w:val="0"/>
          <w:color w:val="333333"/>
          <w:kern w:val="0"/>
          <w:sz w:val="32"/>
          <w:szCs w:val="32"/>
        </w:rPr>
        <w:t>户以上，为</w:t>
      </w:r>
      <w:r>
        <w:rPr>
          <w:rFonts w:hint="eastAsia" w:ascii="仿宋_GB2312" w:hAnsi="仿宋" w:eastAsia="仿宋_GB2312" w:cs="仿宋"/>
          <w:snapToGrid w:val="0"/>
          <w:color w:val="333333"/>
          <w:kern w:val="0"/>
          <w:sz w:val="32"/>
          <w:szCs w:val="32"/>
          <w:lang w:val="en-US" w:eastAsia="zh-CN"/>
        </w:rPr>
        <w:t>县域</w:t>
      </w:r>
      <w:r>
        <w:rPr>
          <w:rFonts w:hint="eastAsia" w:ascii="仿宋_GB2312" w:hAnsi="仿宋" w:eastAsia="仿宋_GB2312" w:cs="仿宋"/>
          <w:snapToGrid w:val="0"/>
          <w:color w:val="333333"/>
          <w:kern w:val="0"/>
          <w:sz w:val="32"/>
          <w:szCs w:val="32"/>
        </w:rPr>
        <w:t>经济较快发展提供强力支撑。</w:t>
      </w:r>
    </w:p>
    <w:p>
      <w:pPr>
        <w:keepNext w:val="0"/>
        <w:keepLines w:val="0"/>
        <w:pageBreakBefore w:val="0"/>
        <w:widowControl w:val="0"/>
        <w:pBdr>
          <w:bottom w:val="single" w:color="FFFFFF" w:sz="6" w:space="31"/>
        </w:pBdr>
        <w:tabs>
          <w:tab w:val="left" w:pos="720"/>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val="en-US" w:eastAsia="zh-CN"/>
        </w:rPr>
        <w:t>七</w:t>
      </w:r>
      <w:r>
        <w:rPr>
          <w:rFonts w:hint="eastAsia" w:ascii="楷体" w:hAnsi="楷体" w:eastAsia="楷体" w:cs="楷体"/>
          <w:b w:val="0"/>
          <w:bCs w:val="0"/>
          <w:sz w:val="32"/>
          <w:szCs w:val="32"/>
        </w:rPr>
        <w:t>）</w:t>
      </w:r>
      <w:r>
        <w:rPr>
          <w:rFonts w:hint="eastAsia" w:ascii="楷体" w:hAnsi="楷体" w:eastAsia="楷体" w:cs="楷体"/>
          <w:b w:val="0"/>
          <w:bCs w:val="0"/>
          <w:sz w:val="32"/>
          <w:szCs w:val="32"/>
          <w:lang w:val="en-US" w:eastAsia="zh-CN"/>
        </w:rPr>
        <w:t>加大纾困</w:t>
      </w:r>
      <w:r>
        <w:rPr>
          <w:rFonts w:hint="eastAsia" w:ascii="楷体" w:hAnsi="楷体" w:eastAsia="楷体" w:cs="楷体"/>
          <w:b w:val="0"/>
          <w:bCs w:val="0"/>
          <w:sz w:val="32"/>
          <w:szCs w:val="32"/>
        </w:rPr>
        <w:t>帮扶。</w:t>
      </w:r>
      <w:r>
        <w:rPr>
          <w:rFonts w:hint="eastAsia" w:ascii="仿宋_GB2312" w:eastAsia="仿宋_GB2312"/>
          <w:b/>
          <w:bCs/>
          <w:sz w:val="32"/>
          <w:szCs w:val="32"/>
        </w:rPr>
        <w:t>要</w:t>
      </w:r>
      <w:r>
        <w:rPr>
          <w:rFonts w:hint="eastAsia" w:ascii="仿宋_GB2312" w:eastAsia="仿宋_GB2312"/>
          <w:sz w:val="32"/>
          <w:szCs w:val="32"/>
        </w:rPr>
        <w:t>进一步抓好已制定的政策落地，让企业享受更多的政策红利，激发企业发展的强大内生动力。</w:t>
      </w:r>
      <w:r>
        <w:rPr>
          <w:rFonts w:hint="eastAsia" w:ascii="仿宋_GB2312" w:eastAsia="仿宋_GB2312"/>
          <w:b/>
          <w:bCs/>
          <w:sz w:val="32"/>
          <w:szCs w:val="32"/>
        </w:rPr>
        <w:t>要</w:t>
      </w:r>
      <w:r>
        <w:rPr>
          <w:rFonts w:hint="eastAsia" w:ascii="仿宋_GB2312" w:eastAsia="仿宋_GB2312"/>
          <w:sz w:val="32"/>
          <w:szCs w:val="32"/>
        </w:rPr>
        <w:t>进一步加大项目争取力度，吃透“上情”，加大跑、要项目的力度，让更多的项目落地镇坪。</w:t>
      </w:r>
      <w:r>
        <w:rPr>
          <w:rFonts w:hint="eastAsia" w:ascii="仿宋_GB2312" w:eastAsia="仿宋_GB2312"/>
          <w:b/>
          <w:bCs/>
          <w:sz w:val="32"/>
          <w:szCs w:val="32"/>
        </w:rPr>
        <w:t>要</w:t>
      </w:r>
      <w:r>
        <w:rPr>
          <w:rFonts w:hint="eastAsia" w:ascii="仿宋_GB2312" w:eastAsia="仿宋_GB2312"/>
          <w:sz w:val="32"/>
          <w:szCs w:val="32"/>
        </w:rPr>
        <w:t>进一步压实“五位一体”包抓责任，坚持每月问</w:t>
      </w:r>
      <w:r>
        <w:rPr>
          <w:rFonts w:hint="eastAsia" w:ascii="仿宋_GB2312" w:eastAsia="仿宋_GB2312"/>
          <w:sz w:val="32"/>
          <w:szCs w:val="32"/>
          <w:lang w:val="en-US" w:eastAsia="zh-CN"/>
        </w:rPr>
        <w:t>急</w:t>
      </w:r>
      <w:r>
        <w:rPr>
          <w:rFonts w:hint="eastAsia" w:ascii="仿宋_GB2312" w:eastAsia="仿宋_GB2312"/>
          <w:sz w:val="32"/>
          <w:szCs w:val="32"/>
        </w:rPr>
        <w:t>问需企业，建立企业需求清单，及时破解企业发展中存在的问题。</w:t>
      </w:r>
    </w:p>
    <w:p>
      <w:pPr>
        <w:numPr>
          <w:ilvl w:val="0"/>
          <w:numId w:val="0"/>
        </w:numPr>
        <w:rPr>
          <w:rFonts w:hint="eastAsia" w:ascii="仿宋_GB2312" w:hAnsi="仿宋_GB2312" w:eastAsia="仿宋_GB2312" w:cs="仿宋_GB2312"/>
          <w:b/>
          <w:bCs/>
          <w:sz w:val="32"/>
          <w:szCs w:val="32"/>
          <w:highlight w:val="none"/>
        </w:rPr>
      </w:pPr>
    </w:p>
    <w:p>
      <w:pPr>
        <w:pStyle w:val="7"/>
        <w:numPr>
          <w:ilvl w:val="0"/>
          <w:numId w:val="1"/>
        </w:numPr>
        <w:ind w:left="0" w:leftChars="0" w:firstLine="640" w:firstLine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预算单位构成</w:t>
      </w:r>
    </w:p>
    <w:p>
      <w:pPr>
        <w:pStyle w:val="7"/>
        <w:numPr>
          <w:ilvl w:val="0"/>
          <w:numId w:val="0"/>
        </w:numPr>
        <w:ind w:left="640" w:leftChars="0"/>
        <w:rPr>
          <w:rFonts w:ascii="仿宋" w:hAnsi="仿宋" w:eastAsia="仿宋" w:cs="Tahoma"/>
          <w:color w:val="000000"/>
          <w:sz w:val="30"/>
          <w:szCs w:val="30"/>
          <w:lang w:eastAsia="zh-CN"/>
        </w:rPr>
      </w:pPr>
      <w:r>
        <w:rPr>
          <w:rFonts w:hint="eastAsia" w:ascii="仿宋" w:hAnsi="仿宋" w:eastAsia="仿宋" w:cs="Tahoma"/>
          <w:color w:val="000000"/>
          <w:sz w:val="30"/>
          <w:szCs w:val="30"/>
          <w:lang w:eastAsia="zh-CN"/>
        </w:rPr>
        <w:t>经济贸易局为一级预算单位，无下属单位。</w:t>
      </w:r>
    </w:p>
    <w:tbl>
      <w:tblPr>
        <w:tblStyle w:val="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noWrap w:val="0"/>
            <w:vAlign w:val="top"/>
          </w:tcPr>
          <w:p>
            <w:pPr>
              <w:spacing w:line="560" w:lineRule="exact"/>
              <w:jc w:val="center"/>
              <w:rPr>
                <w:rFonts w:ascii="仿宋" w:hAnsi="仿宋" w:eastAsia="仿宋" w:cs="仿宋"/>
                <w:sz w:val="32"/>
                <w:szCs w:val="32"/>
              </w:rPr>
            </w:pPr>
            <w:r>
              <w:rPr>
                <w:rFonts w:hint="eastAsia" w:ascii="仿宋" w:hAnsi="仿宋" w:eastAsia="仿宋" w:cs="仿宋"/>
                <w:sz w:val="32"/>
                <w:szCs w:val="32"/>
              </w:rPr>
              <w:t>序号</w:t>
            </w:r>
          </w:p>
        </w:tc>
        <w:tc>
          <w:tcPr>
            <w:tcW w:w="5098" w:type="dxa"/>
            <w:noWrap w:val="0"/>
            <w:vAlign w:val="top"/>
          </w:tcPr>
          <w:p>
            <w:pPr>
              <w:spacing w:line="560" w:lineRule="exact"/>
              <w:jc w:val="center"/>
              <w:rPr>
                <w:rFonts w:ascii="仿宋" w:hAnsi="仿宋" w:eastAsia="仿宋" w:cs="仿宋"/>
                <w:sz w:val="32"/>
                <w:szCs w:val="32"/>
              </w:rPr>
            </w:pPr>
            <w:r>
              <w:rPr>
                <w:rFonts w:hint="eastAsia" w:ascii="仿宋" w:hAnsi="仿宋" w:eastAsia="仿宋" w:cs="仿宋"/>
                <w:sz w:val="32"/>
                <w:szCs w:val="32"/>
              </w:rPr>
              <w:t>单位名称</w:t>
            </w:r>
          </w:p>
        </w:tc>
        <w:tc>
          <w:tcPr>
            <w:tcW w:w="2087" w:type="dxa"/>
            <w:noWrap w:val="0"/>
            <w:vAlign w:val="top"/>
          </w:tcPr>
          <w:p>
            <w:pPr>
              <w:spacing w:line="560" w:lineRule="exact"/>
              <w:jc w:val="center"/>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noWrap w:val="0"/>
            <w:vAlign w:val="top"/>
          </w:tcPr>
          <w:p>
            <w:pPr>
              <w:spacing w:line="560" w:lineRule="exact"/>
              <w:jc w:val="center"/>
              <w:rPr>
                <w:rFonts w:ascii="仿宋" w:hAnsi="仿宋" w:eastAsia="仿宋" w:cs="仿宋"/>
                <w:sz w:val="32"/>
                <w:szCs w:val="32"/>
              </w:rPr>
            </w:pPr>
            <w:r>
              <w:rPr>
                <w:rFonts w:hint="eastAsia" w:ascii="仿宋" w:hAnsi="仿宋" w:eastAsia="仿宋" w:cs="仿宋"/>
                <w:sz w:val="32"/>
                <w:szCs w:val="32"/>
              </w:rPr>
              <w:t>1</w:t>
            </w:r>
          </w:p>
        </w:tc>
        <w:tc>
          <w:tcPr>
            <w:tcW w:w="5098" w:type="dxa"/>
            <w:noWrap w:val="0"/>
            <w:vAlign w:val="top"/>
          </w:tcPr>
          <w:p>
            <w:pPr>
              <w:spacing w:line="560" w:lineRule="exact"/>
              <w:rPr>
                <w:rFonts w:ascii="仿宋" w:hAnsi="仿宋" w:eastAsia="仿宋" w:cs="仿宋"/>
                <w:sz w:val="32"/>
                <w:szCs w:val="32"/>
              </w:rPr>
            </w:pPr>
            <w:r>
              <w:rPr>
                <w:rFonts w:hint="eastAsia" w:ascii="仿宋" w:hAnsi="仿宋" w:eastAsia="仿宋" w:cs="仿宋"/>
                <w:sz w:val="32"/>
                <w:szCs w:val="32"/>
              </w:rPr>
              <w:t>镇坪县经济贸易局本级（机关）</w:t>
            </w:r>
          </w:p>
        </w:tc>
        <w:tc>
          <w:tcPr>
            <w:tcW w:w="2087" w:type="dxa"/>
            <w:noWrap w:val="0"/>
            <w:vAlign w:val="top"/>
          </w:tcPr>
          <w:p>
            <w:pPr>
              <w:spacing w:line="56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noWrap w:val="0"/>
            <w:vAlign w:val="top"/>
          </w:tcPr>
          <w:p>
            <w:pPr>
              <w:spacing w:line="560" w:lineRule="exact"/>
              <w:jc w:val="center"/>
              <w:rPr>
                <w:rFonts w:ascii="仿宋" w:hAnsi="仿宋" w:eastAsia="仿宋" w:cs="仿宋"/>
                <w:sz w:val="32"/>
                <w:szCs w:val="32"/>
              </w:rPr>
            </w:pPr>
          </w:p>
        </w:tc>
        <w:tc>
          <w:tcPr>
            <w:tcW w:w="5098" w:type="dxa"/>
            <w:noWrap w:val="0"/>
            <w:vAlign w:val="top"/>
          </w:tcPr>
          <w:p>
            <w:pPr>
              <w:spacing w:line="560" w:lineRule="exact"/>
              <w:rPr>
                <w:rFonts w:ascii="仿宋" w:hAnsi="仿宋" w:eastAsia="仿宋" w:cs="仿宋"/>
                <w:sz w:val="32"/>
                <w:szCs w:val="32"/>
              </w:rPr>
            </w:pPr>
          </w:p>
        </w:tc>
        <w:tc>
          <w:tcPr>
            <w:tcW w:w="2087" w:type="dxa"/>
            <w:noWrap w:val="0"/>
            <w:vAlign w:val="top"/>
          </w:tcPr>
          <w:p>
            <w:pPr>
              <w:spacing w:line="56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noWrap w:val="0"/>
            <w:vAlign w:val="top"/>
          </w:tcPr>
          <w:p>
            <w:pPr>
              <w:spacing w:line="560" w:lineRule="exact"/>
              <w:jc w:val="center"/>
              <w:rPr>
                <w:rFonts w:ascii="仿宋" w:hAnsi="仿宋" w:eastAsia="仿宋" w:cs="仿宋"/>
                <w:sz w:val="32"/>
                <w:szCs w:val="32"/>
              </w:rPr>
            </w:pPr>
          </w:p>
        </w:tc>
        <w:tc>
          <w:tcPr>
            <w:tcW w:w="5098" w:type="dxa"/>
            <w:noWrap w:val="0"/>
            <w:vAlign w:val="top"/>
          </w:tcPr>
          <w:p>
            <w:pPr>
              <w:spacing w:line="560" w:lineRule="exact"/>
              <w:rPr>
                <w:rFonts w:ascii="仿宋" w:hAnsi="仿宋" w:eastAsia="仿宋" w:cs="仿宋"/>
                <w:sz w:val="32"/>
                <w:szCs w:val="32"/>
              </w:rPr>
            </w:pPr>
          </w:p>
        </w:tc>
        <w:tc>
          <w:tcPr>
            <w:tcW w:w="2087" w:type="dxa"/>
            <w:noWrap w:val="0"/>
            <w:vAlign w:val="top"/>
          </w:tcPr>
          <w:p>
            <w:pPr>
              <w:spacing w:line="560" w:lineRule="exact"/>
              <w:rPr>
                <w:rFonts w:ascii="仿宋" w:hAnsi="仿宋" w:eastAsia="仿宋" w:cs="仿宋"/>
                <w:sz w:val="32"/>
                <w:szCs w:val="32"/>
              </w:rPr>
            </w:pPr>
          </w:p>
        </w:tc>
      </w:tr>
    </w:tbl>
    <w:p>
      <w:pPr>
        <w:pStyle w:val="7"/>
        <w:ind w:firstLine="600" w:firstLineChars="200"/>
        <w:rPr>
          <w:rFonts w:ascii="仿宋" w:hAnsi="仿宋" w:eastAsia="仿宋" w:cs="Tahoma"/>
          <w:color w:val="000000"/>
          <w:sz w:val="30"/>
          <w:szCs w:val="30"/>
          <w:lang w:eastAsia="zh-CN"/>
        </w:rPr>
      </w:pPr>
    </w:p>
    <w:p>
      <w:pPr>
        <w:numPr>
          <w:ilvl w:val="0"/>
          <w:numId w:val="0"/>
        </w:numPr>
        <w:spacing w:line="560" w:lineRule="exact"/>
        <w:rPr>
          <w:rFonts w:hint="eastAsia" w:ascii="黑体" w:hAnsi="黑体" w:eastAsia="黑体" w:cs="楷体_GB2312"/>
          <w:sz w:val="32"/>
          <w:szCs w:val="32"/>
        </w:rPr>
      </w:pPr>
    </w:p>
    <w:p>
      <w:pPr>
        <w:ind w:firstLine="640"/>
        <w:rPr>
          <w:rFonts w:hint="eastAsia" w:ascii="仿宋_GB2312" w:hAnsi="仿宋_GB2312" w:eastAsia="仿宋_GB2312" w:cs="仿宋_GB2312"/>
          <w:sz w:val="32"/>
          <w:szCs w:val="32"/>
          <w:highlight w:val="none"/>
          <w:lang w:eastAsia="zh-CN"/>
        </w:rPr>
      </w:pPr>
    </w:p>
    <w:p>
      <w:pPr>
        <w:numPr>
          <w:ilvl w:val="0"/>
          <w:numId w:val="1"/>
        </w:numPr>
        <w:ind w:left="0" w:leftChars="0" w:firstLine="640" w:firstLineChars="0"/>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人员情况说明</w:t>
      </w:r>
    </w:p>
    <w:p>
      <w:pPr>
        <w:numPr>
          <w:ilvl w:val="0"/>
          <w:numId w:val="0"/>
        </w:numPr>
        <w:ind w:left="640" w:leftChars="0" w:firstLine="600" w:firstLineChars="200"/>
        <w:jc w:val="left"/>
        <w:rPr>
          <w:rFonts w:hint="eastAsia" w:ascii="仿宋" w:hAnsi="仿宋" w:eastAsia="仿宋" w:cs="Tahoma"/>
          <w:color w:val="000000"/>
          <w:sz w:val="30"/>
          <w:szCs w:val="30"/>
        </w:rPr>
      </w:pPr>
      <w:r>
        <w:rPr>
          <w:rFonts w:hint="eastAsia" w:ascii="仿宋" w:hAnsi="仿宋" w:eastAsia="仿宋" w:cs="Tahoma"/>
          <w:color w:val="000000"/>
          <w:sz w:val="30"/>
          <w:szCs w:val="30"/>
        </w:rPr>
        <w:t>镇坪县经贸局成立于2002年8月，是由原镇坪县工业局和商业局合并而成的县政府组成部门之一，是全额财政</w:t>
      </w:r>
      <w:r>
        <w:rPr>
          <w:rFonts w:hint="eastAsia" w:ascii="仿宋" w:hAnsi="仿宋" w:eastAsia="仿宋" w:cs="Tahoma"/>
          <w:color w:val="000000"/>
          <w:sz w:val="30"/>
          <w:szCs w:val="30"/>
          <w:lang w:eastAsia="zh-CN"/>
        </w:rPr>
        <w:t>拨</w:t>
      </w:r>
      <w:bookmarkStart w:id="0" w:name="_GoBack"/>
      <w:bookmarkEnd w:id="0"/>
      <w:r>
        <w:rPr>
          <w:rFonts w:hint="eastAsia" w:ascii="仿宋" w:hAnsi="仿宋" w:eastAsia="仿宋" w:cs="Tahoma"/>
          <w:color w:val="000000"/>
          <w:sz w:val="30"/>
          <w:szCs w:val="30"/>
        </w:rPr>
        <w:t>款单位，2019年9月机构改革，成立电子商务服务中心事业编，事业编15人，行政编9人，原煤炭办撤销并入单位行政机构。现实有职工2</w:t>
      </w:r>
      <w:r>
        <w:rPr>
          <w:rFonts w:hint="eastAsia" w:ascii="仿宋" w:hAnsi="仿宋" w:eastAsia="仿宋" w:cs="Tahoma"/>
          <w:color w:val="000000"/>
          <w:sz w:val="30"/>
          <w:szCs w:val="30"/>
          <w:lang w:val="en-US" w:eastAsia="zh-CN"/>
        </w:rPr>
        <w:t>4</w:t>
      </w:r>
      <w:r>
        <w:rPr>
          <w:rFonts w:hint="eastAsia" w:ascii="仿宋" w:hAnsi="仿宋" w:eastAsia="仿宋" w:cs="Tahoma"/>
          <w:color w:val="000000"/>
          <w:sz w:val="30"/>
          <w:szCs w:val="30"/>
        </w:rPr>
        <w:t>人，退休人员2</w:t>
      </w:r>
      <w:r>
        <w:rPr>
          <w:rFonts w:hint="eastAsia" w:ascii="仿宋" w:hAnsi="仿宋" w:eastAsia="仿宋" w:cs="Tahoma"/>
          <w:color w:val="000000"/>
          <w:sz w:val="30"/>
          <w:szCs w:val="30"/>
          <w:lang w:val="en-US" w:eastAsia="zh-CN"/>
        </w:rPr>
        <w:t>2</w:t>
      </w:r>
      <w:r>
        <w:rPr>
          <w:rFonts w:hint="eastAsia" w:ascii="仿宋" w:hAnsi="仿宋" w:eastAsia="仿宋" w:cs="Tahoma"/>
          <w:color w:val="000000"/>
          <w:sz w:val="30"/>
          <w:szCs w:val="30"/>
        </w:rPr>
        <w:t>人。</w:t>
      </w:r>
    </w:p>
    <w:p>
      <w:pPr>
        <w:ind w:firstLine="640"/>
        <w:rPr>
          <w:rFonts w:hint="eastAsia" w:ascii="仿宋_GB2312" w:hAnsi="仿宋_GB2312" w:eastAsia="仿宋_GB2312" w:cs="仿宋_GB2312"/>
          <w:sz w:val="32"/>
          <w:szCs w:val="32"/>
          <w:highlight w:val="none"/>
        </w:rPr>
      </w:pPr>
      <w:r>
        <w:rPr>
          <w:rFonts w:hint="eastAsia" w:ascii="仿宋" w:hAnsi="仿宋" w:eastAsia="仿宋" w:cs="Tahoma"/>
          <w:color w:val="000000"/>
          <w:sz w:val="30"/>
          <w:szCs w:val="30"/>
        </w:rPr>
        <w:object>
          <v:shape id="_x0000_i1025" o:spt="75" type="#_x0000_t75" style="height:222.75pt;width:258.75pt;" o:ole="t" fillcolor="#FFFFFF" filled="t" o:preferrelative="t" stroked="t" coordsize="21600,21600">
            <v:path/>
            <v:fill on="t" color2="#FFFFFF" focussize="0,0"/>
            <v:stroke color="#FFFFFF" joinstyle="miter"/>
            <v:imagedata r:id="rId6" o:title=""/>
            <o:lock v:ext="edit" aspectratio="t"/>
            <w10:wrap type="none"/>
            <w10:anchorlock/>
          </v:shape>
          <o:OLEObject Type="Embed" ProgID="Excel.Chart.8" ShapeID="_x0000_i1025" DrawAspect="Content" ObjectID="_1468075725" r:id="rId5">
            <o:LockedField>false</o:LockedField>
          </o:OLEObject>
        </w:object>
      </w:r>
    </w:p>
    <w:p>
      <w:pPr>
        <w:ind w:firstLine="640"/>
        <w:jc w:val="cente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eastAsia="zh-CN"/>
        </w:rPr>
        <w:t>第二部分</w:t>
      </w:r>
      <w:r>
        <w:rPr>
          <w:rFonts w:hint="eastAsia" w:ascii="仿宋_GB2312" w:hAnsi="仿宋_GB2312" w:eastAsia="仿宋_GB2312" w:cs="仿宋_GB2312"/>
          <w:b/>
          <w:bCs/>
          <w:sz w:val="32"/>
          <w:szCs w:val="32"/>
          <w:highlight w:val="none"/>
          <w:lang w:val="en-US" w:eastAsia="zh-CN"/>
        </w:rPr>
        <w:t xml:space="preserve">  收支情况</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、收支说明</w:t>
      </w:r>
    </w:p>
    <w:p>
      <w:pPr>
        <w:pStyle w:val="7"/>
        <w:numPr>
          <w:ilvl w:val="0"/>
          <w:numId w:val="0"/>
        </w:numPr>
        <w:rPr>
          <w:rFonts w:hint="eastAsia" w:ascii="仿宋" w:hAnsi="仿宋" w:eastAsia="仿宋" w:cs="仿宋"/>
          <w:sz w:val="30"/>
          <w:szCs w:val="30"/>
          <w:lang w:val="en-US" w:eastAsia="zh-CN"/>
        </w:rPr>
      </w:pP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收支预算总体情况</w:t>
      </w:r>
      <w:r>
        <w:rPr>
          <w:rFonts w:hint="eastAsia" w:ascii="仿宋" w:hAnsi="仿宋" w:eastAsia="仿宋" w:cs="仿宋"/>
          <w:sz w:val="30"/>
          <w:szCs w:val="30"/>
          <w:lang w:val="en-US" w:eastAsia="zh-CN"/>
        </w:rPr>
        <w:t xml:space="preserve"> </w:t>
      </w:r>
    </w:p>
    <w:p>
      <w:pPr>
        <w:pStyle w:val="7"/>
        <w:numPr>
          <w:ilvl w:val="0"/>
          <w:numId w:val="0"/>
        </w:numPr>
        <w:ind w:firstLine="600" w:firstLineChars="200"/>
        <w:rPr>
          <w:color w:val="000000"/>
          <w:sz w:val="30"/>
          <w:szCs w:val="30"/>
          <w:lang w:eastAsia="zh-CN"/>
        </w:rPr>
      </w:pPr>
      <w:r>
        <w:rPr>
          <w:rFonts w:hint="eastAsia" w:ascii="仿宋" w:hAnsi="仿宋" w:eastAsia="仿宋" w:cs="仿宋"/>
          <w:sz w:val="30"/>
          <w:szCs w:val="30"/>
          <w:lang w:eastAsia="zh-CN"/>
        </w:rPr>
        <w:t>按照综合预算的原则，本部门所有收入和支出均纳入部门预算管理。202</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年本部门一般公共预算收入</w:t>
      </w:r>
      <w:r>
        <w:rPr>
          <w:rFonts w:hint="eastAsia"/>
          <w:color w:val="000000"/>
          <w:sz w:val="30"/>
          <w:szCs w:val="30"/>
          <w:lang w:val="en-US" w:eastAsia="zh-CN"/>
        </w:rPr>
        <w:t>468.83</w:t>
      </w:r>
      <w:r>
        <w:rPr>
          <w:rFonts w:hint="eastAsia"/>
          <w:color w:val="000000"/>
          <w:sz w:val="30"/>
          <w:szCs w:val="30"/>
          <w:lang w:eastAsia="zh-CN"/>
        </w:rPr>
        <w:t>万元，与上年比较预算收入增加</w:t>
      </w:r>
      <w:r>
        <w:rPr>
          <w:rFonts w:hint="eastAsia"/>
          <w:color w:val="000000"/>
          <w:sz w:val="30"/>
          <w:szCs w:val="30"/>
          <w:lang w:val="en-US" w:eastAsia="zh-CN"/>
        </w:rPr>
        <w:t>21.37</w:t>
      </w:r>
      <w:r>
        <w:rPr>
          <w:rFonts w:hint="eastAsia"/>
          <w:color w:val="000000"/>
          <w:sz w:val="30"/>
          <w:szCs w:val="30"/>
          <w:lang w:eastAsia="zh-CN"/>
        </w:rPr>
        <w:t>%，主要原因是人员增资及中小企业发展专项纳入预算，无</w:t>
      </w:r>
      <w:r>
        <w:rPr>
          <w:rFonts w:hint="eastAsia" w:ascii="仿宋_GB2312" w:hAnsi="仿宋_GB2312" w:eastAsia="仿宋_GB2312" w:cs="仿宋_GB2312"/>
          <w:sz w:val="30"/>
          <w:szCs w:val="30"/>
          <w:lang w:eastAsia="zh-CN"/>
        </w:rPr>
        <w:t>政府性基金拨款收入</w:t>
      </w:r>
      <w:r>
        <w:rPr>
          <w:rFonts w:hint="eastAsia"/>
          <w:color w:val="000000"/>
          <w:sz w:val="30"/>
          <w:szCs w:val="30"/>
          <w:lang w:eastAsia="zh-CN"/>
        </w:rPr>
        <w:t>。</w:t>
      </w:r>
    </w:p>
    <w:p>
      <w:pPr>
        <w:pStyle w:val="7"/>
        <w:numPr>
          <w:ilvl w:val="0"/>
          <w:numId w:val="0"/>
        </w:numPr>
        <w:ind w:firstLine="600" w:firstLineChars="200"/>
        <w:rPr>
          <w:color w:val="000000"/>
          <w:sz w:val="30"/>
          <w:szCs w:val="30"/>
          <w:lang w:eastAsia="zh-CN"/>
        </w:rPr>
      </w:pP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年本部门预算支出</w:t>
      </w:r>
      <w:r>
        <w:rPr>
          <w:rFonts w:hint="eastAsia" w:ascii="仿宋" w:hAnsi="仿宋" w:eastAsia="仿宋" w:cs="仿宋"/>
          <w:sz w:val="30"/>
          <w:szCs w:val="30"/>
          <w:lang w:val="en-US" w:eastAsia="zh-CN"/>
        </w:rPr>
        <w:t>468.83</w:t>
      </w:r>
      <w:r>
        <w:rPr>
          <w:rFonts w:hint="eastAsia" w:ascii="仿宋" w:hAnsi="仿宋" w:eastAsia="仿宋" w:cs="仿宋"/>
          <w:sz w:val="30"/>
          <w:szCs w:val="30"/>
          <w:lang w:eastAsia="zh-CN"/>
        </w:rPr>
        <w:t>万元，</w:t>
      </w:r>
      <w:r>
        <w:rPr>
          <w:rFonts w:hint="eastAsia"/>
          <w:color w:val="000000"/>
          <w:sz w:val="30"/>
          <w:szCs w:val="30"/>
          <w:lang w:eastAsia="zh-CN"/>
        </w:rPr>
        <w:t>与上年比较预算支出增加</w:t>
      </w:r>
      <w:r>
        <w:rPr>
          <w:rFonts w:hint="eastAsia"/>
          <w:color w:val="000000"/>
          <w:sz w:val="30"/>
          <w:szCs w:val="30"/>
          <w:lang w:val="en-US" w:eastAsia="zh-CN"/>
        </w:rPr>
        <w:t>21.37%</w:t>
      </w:r>
      <w:r>
        <w:rPr>
          <w:rFonts w:hint="eastAsia"/>
          <w:color w:val="000000"/>
          <w:sz w:val="30"/>
          <w:szCs w:val="30"/>
          <w:lang w:eastAsia="zh-CN"/>
        </w:rPr>
        <w:t>，主要原因是人员增资及中小企业发展专项纳入预算，无</w:t>
      </w:r>
      <w:r>
        <w:rPr>
          <w:rFonts w:hint="eastAsia" w:ascii="仿宋_GB2312" w:hAnsi="仿宋_GB2312" w:eastAsia="仿宋_GB2312" w:cs="仿宋_GB2312"/>
          <w:sz w:val="30"/>
          <w:szCs w:val="30"/>
          <w:lang w:eastAsia="zh-CN"/>
        </w:rPr>
        <w:t>政府性基金拨款支出</w:t>
      </w:r>
      <w:r>
        <w:rPr>
          <w:rFonts w:hint="eastAsia"/>
          <w:color w:val="000000"/>
          <w:sz w:val="30"/>
          <w:szCs w:val="30"/>
          <w:lang w:eastAsia="zh-CN"/>
        </w:rPr>
        <w:t>。</w:t>
      </w:r>
    </w:p>
    <w:p>
      <w:pPr>
        <w:ind w:firstLine="640"/>
        <w:rPr>
          <w:rFonts w:hint="eastAsia" w:ascii="仿宋_GB2312" w:hAnsi="仿宋_GB2312" w:eastAsia="仿宋_GB2312" w:cs="仿宋_GB2312"/>
          <w:b/>
          <w:bCs/>
          <w:sz w:val="32"/>
          <w:szCs w:val="32"/>
          <w:highlight w:val="none"/>
        </w:rPr>
      </w:pPr>
    </w:p>
    <w:p>
      <w:pPr>
        <w:pStyle w:val="7"/>
        <w:numPr>
          <w:ilvl w:val="0"/>
          <w:numId w:val="2"/>
        </w:numPr>
        <w:ind w:leftChars="200" w:firstLine="643"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财政拨款收支情况</w:t>
      </w:r>
    </w:p>
    <w:p>
      <w:pPr>
        <w:pStyle w:val="7"/>
        <w:numPr>
          <w:ilvl w:val="0"/>
          <w:numId w:val="0"/>
        </w:numPr>
        <w:ind w:leftChars="400"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年本部门财政拨款收入</w:t>
      </w:r>
      <w:r>
        <w:rPr>
          <w:rFonts w:hint="eastAsia"/>
          <w:color w:val="000000"/>
          <w:sz w:val="30"/>
          <w:szCs w:val="30"/>
          <w:lang w:val="en-US" w:eastAsia="zh-CN"/>
        </w:rPr>
        <w:t>468.83</w:t>
      </w:r>
      <w:r>
        <w:rPr>
          <w:rFonts w:hint="eastAsia"/>
          <w:color w:val="000000"/>
          <w:sz w:val="30"/>
          <w:szCs w:val="30"/>
          <w:lang w:eastAsia="zh-CN"/>
        </w:rPr>
        <w:t>万元，与上年比较预算收入增加</w:t>
      </w:r>
      <w:r>
        <w:rPr>
          <w:rFonts w:hint="eastAsia"/>
          <w:color w:val="000000"/>
          <w:sz w:val="30"/>
          <w:szCs w:val="30"/>
          <w:lang w:val="en-US" w:eastAsia="zh-CN"/>
        </w:rPr>
        <w:t>21.37</w:t>
      </w:r>
      <w:r>
        <w:rPr>
          <w:rFonts w:hint="eastAsia"/>
          <w:color w:val="000000"/>
          <w:sz w:val="30"/>
          <w:szCs w:val="30"/>
          <w:lang w:eastAsia="zh-CN"/>
        </w:rPr>
        <w:t>%，主要原因是人员增资及中小企业发展专项纳入预算。</w:t>
      </w: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年本部门财政拨款支出</w:t>
      </w:r>
      <w:r>
        <w:rPr>
          <w:rFonts w:hint="eastAsia" w:ascii="仿宋" w:hAnsi="仿宋" w:eastAsia="仿宋" w:cs="仿宋"/>
          <w:sz w:val="30"/>
          <w:szCs w:val="30"/>
          <w:lang w:val="en-US" w:eastAsia="zh-CN"/>
        </w:rPr>
        <w:t>468.83</w:t>
      </w:r>
      <w:r>
        <w:rPr>
          <w:rFonts w:hint="eastAsia" w:ascii="仿宋" w:hAnsi="仿宋" w:eastAsia="仿宋" w:cs="仿宋"/>
          <w:sz w:val="30"/>
          <w:szCs w:val="30"/>
          <w:lang w:eastAsia="zh-CN"/>
        </w:rPr>
        <w:t>万元，</w:t>
      </w:r>
      <w:r>
        <w:rPr>
          <w:rFonts w:hint="eastAsia"/>
          <w:color w:val="000000"/>
          <w:sz w:val="30"/>
          <w:szCs w:val="30"/>
          <w:lang w:eastAsia="zh-CN"/>
        </w:rPr>
        <w:t>与上年比较预算支出增加</w:t>
      </w:r>
      <w:r>
        <w:rPr>
          <w:rFonts w:hint="eastAsia"/>
          <w:color w:val="000000"/>
          <w:sz w:val="30"/>
          <w:szCs w:val="30"/>
          <w:lang w:val="en-US" w:eastAsia="zh-CN"/>
        </w:rPr>
        <w:t>21.37</w:t>
      </w:r>
      <w:r>
        <w:rPr>
          <w:rFonts w:hint="eastAsia"/>
          <w:color w:val="000000"/>
          <w:sz w:val="30"/>
          <w:szCs w:val="30"/>
          <w:lang w:eastAsia="zh-CN"/>
        </w:rPr>
        <w:t>%，主要原因是人员增资及中小企业发展专项纳入预算。</w:t>
      </w:r>
    </w:p>
    <w:p>
      <w:pPr>
        <w:spacing w:line="560" w:lineRule="exact"/>
        <w:ind w:firstLine="643"/>
        <w:rPr>
          <w:rFonts w:ascii="仿宋" w:hAnsi="仿宋" w:eastAsia="仿宋" w:cs="仿宋"/>
          <w:b/>
          <w:bCs/>
          <w:sz w:val="32"/>
          <w:szCs w:val="32"/>
        </w:rPr>
      </w:pP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（三）一般</w:t>
      </w:r>
      <w:r>
        <w:rPr>
          <w:rFonts w:hint="eastAsia" w:ascii="仿宋_GB2312" w:hAnsi="仿宋_GB2312" w:eastAsia="仿宋_GB2312" w:cs="仿宋_GB2312"/>
          <w:b/>
          <w:bCs/>
          <w:sz w:val="32"/>
          <w:szCs w:val="32"/>
          <w:highlight w:val="none"/>
        </w:rPr>
        <w:t>公共预算拨款支出明细情况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一般</w:t>
      </w:r>
      <w:r>
        <w:rPr>
          <w:rFonts w:hint="eastAsia" w:ascii="仿宋_GB2312" w:hAnsi="仿宋_GB2312" w:eastAsia="仿宋_GB2312" w:cs="仿宋_GB2312"/>
          <w:sz w:val="32"/>
          <w:szCs w:val="32"/>
          <w:highlight w:val="none"/>
        </w:rPr>
        <w:t>公共预算</w:t>
      </w:r>
      <w:r>
        <w:rPr>
          <w:rFonts w:hint="eastAsia" w:ascii="仿宋_GB2312" w:hAnsi="仿宋_GB2312" w:eastAsia="仿宋_GB2312" w:cs="仿宋_GB2312"/>
          <w:sz w:val="32"/>
          <w:szCs w:val="32"/>
          <w:highlight w:val="none"/>
          <w:lang w:eastAsia="zh-CN"/>
        </w:rPr>
        <w:t>当年拨款规模变化情况</w:t>
      </w:r>
    </w:p>
    <w:p>
      <w:pPr>
        <w:pStyle w:val="7"/>
        <w:numPr>
          <w:ilvl w:val="0"/>
          <w:numId w:val="0"/>
        </w:numPr>
        <w:ind w:leftChars="400"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年本部门当年一般公共预算拨款支出</w:t>
      </w:r>
      <w:r>
        <w:rPr>
          <w:rFonts w:hint="eastAsia"/>
          <w:color w:val="000000"/>
          <w:sz w:val="30"/>
          <w:szCs w:val="30"/>
          <w:lang w:val="en-US" w:eastAsia="zh-CN"/>
        </w:rPr>
        <w:t>468.83</w:t>
      </w:r>
      <w:r>
        <w:rPr>
          <w:rFonts w:hint="eastAsia"/>
          <w:color w:val="000000"/>
          <w:sz w:val="30"/>
          <w:szCs w:val="30"/>
          <w:lang w:eastAsia="zh-CN"/>
        </w:rPr>
        <w:t>万元，与上年比较预算支出增加</w:t>
      </w:r>
      <w:r>
        <w:rPr>
          <w:rFonts w:hint="eastAsia"/>
          <w:color w:val="000000"/>
          <w:sz w:val="30"/>
          <w:szCs w:val="30"/>
          <w:lang w:val="en-US" w:eastAsia="zh-CN"/>
        </w:rPr>
        <w:t>21.37</w:t>
      </w:r>
      <w:r>
        <w:rPr>
          <w:rFonts w:hint="eastAsia"/>
          <w:color w:val="000000"/>
          <w:sz w:val="30"/>
          <w:szCs w:val="30"/>
          <w:lang w:eastAsia="zh-CN"/>
        </w:rPr>
        <w:t>%，主要原因是人员增资及中小企业发展专项纳入预算。</w:t>
      </w:r>
    </w:p>
    <w:p>
      <w:pPr>
        <w:pStyle w:val="7"/>
        <w:ind w:firstLine="600" w:firstLineChars="200"/>
        <w:rPr>
          <w:color w:val="000000"/>
          <w:sz w:val="30"/>
          <w:szCs w:val="30"/>
          <w:lang w:eastAsia="zh-CN"/>
        </w:rPr>
      </w:pPr>
    </w:p>
    <w:p>
      <w:pPr>
        <w:ind w:firstLine="640"/>
        <w:rPr>
          <w:rFonts w:hint="eastAsia" w:ascii="仿宋_GB2312" w:hAnsi="仿宋_GB2312" w:eastAsia="仿宋_GB2312" w:cs="仿宋_GB2312"/>
          <w:sz w:val="32"/>
          <w:szCs w:val="32"/>
          <w:highlight w:val="none"/>
          <w:lang w:eastAsia="zh-CN"/>
        </w:rPr>
      </w:pP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2、支出按功能科目分类的明细情况</w:t>
      </w:r>
    </w:p>
    <w:p>
      <w:pPr>
        <w:pStyle w:val="7"/>
        <w:ind w:firstLine="600" w:firstLineChars="200"/>
        <w:rPr>
          <w:color w:val="000000"/>
          <w:sz w:val="30"/>
          <w:szCs w:val="30"/>
          <w:lang w:eastAsia="zh-CN"/>
        </w:rPr>
      </w:pPr>
      <w:r>
        <w:rPr>
          <w:rFonts w:hint="eastAsia" w:ascii="仿宋" w:hAnsi="仿宋" w:eastAsia="仿宋" w:cs="仿宋"/>
          <w:sz w:val="30"/>
          <w:szCs w:val="30"/>
          <w:lang w:eastAsia="zh-CN"/>
        </w:rPr>
        <w:t>部门202</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年当年一般公共预算支出</w:t>
      </w:r>
      <w:r>
        <w:rPr>
          <w:rFonts w:hint="eastAsia"/>
          <w:color w:val="000000"/>
          <w:sz w:val="30"/>
          <w:szCs w:val="30"/>
          <w:lang w:val="en-US" w:eastAsia="zh-CN"/>
        </w:rPr>
        <w:t>468.83</w:t>
      </w:r>
      <w:r>
        <w:rPr>
          <w:rFonts w:hint="eastAsia"/>
          <w:color w:val="000000"/>
          <w:sz w:val="30"/>
          <w:szCs w:val="30"/>
          <w:lang w:eastAsia="zh-CN"/>
        </w:rPr>
        <w:t>万元，其中行政运行</w:t>
      </w:r>
      <w:r>
        <w:rPr>
          <w:rFonts w:hint="eastAsia"/>
          <w:color w:val="000000"/>
          <w:sz w:val="30"/>
          <w:szCs w:val="30"/>
          <w:lang w:val="en-US" w:eastAsia="zh-CN"/>
        </w:rPr>
        <w:t>332.37</w:t>
      </w:r>
      <w:r>
        <w:rPr>
          <w:rFonts w:hint="eastAsia"/>
          <w:color w:val="000000"/>
          <w:sz w:val="30"/>
          <w:szCs w:val="30"/>
          <w:lang w:eastAsia="zh-CN"/>
        </w:rPr>
        <w:t>万元，与上年比较预算支出增加</w:t>
      </w:r>
      <w:r>
        <w:rPr>
          <w:rFonts w:hint="eastAsia"/>
          <w:color w:val="000000"/>
          <w:sz w:val="30"/>
          <w:szCs w:val="30"/>
          <w:lang w:val="en-US" w:eastAsia="zh-CN"/>
        </w:rPr>
        <w:t>19.64</w:t>
      </w:r>
      <w:r>
        <w:rPr>
          <w:rFonts w:hint="eastAsia"/>
          <w:color w:val="000000"/>
          <w:sz w:val="30"/>
          <w:szCs w:val="30"/>
          <w:lang w:eastAsia="zh-CN"/>
        </w:rPr>
        <w:t>%，主要原因是人员增资。</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3、支出按经济科目分类的明细情况</w:t>
      </w:r>
    </w:p>
    <w:p>
      <w:pPr>
        <w:pStyle w:val="7"/>
        <w:numPr>
          <w:ilvl w:val="0"/>
          <w:numId w:val="0"/>
        </w:numPr>
        <w:ind w:firstLine="600" w:firstLineChars="200"/>
        <w:rPr>
          <w:rFonts w:hint="eastAsia"/>
          <w:color w:val="000000"/>
          <w:sz w:val="30"/>
          <w:szCs w:val="30"/>
          <w:lang w:eastAsia="zh-CN"/>
        </w:rPr>
      </w:pPr>
      <w:r>
        <w:rPr>
          <w:rFonts w:hint="eastAsia"/>
          <w:color w:val="000000"/>
          <w:sz w:val="30"/>
          <w:szCs w:val="30"/>
          <w:lang w:eastAsia="zh-CN"/>
        </w:rPr>
        <w:t>工资福利支出</w:t>
      </w:r>
      <w:r>
        <w:rPr>
          <w:rFonts w:hint="eastAsia"/>
          <w:color w:val="000000"/>
          <w:sz w:val="30"/>
          <w:szCs w:val="30"/>
          <w:lang w:val="en-US" w:eastAsia="zh-CN"/>
        </w:rPr>
        <w:t>307.95</w:t>
      </w:r>
      <w:r>
        <w:rPr>
          <w:rFonts w:hint="eastAsia"/>
          <w:color w:val="000000"/>
          <w:sz w:val="30"/>
          <w:szCs w:val="30"/>
          <w:lang w:eastAsia="zh-CN"/>
        </w:rPr>
        <w:t>万元与上年比较减少</w:t>
      </w:r>
      <w:r>
        <w:rPr>
          <w:rFonts w:hint="eastAsia"/>
          <w:color w:val="000000"/>
          <w:sz w:val="30"/>
          <w:szCs w:val="30"/>
          <w:lang w:val="en-US" w:eastAsia="zh-CN"/>
        </w:rPr>
        <w:t>6.44</w:t>
      </w:r>
      <w:r>
        <w:rPr>
          <w:rFonts w:hint="eastAsia"/>
          <w:color w:val="000000"/>
          <w:sz w:val="30"/>
          <w:szCs w:val="30"/>
          <w:lang w:eastAsia="zh-CN"/>
        </w:rPr>
        <w:t>%，主要原因是人员退休。</w:t>
      </w:r>
    </w:p>
    <w:p>
      <w:pPr>
        <w:pStyle w:val="7"/>
        <w:ind w:firstLine="600" w:firstLineChars="200"/>
        <w:rPr>
          <w:rFonts w:hint="eastAsia" w:ascii="仿宋_GB2312" w:hAnsi="仿宋_GB2312" w:eastAsia="仿宋_GB2312" w:cs="仿宋_GB2312"/>
          <w:color w:val="000000"/>
          <w:sz w:val="30"/>
          <w:szCs w:val="30"/>
          <w:lang w:eastAsia="zh-CN"/>
        </w:rPr>
      </w:pPr>
      <w:r>
        <w:rPr>
          <w:rFonts w:hint="eastAsia"/>
          <w:color w:val="000000"/>
          <w:sz w:val="30"/>
          <w:szCs w:val="30"/>
          <w:lang w:eastAsia="zh-CN"/>
        </w:rPr>
        <w:t>商品服务支出</w:t>
      </w:r>
      <w:r>
        <w:rPr>
          <w:rFonts w:hint="eastAsia"/>
          <w:color w:val="000000"/>
          <w:sz w:val="30"/>
          <w:szCs w:val="30"/>
          <w:lang w:val="en-US" w:eastAsia="zh-CN"/>
        </w:rPr>
        <w:t>24.42</w:t>
      </w:r>
      <w:r>
        <w:rPr>
          <w:rFonts w:hint="eastAsia"/>
          <w:color w:val="000000"/>
          <w:sz w:val="30"/>
          <w:szCs w:val="30"/>
          <w:lang w:eastAsia="zh-CN"/>
        </w:rPr>
        <w:t>万元，与上年减少</w:t>
      </w:r>
      <w:r>
        <w:rPr>
          <w:rFonts w:hint="eastAsia"/>
          <w:color w:val="000000"/>
          <w:sz w:val="30"/>
          <w:szCs w:val="30"/>
          <w:lang w:val="en-US" w:eastAsia="zh-CN"/>
        </w:rPr>
        <w:t>19.41</w:t>
      </w:r>
      <w:r>
        <w:rPr>
          <w:rFonts w:hint="eastAsia"/>
          <w:color w:val="000000"/>
          <w:sz w:val="30"/>
          <w:szCs w:val="30"/>
          <w:lang w:eastAsia="zh-CN"/>
        </w:rPr>
        <w:t>%主要原因是今年财政预算减少了人员经费专项支出</w:t>
      </w:r>
      <w:r>
        <w:rPr>
          <w:rFonts w:hint="eastAsia"/>
          <w:color w:val="000000"/>
          <w:sz w:val="30"/>
          <w:szCs w:val="30"/>
          <w:lang w:val="en-US" w:eastAsia="zh-CN"/>
        </w:rPr>
        <w:t>5.88</w:t>
      </w:r>
      <w:r>
        <w:rPr>
          <w:rFonts w:hint="eastAsia"/>
          <w:color w:val="000000"/>
          <w:sz w:val="30"/>
          <w:szCs w:val="30"/>
          <w:lang w:eastAsia="zh-CN"/>
        </w:rPr>
        <w:t>万元。</w:t>
      </w:r>
    </w:p>
    <w:p>
      <w:pPr>
        <w:ind w:firstLine="600" w:firstLineChars="200"/>
        <w:jc w:val="left"/>
        <w:rPr>
          <w:rFonts w:hint="eastAsia"/>
          <w:color w:val="000000"/>
          <w:sz w:val="30"/>
          <w:szCs w:val="30"/>
        </w:rPr>
      </w:pPr>
      <w:r>
        <w:rPr>
          <w:rFonts w:hint="eastAsia"/>
          <w:color w:val="000000"/>
          <w:sz w:val="30"/>
          <w:szCs w:val="30"/>
        </w:rPr>
        <w:t>人员经费支出</w:t>
      </w:r>
      <w:r>
        <w:rPr>
          <w:rFonts w:hint="eastAsia"/>
          <w:color w:val="000000"/>
          <w:sz w:val="30"/>
          <w:szCs w:val="30"/>
          <w:lang w:val="en-US" w:eastAsia="zh-CN"/>
        </w:rPr>
        <w:t>253.65</w:t>
      </w:r>
      <w:r>
        <w:rPr>
          <w:rFonts w:hint="eastAsia"/>
          <w:color w:val="000000"/>
          <w:sz w:val="30"/>
          <w:szCs w:val="30"/>
        </w:rPr>
        <w:t>万元，较上年增加</w:t>
      </w:r>
      <w:r>
        <w:rPr>
          <w:rFonts w:hint="eastAsia"/>
          <w:color w:val="000000"/>
          <w:sz w:val="30"/>
          <w:szCs w:val="30"/>
          <w:lang w:val="en-US" w:eastAsia="zh-CN"/>
        </w:rPr>
        <w:t>23.69</w:t>
      </w:r>
      <w:r>
        <w:rPr>
          <w:rFonts w:hint="eastAsia"/>
          <w:color w:val="000000"/>
          <w:sz w:val="30"/>
          <w:szCs w:val="30"/>
        </w:rPr>
        <w:t>%，主要原因是</w:t>
      </w:r>
      <w:r>
        <w:rPr>
          <w:rFonts w:hint="eastAsia"/>
          <w:color w:val="000000"/>
          <w:sz w:val="30"/>
          <w:szCs w:val="30"/>
          <w:lang w:eastAsia="zh-CN"/>
        </w:rPr>
        <w:t>增人增资</w:t>
      </w:r>
      <w:r>
        <w:rPr>
          <w:rFonts w:hint="eastAsia"/>
          <w:color w:val="000000"/>
          <w:sz w:val="30"/>
          <w:szCs w:val="30"/>
        </w:rPr>
        <w:t>。</w:t>
      </w:r>
    </w:p>
    <w:p>
      <w:pPr>
        <w:ind w:firstLine="600" w:firstLineChars="200"/>
        <w:jc w:val="left"/>
        <w:rPr>
          <w:rFonts w:hint="eastAsia"/>
          <w:color w:val="000000"/>
          <w:sz w:val="30"/>
          <w:szCs w:val="30"/>
          <w:lang w:eastAsia="zh-CN"/>
        </w:rPr>
      </w:pPr>
      <w:r>
        <w:rPr>
          <w:rFonts w:hint="eastAsia"/>
          <w:color w:val="000000"/>
          <w:sz w:val="30"/>
          <w:szCs w:val="30"/>
        </w:rPr>
        <w:t>公用经费支出</w:t>
      </w:r>
      <w:r>
        <w:rPr>
          <w:rFonts w:hint="eastAsia"/>
          <w:color w:val="000000"/>
          <w:sz w:val="30"/>
          <w:szCs w:val="30"/>
          <w:lang w:val="en-US" w:eastAsia="zh-CN"/>
        </w:rPr>
        <w:t>13.44</w:t>
      </w:r>
      <w:r>
        <w:rPr>
          <w:rFonts w:hint="eastAsia"/>
          <w:color w:val="000000"/>
          <w:sz w:val="30"/>
          <w:szCs w:val="30"/>
        </w:rPr>
        <w:t>万元，较上年减少</w:t>
      </w:r>
      <w:r>
        <w:rPr>
          <w:rFonts w:hint="eastAsia"/>
          <w:color w:val="000000"/>
          <w:sz w:val="30"/>
          <w:szCs w:val="30"/>
          <w:lang w:val="en-US" w:eastAsia="zh-CN"/>
        </w:rPr>
        <w:t>0</w:t>
      </w:r>
      <w:r>
        <w:rPr>
          <w:rFonts w:hint="eastAsia"/>
          <w:color w:val="000000"/>
          <w:sz w:val="30"/>
          <w:szCs w:val="30"/>
        </w:rPr>
        <w:t>%，</w:t>
      </w:r>
      <w:r>
        <w:rPr>
          <w:rFonts w:hint="eastAsia"/>
          <w:color w:val="000000"/>
          <w:sz w:val="30"/>
          <w:szCs w:val="30"/>
          <w:lang w:eastAsia="zh-CN"/>
        </w:rPr>
        <w:t>与上年持平。</w:t>
      </w:r>
    </w:p>
    <w:p>
      <w:pPr>
        <w:ind w:firstLine="600" w:firstLineChars="200"/>
        <w:jc w:val="left"/>
        <w:rPr>
          <w:rFonts w:hint="eastAsia"/>
          <w:color w:val="000000"/>
          <w:sz w:val="30"/>
          <w:szCs w:val="30"/>
        </w:rPr>
      </w:pPr>
      <w:r>
        <w:rPr>
          <w:rFonts w:hint="eastAsia"/>
          <w:color w:val="000000"/>
          <w:sz w:val="30"/>
          <w:szCs w:val="30"/>
        </w:rPr>
        <w:t>专项业务经费支出</w:t>
      </w:r>
      <w:r>
        <w:rPr>
          <w:rFonts w:hint="eastAsia"/>
          <w:color w:val="000000"/>
          <w:sz w:val="30"/>
          <w:szCs w:val="30"/>
          <w:lang w:val="en-US" w:eastAsia="zh-CN"/>
        </w:rPr>
        <w:t>136.46</w:t>
      </w:r>
      <w:r>
        <w:rPr>
          <w:rFonts w:hint="eastAsia"/>
          <w:color w:val="000000"/>
          <w:sz w:val="30"/>
          <w:szCs w:val="30"/>
        </w:rPr>
        <w:t>万元，较上年</w:t>
      </w:r>
      <w:r>
        <w:rPr>
          <w:rFonts w:hint="eastAsia"/>
          <w:color w:val="000000"/>
          <w:sz w:val="30"/>
          <w:szCs w:val="30"/>
          <w:lang w:eastAsia="zh-CN"/>
        </w:rPr>
        <w:t>增加</w:t>
      </w:r>
      <w:r>
        <w:rPr>
          <w:rFonts w:hint="eastAsia"/>
          <w:color w:val="000000"/>
          <w:sz w:val="30"/>
          <w:szCs w:val="30"/>
          <w:lang w:val="en-US" w:eastAsia="zh-CN"/>
        </w:rPr>
        <w:t>25.58</w:t>
      </w:r>
      <w:r>
        <w:rPr>
          <w:rFonts w:hint="eastAsia"/>
          <w:color w:val="000000"/>
          <w:sz w:val="30"/>
          <w:szCs w:val="30"/>
        </w:rPr>
        <w:t>%，主要原因是</w:t>
      </w:r>
      <w:r>
        <w:rPr>
          <w:rFonts w:hint="eastAsia"/>
          <w:color w:val="000000"/>
          <w:sz w:val="30"/>
          <w:szCs w:val="30"/>
          <w:lang w:eastAsia="zh-CN"/>
        </w:rPr>
        <w:t>中小企业发展专项纳入预算</w:t>
      </w:r>
      <w:r>
        <w:rPr>
          <w:rFonts w:hint="eastAsia"/>
          <w:color w:val="000000"/>
          <w:sz w:val="30"/>
          <w:szCs w:val="30"/>
        </w:rPr>
        <w:t>。</w:t>
      </w:r>
    </w:p>
    <w:p>
      <w:pPr>
        <w:spacing w:line="560" w:lineRule="exact"/>
        <w:ind w:firstLine="643"/>
        <w:rPr>
          <w:rFonts w:hint="eastAsia" w:ascii="仿宋_GB2312" w:hAnsi="仿宋_GB2312" w:eastAsia="仿宋_GB2312" w:cs="仿宋_GB2312"/>
          <w:sz w:val="32"/>
          <w:szCs w:val="32"/>
        </w:rPr>
      </w:pPr>
    </w:p>
    <w:p>
      <w:pPr>
        <w:pStyle w:val="7"/>
        <w:ind w:firstLine="482" w:firstLineChars="15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年结转财政资金一般公共预算拨款支出情况。</w:t>
      </w:r>
    </w:p>
    <w:p>
      <w:pPr>
        <w:pStyle w:val="7"/>
        <w:ind w:firstLine="450" w:firstLineChars="150"/>
        <w:rPr>
          <w:rFonts w:hint="eastAsia" w:ascii="仿宋" w:hAnsi="仿宋" w:eastAsia="仿宋" w:cs="仿宋"/>
          <w:sz w:val="30"/>
          <w:szCs w:val="30"/>
          <w:lang w:eastAsia="zh-CN"/>
        </w:rPr>
      </w:pPr>
      <w:r>
        <w:rPr>
          <w:rFonts w:hint="eastAsia" w:ascii="仿宋" w:hAnsi="仿宋" w:eastAsia="仿宋" w:cs="仿宋"/>
          <w:sz w:val="30"/>
          <w:szCs w:val="30"/>
          <w:lang w:eastAsia="zh-CN"/>
        </w:rPr>
        <w:t>本部门无202</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年结转的一般公共预算拨款资金支出</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bCs/>
          <w:sz w:val="32"/>
          <w:szCs w:val="32"/>
          <w:highlight w:val="none"/>
        </w:rPr>
        <w:t>政府性基金预算支出情况</w:t>
      </w:r>
    </w:p>
    <w:p>
      <w:pPr>
        <w:pStyle w:val="7"/>
        <w:ind w:firstLine="1050" w:firstLineChars="350"/>
        <w:rPr>
          <w:rFonts w:hint="eastAsia" w:ascii="仿宋" w:hAnsi="仿宋" w:eastAsia="仿宋" w:cs="仿宋"/>
          <w:sz w:val="30"/>
          <w:szCs w:val="30"/>
          <w:lang w:val="en-US" w:eastAsia="zh-CN"/>
        </w:rPr>
      </w:pPr>
      <w:r>
        <w:rPr>
          <w:rFonts w:hint="eastAsia" w:ascii="仿宋" w:hAnsi="仿宋" w:eastAsia="仿宋" w:cs="仿宋"/>
          <w:sz w:val="30"/>
          <w:szCs w:val="30"/>
          <w:lang w:eastAsia="zh-CN"/>
        </w:rPr>
        <w:t>本部门202</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年无政府基金预算支出</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国有资本经营预算拨款收支情况</w:t>
      </w:r>
    </w:p>
    <w:p>
      <w:pPr>
        <w:pStyle w:val="7"/>
        <w:numPr>
          <w:ilvl w:val="0"/>
          <w:numId w:val="0"/>
        </w:num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本部门无当年国有资本经营预算拨款收支。</w:t>
      </w:r>
    </w:p>
    <w:p>
      <w:pPr>
        <w:jc w:val="center"/>
        <w:rPr>
          <w:rFonts w:hint="default" w:ascii="仿宋_GB2312" w:hAnsi="仿宋_GB2312" w:eastAsia="仿宋_GB2312" w:cs="仿宋_GB2312"/>
          <w:sz w:val="32"/>
          <w:szCs w:val="32"/>
          <w:highlight w:val="none"/>
          <w:lang w:val="en-US" w:eastAsia="zh-CN"/>
        </w:rPr>
      </w:pPr>
      <w:r>
        <w:rPr>
          <w:rFonts w:hint="eastAsia" w:ascii="宋体" w:hAnsi="宋体" w:eastAsia="宋体" w:cs="宋体"/>
          <w:b/>
          <w:bCs/>
          <w:sz w:val="32"/>
          <w:szCs w:val="32"/>
          <w:highlight w:val="none"/>
          <w:lang w:eastAsia="zh-CN"/>
        </w:rPr>
        <w:t>第三部分</w:t>
      </w:r>
      <w:r>
        <w:rPr>
          <w:rFonts w:hint="eastAsia" w:ascii="宋体" w:hAnsi="宋体" w:eastAsia="宋体" w:cs="宋体"/>
          <w:b/>
          <w:bCs/>
          <w:sz w:val="32"/>
          <w:szCs w:val="32"/>
          <w:highlight w:val="none"/>
          <w:lang w:val="en-US" w:eastAsia="zh-CN"/>
        </w:rPr>
        <w:t xml:space="preserve">  其他情况</w:t>
      </w:r>
    </w:p>
    <w:p>
      <w:pPr>
        <w:ind w:firstLine="640"/>
        <w:rPr>
          <w:rFonts w:hint="eastAsia" w:ascii="仿宋_GB2312" w:hAnsi="仿宋_GB2312" w:eastAsia="仿宋_GB2312" w:cs="仿宋_GB2312"/>
          <w:b w:val="0"/>
          <w:bCs w:val="0"/>
          <w:sz w:val="32"/>
          <w:szCs w:val="32"/>
          <w:highlight w:val="none"/>
          <w:u w:val="single"/>
        </w:rPr>
      </w:pP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u w:val="none"/>
        </w:rPr>
        <w:t>、“三公”经费</w:t>
      </w:r>
      <w:r>
        <w:rPr>
          <w:rFonts w:hint="eastAsia" w:ascii="仿宋_GB2312" w:hAnsi="仿宋_GB2312" w:eastAsia="仿宋_GB2312" w:cs="仿宋_GB2312"/>
          <w:b/>
          <w:bCs/>
          <w:sz w:val="32"/>
          <w:szCs w:val="32"/>
          <w:highlight w:val="none"/>
          <w:u w:val="none"/>
          <w:lang w:eastAsia="zh-CN"/>
        </w:rPr>
        <w:t>及会议费、培训费</w:t>
      </w:r>
      <w:r>
        <w:rPr>
          <w:rFonts w:hint="eastAsia" w:ascii="仿宋_GB2312" w:hAnsi="仿宋_GB2312" w:eastAsia="仿宋_GB2312" w:cs="仿宋_GB2312"/>
          <w:b/>
          <w:bCs/>
          <w:sz w:val="32"/>
          <w:szCs w:val="32"/>
          <w:highlight w:val="none"/>
          <w:u w:val="none"/>
        </w:rPr>
        <w:t>情况</w:t>
      </w:r>
      <w:r>
        <w:rPr>
          <w:rFonts w:hint="eastAsia" w:ascii="仿宋_GB2312" w:hAnsi="仿宋_GB2312" w:eastAsia="仿宋_GB2312" w:cs="仿宋_GB2312"/>
          <w:b/>
          <w:bCs/>
          <w:sz w:val="32"/>
          <w:szCs w:val="32"/>
          <w:highlight w:val="none"/>
          <w:u w:val="none"/>
          <w:lang w:eastAsia="zh-CN"/>
        </w:rPr>
        <w:t>说明</w:t>
      </w:r>
    </w:p>
    <w:p>
      <w:pPr>
        <w:pStyle w:val="7"/>
        <w:spacing w:line="560" w:lineRule="exact"/>
        <w:ind w:firstLine="480" w:firstLineChars="150"/>
        <w:rPr>
          <w:rFonts w:hint="default" w:ascii="仿宋" w:hAnsi="仿宋" w:eastAsia="仿宋" w:cs="仿宋"/>
          <w:b/>
          <w:bCs/>
          <w:sz w:val="30"/>
          <w:szCs w:val="30"/>
          <w:lang w:val="en-US"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年本部门当年一般公共预算“三公”经费预算支出</w:t>
      </w:r>
      <w:r>
        <w:rPr>
          <w:rFonts w:hint="eastAsia"/>
          <w:color w:val="000000"/>
          <w:sz w:val="30"/>
          <w:szCs w:val="30"/>
          <w:lang w:eastAsia="zh-CN"/>
        </w:rPr>
        <w:t>2.5万元，202</w:t>
      </w:r>
      <w:r>
        <w:rPr>
          <w:rFonts w:hint="eastAsia"/>
          <w:color w:val="000000"/>
          <w:sz w:val="30"/>
          <w:szCs w:val="30"/>
          <w:lang w:val="en-US" w:eastAsia="zh-CN"/>
        </w:rPr>
        <w:t>2</w:t>
      </w:r>
      <w:r>
        <w:rPr>
          <w:rFonts w:hint="eastAsia"/>
          <w:color w:val="000000"/>
          <w:sz w:val="30"/>
          <w:szCs w:val="30"/>
          <w:lang w:eastAsia="zh-CN"/>
        </w:rPr>
        <w:t>年“三公经费”预算支出2.5万元，与上年持平。其中“因公出国（境）费”为</w:t>
      </w:r>
      <w:r>
        <w:rPr>
          <w:rFonts w:hint="eastAsia"/>
          <w:color w:val="000000"/>
          <w:sz w:val="30"/>
          <w:szCs w:val="30"/>
          <w:lang w:val="en-US" w:eastAsia="zh-CN"/>
        </w:rPr>
        <w:t>0元、“公务用车购置及运行费”为0元、“公务接待费”为2.5万元。</w:t>
      </w:r>
    </w:p>
    <w:p>
      <w:pPr>
        <w:ind w:firstLine="640"/>
        <w:rPr>
          <w:rFonts w:hint="eastAsia" w:ascii="仿宋_GB2312" w:hAnsi="仿宋_GB2312" w:eastAsia="仿宋_GB2312" w:cs="仿宋_GB2312"/>
          <w:sz w:val="32"/>
          <w:szCs w:val="32"/>
          <w:highlight w:val="none"/>
          <w:lang w:val="en-US" w:eastAsia="zh-CN"/>
        </w:rPr>
      </w:pP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国有资产占有使用</w:t>
      </w:r>
      <w:r>
        <w:rPr>
          <w:rFonts w:hint="eastAsia" w:ascii="仿宋_GB2312" w:hAnsi="仿宋_GB2312" w:eastAsia="仿宋_GB2312" w:cs="仿宋_GB2312"/>
          <w:b/>
          <w:bCs/>
          <w:sz w:val="32"/>
          <w:szCs w:val="32"/>
          <w:highlight w:val="none"/>
          <w:lang w:eastAsia="zh-CN"/>
        </w:rPr>
        <w:t>及资产购置</w:t>
      </w:r>
      <w:r>
        <w:rPr>
          <w:rFonts w:hint="eastAsia" w:ascii="仿宋_GB2312" w:hAnsi="仿宋_GB2312" w:eastAsia="仿宋_GB2312" w:cs="仿宋_GB2312"/>
          <w:b/>
          <w:bCs/>
          <w:sz w:val="32"/>
          <w:szCs w:val="32"/>
          <w:highlight w:val="none"/>
        </w:rPr>
        <w:t>情况说明</w:t>
      </w:r>
    </w:p>
    <w:p>
      <w:pPr>
        <w:pStyle w:val="7"/>
        <w:numPr>
          <w:ilvl w:val="0"/>
          <w:numId w:val="0"/>
        </w:numPr>
        <w:ind w:firstLine="900" w:firstLineChars="300"/>
        <w:rPr>
          <w:color w:val="000000"/>
          <w:sz w:val="30"/>
          <w:szCs w:val="30"/>
          <w:lang w:eastAsia="zh-CN"/>
        </w:rPr>
      </w:pPr>
      <w:r>
        <w:rPr>
          <w:rFonts w:hint="eastAsia"/>
          <w:color w:val="000000"/>
          <w:sz w:val="30"/>
          <w:szCs w:val="30"/>
          <w:lang w:eastAsia="zh-CN"/>
        </w:rPr>
        <w:t>固定资产原值</w:t>
      </w:r>
      <w:r>
        <w:rPr>
          <w:rFonts w:hint="eastAsia"/>
          <w:color w:val="000000"/>
          <w:sz w:val="30"/>
          <w:szCs w:val="30"/>
          <w:lang w:val="en-US" w:eastAsia="zh-CN"/>
        </w:rPr>
        <w:t>140.88万元</w:t>
      </w:r>
      <w:r>
        <w:rPr>
          <w:rFonts w:hint="eastAsia"/>
          <w:color w:val="000000"/>
          <w:sz w:val="30"/>
          <w:szCs w:val="30"/>
          <w:lang w:eastAsia="zh-CN"/>
        </w:rPr>
        <w:t>，累计折旧</w:t>
      </w:r>
      <w:r>
        <w:rPr>
          <w:rFonts w:hint="eastAsia"/>
          <w:color w:val="000000"/>
          <w:sz w:val="30"/>
          <w:szCs w:val="30"/>
          <w:lang w:val="en-US" w:eastAsia="zh-CN"/>
        </w:rPr>
        <w:t>90.44万元</w:t>
      </w:r>
      <w:r>
        <w:rPr>
          <w:rFonts w:hint="eastAsia"/>
          <w:color w:val="000000"/>
          <w:sz w:val="30"/>
          <w:szCs w:val="30"/>
          <w:lang w:eastAsia="zh-CN"/>
        </w:rPr>
        <w:t>，固定资产净值</w:t>
      </w:r>
      <w:r>
        <w:rPr>
          <w:rFonts w:hint="eastAsia"/>
          <w:color w:val="000000"/>
          <w:sz w:val="30"/>
          <w:szCs w:val="30"/>
          <w:lang w:val="en-US" w:eastAsia="zh-CN"/>
        </w:rPr>
        <w:t>50.44</w:t>
      </w:r>
      <w:r>
        <w:rPr>
          <w:rFonts w:hint="eastAsia"/>
          <w:color w:val="000000"/>
          <w:sz w:val="30"/>
          <w:szCs w:val="30"/>
          <w:lang w:eastAsia="zh-CN"/>
        </w:rPr>
        <w:t>万元。</w:t>
      </w:r>
      <w:r>
        <w:rPr>
          <w:rFonts w:hint="eastAsia" w:ascii="仿宋" w:hAnsi="仿宋" w:eastAsia="仿宋" w:cs="仿宋"/>
          <w:sz w:val="32"/>
          <w:szCs w:val="32"/>
          <w:lang w:eastAsia="zh-CN"/>
        </w:rPr>
        <w:t>本部门无202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年结转的财政拨款支出资产购置</w:t>
      </w:r>
    </w:p>
    <w:p>
      <w:pPr>
        <w:spacing w:line="560" w:lineRule="exact"/>
        <w:ind w:firstLine="643"/>
        <w:rPr>
          <w:rFonts w:hint="eastAsia" w:ascii="楷体_GB2312" w:hAnsi="楷体_GB2312" w:eastAsia="楷体_GB2312" w:cs="楷体_GB2312"/>
          <w:sz w:val="32"/>
          <w:szCs w:val="32"/>
        </w:rPr>
      </w:pPr>
    </w:p>
    <w:p>
      <w:pPr>
        <w:ind w:firstLine="64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、政府采购情况</w:t>
      </w:r>
      <w:r>
        <w:rPr>
          <w:rFonts w:hint="eastAsia" w:ascii="仿宋_GB2312" w:hAnsi="仿宋_GB2312" w:eastAsia="仿宋_GB2312" w:cs="仿宋_GB2312"/>
          <w:b/>
          <w:bCs/>
          <w:sz w:val="32"/>
          <w:szCs w:val="32"/>
          <w:highlight w:val="none"/>
          <w:lang w:eastAsia="zh-CN"/>
        </w:rPr>
        <w:t>说明</w:t>
      </w:r>
    </w:p>
    <w:p>
      <w:pPr>
        <w:pStyle w:val="7"/>
        <w:ind w:firstLine="600" w:firstLineChars="200"/>
        <w:rPr>
          <w:rFonts w:hint="eastAsia" w:ascii="仿宋" w:hAnsi="仿宋" w:eastAsia="仿宋" w:cs="仿宋"/>
          <w:sz w:val="30"/>
          <w:szCs w:val="30"/>
          <w:lang w:eastAsia="zh-CN"/>
        </w:rPr>
      </w:pPr>
      <w:r>
        <w:rPr>
          <w:rFonts w:hint="eastAsia"/>
          <w:color w:val="000000"/>
          <w:sz w:val="30"/>
          <w:szCs w:val="30"/>
          <w:lang w:eastAsia="zh-CN"/>
        </w:rPr>
        <w:t>202</w:t>
      </w:r>
      <w:r>
        <w:rPr>
          <w:rFonts w:hint="eastAsia"/>
          <w:color w:val="000000"/>
          <w:sz w:val="30"/>
          <w:szCs w:val="30"/>
          <w:lang w:val="en-US" w:eastAsia="zh-CN"/>
        </w:rPr>
        <w:t>3</w:t>
      </w:r>
      <w:r>
        <w:rPr>
          <w:rFonts w:hint="eastAsia"/>
          <w:color w:val="000000"/>
          <w:sz w:val="30"/>
          <w:szCs w:val="30"/>
          <w:lang w:eastAsia="zh-CN"/>
        </w:rPr>
        <w:t>年政府采购预算2.96万元，其中政府采购笔记本电脑2部1.2万元：办公桌椅2套0.56万元：打印机2台0.4万元；台式电脑2台0.8万元。</w:t>
      </w:r>
      <w:r>
        <w:rPr>
          <w:rFonts w:hint="eastAsia" w:ascii="仿宋" w:hAnsi="仿宋" w:eastAsia="仿宋" w:cs="仿宋"/>
          <w:sz w:val="30"/>
          <w:szCs w:val="30"/>
          <w:lang w:eastAsia="zh-CN"/>
        </w:rPr>
        <w:t>本部门无202</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年结转的政府采购资金支出。</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九、</w:t>
      </w:r>
      <w:r>
        <w:rPr>
          <w:rFonts w:hint="eastAsia" w:ascii="仿宋_GB2312" w:hAnsi="仿宋_GB2312" w:eastAsia="仿宋_GB2312" w:cs="仿宋_GB2312"/>
          <w:b/>
          <w:bCs/>
          <w:sz w:val="32"/>
          <w:szCs w:val="32"/>
          <w:highlight w:val="none"/>
        </w:rPr>
        <w:t>绩效目标</w:t>
      </w:r>
      <w:r>
        <w:rPr>
          <w:rFonts w:hint="eastAsia" w:ascii="仿宋_GB2312" w:hAnsi="仿宋_GB2312" w:eastAsia="仿宋_GB2312" w:cs="仿宋_GB2312"/>
          <w:b/>
          <w:bCs/>
          <w:sz w:val="32"/>
          <w:szCs w:val="32"/>
          <w:highlight w:val="none"/>
          <w:lang w:eastAsia="zh-CN"/>
        </w:rPr>
        <w:t>情况</w:t>
      </w:r>
      <w:r>
        <w:rPr>
          <w:rFonts w:hint="eastAsia" w:ascii="仿宋_GB2312" w:hAnsi="仿宋_GB2312" w:eastAsia="仿宋_GB2312" w:cs="仿宋_GB2312"/>
          <w:b/>
          <w:bCs/>
          <w:sz w:val="32"/>
          <w:szCs w:val="32"/>
          <w:highlight w:val="none"/>
        </w:rPr>
        <w:t>说明</w:t>
      </w:r>
    </w:p>
    <w:p>
      <w:pPr>
        <w:pStyle w:val="7"/>
        <w:ind w:firstLine="600" w:firstLineChars="200"/>
        <w:rPr>
          <w:rFonts w:hint="eastAsia" w:ascii="仿宋" w:hAnsi="仿宋" w:eastAsia="仿宋" w:cs="仿宋"/>
          <w:sz w:val="32"/>
          <w:szCs w:val="32"/>
          <w:lang w:eastAsia="zh-CN"/>
        </w:rPr>
      </w:pPr>
      <w:r>
        <w:rPr>
          <w:rFonts w:hint="eastAsia"/>
          <w:sz w:val="30"/>
          <w:szCs w:val="30"/>
          <w:lang w:eastAsia="zh-CN"/>
        </w:rPr>
        <w:t>本部门无202</w:t>
      </w:r>
      <w:r>
        <w:rPr>
          <w:rFonts w:hint="eastAsia"/>
          <w:sz w:val="30"/>
          <w:szCs w:val="30"/>
          <w:lang w:val="en-US" w:eastAsia="zh-CN"/>
        </w:rPr>
        <w:t>2</w:t>
      </w:r>
      <w:r>
        <w:rPr>
          <w:rFonts w:hint="eastAsia"/>
          <w:sz w:val="30"/>
          <w:szCs w:val="30"/>
          <w:lang w:eastAsia="zh-CN"/>
        </w:rPr>
        <w:t>年结转的财政拨款支出涉及的绩效目标管理。</w:t>
      </w:r>
      <w:r>
        <w:rPr>
          <w:rFonts w:hint="eastAsia"/>
          <w:color w:val="000000"/>
          <w:sz w:val="30"/>
          <w:szCs w:val="30"/>
          <w:lang w:eastAsia="zh-CN"/>
        </w:rPr>
        <w:t>202</w:t>
      </w:r>
      <w:r>
        <w:rPr>
          <w:rFonts w:hint="eastAsia"/>
          <w:color w:val="000000"/>
          <w:sz w:val="30"/>
          <w:szCs w:val="30"/>
          <w:lang w:val="en-US" w:eastAsia="zh-CN"/>
        </w:rPr>
        <w:t>3</w:t>
      </w:r>
      <w:r>
        <w:rPr>
          <w:rFonts w:hint="eastAsia"/>
          <w:color w:val="000000"/>
          <w:sz w:val="30"/>
          <w:szCs w:val="30"/>
          <w:lang w:eastAsia="zh-CN"/>
        </w:rPr>
        <w:t>年本部门实现了绩效目标管理全覆盖，涉及一般公共预算当年拨款</w:t>
      </w:r>
      <w:r>
        <w:rPr>
          <w:rFonts w:hint="eastAsia"/>
          <w:color w:val="000000"/>
          <w:sz w:val="30"/>
          <w:szCs w:val="30"/>
          <w:lang w:val="en-US" w:eastAsia="zh-CN"/>
        </w:rPr>
        <w:t>468.83</w:t>
      </w:r>
      <w:r>
        <w:rPr>
          <w:rFonts w:hint="eastAsia"/>
          <w:color w:val="000000"/>
          <w:sz w:val="30"/>
          <w:szCs w:val="30"/>
          <w:lang w:eastAsia="zh-CN"/>
        </w:rPr>
        <w:t>万元,无政府性基金预算拨款。</w:t>
      </w:r>
      <w:r>
        <w:rPr>
          <w:rFonts w:hint="eastAsia" w:ascii="仿宋" w:hAnsi="仿宋" w:eastAsia="仿宋" w:cs="仿宋"/>
          <w:sz w:val="32"/>
          <w:szCs w:val="32"/>
          <w:lang w:eastAsia="zh-CN"/>
        </w:rPr>
        <w:t>本部门无202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年结转的财政拨款支出涉及的绩效目标管理</w:t>
      </w:r>
    </w:p>
    <w:p>
      <w:pPr>
        <w:rPr>
          <w:rFonts w:hint="eastAsia" w:ascii="仿宋_GB2312" w:hAnsi="仿宋_GB2312" w:eastAsia="仿宋_GB2312" w:cs="仿宋_GB2312"/>
          <w:sz w:val="32"/>
          <w:szCs w:val="32"/>
          <w:highlight w:val="none"/>
          <w:lang w:eastAsia="zh-CN"/>
        </w:rPr>
      </w:pPr>
    </w:p>
    <w:p>
      <w:pPr>
        <w:ind w:firstLine="64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lang w:eastAsia="zh-CN"/>
        </w:rPr>
        <w:t>十、</w:t>
      </w:r>
      <w:r>
        <w:rPr>
          <w:rFonts w:hint="eastAsia" w:ascii="仿宋_GB2312" w:hAnsi="仿宋_GB2312" w:eastAsia="仿宋_GB2312" w:cs="仿宋_GB2312"/>
          <w:b/>
          <w:bCs/>
          <w:sz w:val="32"/>
          <w:szCs w:val="32"/>
          <w:highlight w:val="none"/>
        </w:rPr>
        <w:t>机关运行经费安排情况</w:t>
      </w:r>
      <w:r>
        <w:rPr>
          <w:rFonts w:hint="eastAsia" w:ascii="仿宋_GB2312" w:hAnsi="仿宋_GB2312" w:eastAsia="仿宋_GB2312" w:cs="仿宋_GB2312"/>
          <w:b/>
          <w:bCs/>
          <w:sz w:val="32"/>
          <w:szCs w:val="32"/>
          <w:highlight w:val="none"/>
          <w:lang w:eastAsia="zh-CN"/>
        </w:rPr>
        <w:t>说明</w:t>
      </w:r>
    </w:p>
    <w:p>
      <w:pPr>
        <w:pStyle w:val="7"/>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本部门当年机关运行经费预算安排</w:t>
      </w:r>
      <w:r>
        <w:rPr>
          <w:rFonts w:hint="eastAsia" w:ascii="仿宋" w:hAnsi="仿宋" w:eastAsia="仿宋" w:cs="仿宋"/>
          <w:sz w:val="30"/>
          <w:szCs w:val="30"/>
          <w:lang w:val="en-US" w:eastAsia="zh-CN"/>
        </w:rPr>
        <w:t>13.44</w:t>
      </w:r>
      <w:r>
        <w:rPr>
          <w:rFonts w:hint="eastAsia" w:ascii="仿宋" w:hAnsi="仿宋" w:eastAsia="仿宋" w:cs="仿宋"/>
          <w:sz w:val="30"/>
          <w:szCs w:val="30"/>
          <w:lang w:eastAsia="zh-CN"/>
        </w:rPr>
        <w:t>万元，</w:t>
      </w:r>
      <w:r>
        <w:rPr>
          <w:rFonts w:hint="eastAsia"/>
          <w:color w:val="000000"/>
          <w:sz w:val="30"/>
          <w:szCs w:val="30"/>
          <w:lang w:eastAsia="zh-CN"/>
        </w:rPr>
        <w:t xml:space="preserve">与上年持平，主要用于本单位日常办公费等支出。 </w:t>
      </w:r>
      <w:r>
        <w:rPr>
          <w:rFonts w:hint="eastAsia" w:ascii="仿宋" w:hAnsi="仿宋" w:eastAsia="仿宋" w:cs="仿宋"/>
          <w:sz w:val="30"/>
          <w:szCs w:val="30"/>
          <w:lang w:eastAsia="zh-CN"/>
        </w:rPr>
        <w:t>本部门无202</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年结转的财政拨款机关运行经费支出</w:t>
      </w:r>
    </w:p>
    <w:p>
      <w:pPr>
        <w:ind w:firstLine="64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lang w:eastAsia="zh-CN"/>
        </w:rPr>
        <w:t>十一</w:t>
      </w:r>
      <w:r>
        <w:rPr>
          <w:rFonts w:hint="eastAsia" w:ascii="仿宋_GB2312" w:hAnsi="仿宋_GB2312" w:eastAsia="仿宋_GB2312" w:cs="仿宋_GB2312"/>
          <w:b/>
          <w:bCs/>
          <w:sz w:val="32"/>
          <w:szCs w:val="32"/>
          <w:highlight w:val="none"/>
        </w:rPr>
        <w:t>、专业名词解释</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第四部分</w:t>
      </w:r>
      <w:r>
        <w:rPr>
          <w:rFonts w:hint="eastAsia" w:ascii="仿宋_GB2312" w:hAnsi="仿宋_GB2312" w:eastAsia="仿宋_GB2312" w:cs="仿宋_GB2312"/>
          <w:b/>
          <w:bCs/>
          <w:sz w:val="32"/>
          <w:szCs w:val="32"/>
          <w:highlight w:val="none"/>
          <w:lang w:val="en-US" w:eastAsia="zh-CN"/>
        </w:rPr>
        <w:t xml:space="preserve">  公开报表</w:t>
      </w:r>
      <w:r>
        <w:rPr>
          <w:rFonts w:hint="eastAsia" w:ascii="仿宋_GB2312" w:hAnsi="仿宋_GB2312" w:eastAsia="仿宋_GB2312" w:cs="仿宋_GB2312"/>
          <w:sz w:val="32"/>
          <w:szCs w:val="32"/>
          <w:highlight w:val="none"/>
        </w:rPr>
        <w:tab/>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p>
    <w:p>
      <w:pPr>
        <w:rPr>
          <w:highlight w:val="none"/>
        </w:rPr>
      </w:pP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outlineLvl w:val="9"/>
        <w:rPr>
          <w:rFonts w:hint="default" w:ascii="FangSong_GB2312" w:hAnsi="FangSong_GB2312" w:eastAsia="FangSong_GB2312"/>
          <w:sz w:val="32"/>
          <w:lang w:val="en-US" w:eastAsia="zh-CN"/>
        </w:rPr>
      </w:pPr>
    </w:p>
    <w:sectPr>
      <w:pgSz w:w="11906" w:h="16838"/>
      <w:pgMar w:top="1440" w:right="1800" w:bottom="1440" w:left="1800" w:header="851" w:footer="992" w:gutter="0"/>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FangSong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C97D6"/>
    <w:multiLevelType w:val="singleLevel"/>
    <w:tmpl w:val="C10C97D6"/>
    <w:lvl w:ilvl="0" w:tentative="0">
      <w:start w:val="2"/>
      <w:numFmt w:val="chineseCounting"/>
      <w:suff w:val="nothing"/>
      <w:lvlText w:val="（%1）"/>
      <w:lvlJc w:val="left"/>
      <w:rPr>
        <w:rFonts w:hint="eastAsia"/>
      </w:rPr>
    </w:lvl>
  </w:abstractNum>
  <w:abstractNum w:abstractNumId="1">
    <w:nsid w:val="CB99E7E8"/>
    <w:multiLevelType w:val="singleLevel"/>
    <w:tmpl w:val="CB99E7E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c4NWRkYzRlY2Y0ZDk0ZWFjOTA3NWZhYTU5YTM3ZjkifQ=="/>
  </w:docVars>
  <w:rsids>
    <w:rsidRoot w:val="00172A27"/>
    <w:rsid w:val="00030665"/>
    <w:rsid w:val="000D3C31"/>
    <w:rsid w:val="002235CA"/>
    <w:rsid w:val="00325D3E"/>
    <w:rsid w:val="003F266E"/>
    <w:rsid w:val="00495EAC"/>
    <w:rsid w:val="00534525"/>
    <w:rsid w:val="006553D2"/>
    <w:rsid w:val="006A779A"/>
    <w:rsid w:val="007138CC"/>
    <w:rsid w:val="00715F37"/>
    <w:rsid w:val="00727AF9"/>
    <w:rsid w:val="007C1591"/>
    <w:rsid w:val="007F592D"/>
    <w:rsid w:val="00911D54"/>
    <w:rsid w:val="009B78D6"/>
    <w:rsid w:val="00C44682"/>
    <w:rsid w:val="00CB6F2D"/>
    <w:rsid w:val="00CC7DB5"/>
    <w:rsid w:val="00E863A2"/>
    <w:rsid w:val="011C626C"/>
    <w:rsid w:val="014A2072"/>
    <w:rsid w:val="02F85FBE"/>
    <w:rsid w:val="02FC45A7"/>
    <w:rsid w:val="03806F86"/>
    <w:rsid w:val="04320FD9"/>
    <w:rsid w:val="049A40D7"/>
    <w:rsid w:val="04A216F1"/>
    <w:rsid w:val="04B95332"/>
    <w:rsid w:val="04DD00BC"/>
    <w:rsid w:val="04FB7C1A"/>
    <w:rsid w:val="05157BA2"/>
    <w:rsid w:val="06A33BDC"/>
    <w:rsid w:val="06D849E3"/>
    <w:rsid w:val="07C63897"/>
    <w:rsid w:val="086E4871"/>
    <w:rsid w:val="095C02B4"/>
    <w:rsid w:val="09B770EC"/>
    <w:rsid w:val="0B7A075E"/>
    <w:rsid w:val="0C4843B9"/>
    <w:rsid w:val="0D930FB4"/>
    <w:rsid w:val="0E166935"/>
    <w:rsid w:val="10482952"/>
    <w:rsid w:val="104E7D4B"/>
    <w:rsid w:val="12DB3A27"/>
    <w:rsid w:val="1565422D"/>
    <w:rsid w:val="15D57923"/>
    <w:rsid w:val="16117F11"/>
    <w:rsid w:val="16A513F2"/>
    <w:rsid w:val="176D6084"/>
    <w:rsid w:val="17AA23CB"/>
    <w:rsid w:val="17DF02C7"/>
    <w:rsid w:val="17E3395E"/>
    <w:rsid w:val="18696069"/>
    <w:rsid w:val="1D2247B2"/>
    <w:rsid w:val="1E546C83"/>
    <w:rsid w:val="1EA2204E"/>
    <w:rsid w:val="1F8359DC"/>
    <w:rsid w:val="1FCF6E73"/>
    <w:rsid w:val="1FE31903"/>
    <w:rsid w:val="213760C2"/>
    <w:rsid w:val="21496A33"/>
    <w:rsid w:val="21747CD2"/>
    <w:rsid w:val="22E5250A"/>
    <w:rsid w:val="23D42CAA"/>
    <w:rsid w:val="26EF4C92"/>
    <w:rsid w:val="287B7B98"/>
    <w:rsid w:val="288822B5"/>
    <w:rsid w:val="298B69ED"/>
    <w:rsid w:val="29C15A7E"/>
    <w:rsid w:val="29E03A2B"/>
    <w:rsid w:val="2A647C1A"/>
    <w:rsid w:val="2A7A5DA7"/>
    <w:rsid w:val="2AF7632B"/>
    <w:rsid w:val="2B6E114C"/>
    <w:rsid w:val="2C212804"/>
    <w:rsid w:val="2CC1612C"/>
    <w:rsid w:val="2DBD655D"/>
    <w:rsid w:val="2DD21556"/>
    <w:rsid w:val="2E903FB5"/>
    <w:rsid w:val="2EB57C9F"/>
    <w:rsid w:val="2F7039B1"/>
    <w:rsid w:val="32383B0A"/>
    <w:rsid w:val="32DB48BA"/>
    <w:rsid w:val="33460DA3"/>
    <w:rsid w:val="33801EA2"/>
    <w:rsid w:val="3489363D"/>
    <w:rsid w:val="34B74C75"/>
    <w:rsid w:val="34C603ED"/>
    <w:rsid w:val="350607E9"/>
    <w:rsid w:val="351D1FD7"/>
    <w:rsid w:val="351F5D4F"/>
    <w:rsid w:val="35457DE0"/>
    <w:rsid w:val="35555E4E"/>
    <w:rsid w:val="359252AB"/>
    <w:rsid w:val="35AE2C2F"/>
    <w:rsid w:val="36163AE3"/>
    <w:rsid w:val="36AE1139"/>
    <w:rsid w:val="37D7646D"/>
    <w:rsid w:val="388B0D2A"/>
    <w:rsid w:val="388F6532"/>
    <w:rsid w:val="38E946AA"/>
    <w:rsid w:val="39204568"/>
    <w:rsid w:val="3A6366DE"/>
    <w:rsid w:val="3B5F0C53"/>
    <w:rsid w:val="3B975BF3"/>
    <w:rsid w:val="3CCD3647"/>
    <w:rsid w:val="3DBD27EB"/>
    <w:rsid w:val="3DC7004C"/>
    <w:rsid w:val="3E4F02E7"/>
    <w:rsid w:val="40C907D4"/>
    <w:rsid w:val="41691C24"/>
    <w:rsid w:val="422F6A5F"/>
    <w:rsid w:val="43606DFF"/>
    <w:rsid w:val="43922513"/>
    <w:rsid w:val="44421112"/>
    <w:rsid w:val="44EE2C86"/>
    <w:rsid w:val="458D460F"/>
    <w:rsid w:val="46050649"/>
    <w:rsid w:val="464613F9"/>
    <w:rsid w:val="46F073D7"/>
    <w:rsid w:val="47F51DA1"/>
    <w:rsid w:val="48246A25"/>
    <w:rsid w:val="48515DC8"/>
    <w:rsid w:val="48DA400F"/>
    <w:rsid w:val="48EA4BA0"/>
    <w:rsid w:val="494B3812"/>
    <w:rsid w:val="4974495A"/>
    <w:rsid w:val="49A85EBB"/>
    <w:rsid w:val="4A800BE6"/>
    <w:rsid w:val="4AFD517E"/>
    <w:rsid w:val="4C794427"/>
    <w:rsid w:val="4DA1334D"/>
    <w:rsid w:val="4DC1754C"/>
    <w:rsid w:val="4DC4528E"/>
    <w:rsid w:val="4EAF467F"/>
    <w:rsid w:val="4F0E46E4"/>
    <w:rsid w:val="4F4E6E0F"/>
    <w:rsid w:val="500A342C"/>
    <w:rsid w:val="50175272"/>
    <w:rsid w:val="50632B3C"/>
    <w:rsid w:val="50CA6772"/>
    <w:rsid w:val="50E772C9"/>
    <w:rsid w:val="51A0391C"/>
    <w:rsid w:val="51D46FEC"/>
    <w:rsid w:val="529A3CEF"/>
    <w:rsid w:val="53794425"/>
    <w:rsid w:val="53D82CB6"/>
    <w:rsid w:val="544C45A3"/>
    <w:rsid w:val="548A4B3B"/>
    <w:rsid w:val="549A0EDD"/>
    <w:rsid w:val="54E56216"/>
    <w:rsid w:val="55450A62"/>
    <w:rsid w:val="55BD2CEE"/>
    <w:rsid w:val="569E74B0"/>
    <w:rsid w:val="57A079AE"/>
    <w:rsid w:val="57D305A7"/>
    <w:rsid w:val="587A35D8"/>
    <w:rsid w:val="5900561E"/>
    <w:rsid w:val="59BE0DE3"/>
    <w:rsid w:val="5A7F118D"/>
    <w:rsid w:val="5C2757BE"/>
    <w:rsid w:val="5C441A74"/>
    <w:rsid w:val="5C627651"/>
    <w:rsid w:val="5D0858C1"/>
    <w:rsid w:val="5D172CE4"/>
    <w:rsid w:val="5F8B5C0B"/>
    <w:rsid w:val="5F9A6475"/>
    <w:rsid w:val="5FDD417D"/>
    <w:rsid w:val="604F7897"/>
    <w:rsid w:val="60A01243"/>
    <w:rsid w:val="60A76F05"/>
    <w:rsid w:val="60E6759D"/>
    <w:rsid w:val="61FE26C5"/>
    <w:rsid w:val="623C31ED"/>
    <w:rsid w:val="624B3430"/>
    <w:rsid w:val="625E3163"/>
    <w:rsid w:val="62770932"/>
    <w:rsid w:val="63302D52"/>
    <w:rsid w:val="63ED0CD3"/>
    <w:rsid w:val="667728BC"/>
    <w:rsid w:val="66FE6CC3"/>
    <w:rsid w:val="670F0ED0"/>
    <w:rsid w:val="675B6F91"/>
    <w:rsid w:val="67B17BDD"/>
    <w:rsid w:val="69090D36"/>
    <w:rsid w:val="695A0B28"/>
    <w:rsid w:val="69767FB8"/>
    <w:rsid w:val="6A10568B"/>
    <w:rsid w:val="6A782058"/>
    <w:rsid w:val="6B99520C"/>
    <w:rsid w:val="6C2B67AC"/>
    <w:rsid w:val="6D2B7858"/>
    <w:rsid w:val="6D5A33D5"/>
    <w:rsid w:val="6EF66EF9"/>
    <w:rsid w:val="6F0F6AD0"/>
    <w:rsid w:val="6F282B2F"/>
    <w:rsid w:val="6F541B76"/>
    <w:rsid w:val="6FA86D5D"/>
    <w:rsid w:val="700417EE"/>
    <w:rsid w:val="70154C98"/>
    <w:rsid w:val="72576549"/>
    <w:rsid w:val="728269FA"/>
    <w:rsid w:val="733A6CBD"/>
    <w:rsid w:val="74A97633"/>
    <w:rsid w:val="74EA18BC"/>
    <w:rsid w:val="750C2973"/>
    <w:rsid w:val="75B36509"/>
    <w:rsid w:val="76BB697E"/>
    <w:rsid w:val="76C5247B"/>
    <w:rsid w:val="770A55ED"/>
    <w:rsid w:val="77752FD1"/>
    <w:rsid w:val="779C4C00"/>
    <w:rsid w:val="77B1174B"/>
    <w:rsid w:val="78B06DDB"/>
    <w:rsid w:val="78C53AE4"/>
    <w:rsid w:val="79786DA9"/>
    <w:rsid w:val="79EF706B"/>
    <w:rsid w:val="7AAD607D"/>
    <w:rsid w:val="7CB67331"/>
    <w:rsid w:val="7E30253F"/>
    <w:rsid w:val="7EC91BCE"/>
    <w:rsid w:val="7ECF5F29"/>
    <w:rsid w:val="7EF40C8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Plain Text"/>
    <w:basedOn w:val="1"/>
    <w:link w:val="12"/>
    <w:qFormat/>
    <w:uiPriority w:val="99"/>
    <w:rPr>
      <w:rFonts w:ascii="宋体" w:hAnsi="Courier New" w:cs="Courier New"/>
      <w:szCs w:val="21"/>
    </w:rPr>
  </w:style>
  <w:style w:type="paragraph" w:styleId="5">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Autospacing="1" w:afterAutospacing="1"/>
      <w:jc w:val="left"/>
    </w:pPr>
    <w:rPr>
      <w:rFonts w:ascii="宋体" w:hAnsi="宋体" w:cs="宋体"/>
      <w:kern w:val="0"/>
      <w:sz w:val="24"/>
    </w:rPr>
  </w:style>
  <w:style w:type="paragraph" w:styleId="7">
    <w:name w:val="Title"/>
    <w:basedOn w:val="1"/>
    <w:next w:val="1"/>
    <w:qFormat/>
    <w:locked/>
    <w:uiPriority w:val="10"/>
    <w:pPr>
      <w:widowControl/>
      <w:spacing w:after="300"/>
      <w:contextualSpacing/>
      <w:jc w:val="left"/>
    </w:pPr>
    <w:rPr>
      <w:rFonts w:ascii="Cambria" w:hAnsi="Cambria" w:eastAsia="宋体" w:cs="Times New Roman"/>
      <w:smallCaps/>
      <w:kern w:val="0"/>
      <w:sz w:val="52"/>
      <w:szCs w:val="52"/>
      <w:lang w:eastAsia="en-US" w:bidi="en-US"/>
    </w:rPr>
  </w:style>
  <w:style w:type="character" w:styleId="10">
    <w:name w:val="FollowedHyperlink"/>
    <w:basedOn w:val="9"/>
    <w:semiHidden/>
    <w:qFormat/>
    <w:uiPriority w:val="99"/>
    <w:rPr>
      <w:rFonts w:cs="Times New Roman"/>
      <w:color w:val="800080"/>
      <w:u w:val="single"/>
    </w:rPr>
  </w:style>
  <w:style w:type="character" w:styleId="11">
    <w:name w:val="Hyperlink"/>
    <w:basedOn w:val="9"/>
    <w:qFormat/>
    <w:uiPriority w:val="99"/>
    <w:rPr>
      <w:rFonts w:cs="Times New Roman"/>
      <w:color w:val="0000FF"/>
      <w:u w:val="single"/>
    </w:rPr>
  </w:style>
  <w:style w:type="character" w:customStyle="1" w:styleId="12">
    <w:name w:val="Plain Text Char"/>
    <w:basedOn w:val="9"/>
    <w:link w:val="4"/>
    <w:qFormat/>
    <w:locked/>
    <w:uiPriority w:val="99"/>
    <w:rPr>
      <w:rFonts w:ascii="宋体" w:hAnsi="Courier New" w:eastAsia="宋体" w:cs="Courier New"/>
      <w:sz w:val="21"/>
      <w:szCs w:val="21"/>
    </w:rPr>
  </w:style>
  <w:style w:type="character" w:customStyle="1" w:styleId="13">
    <w:name w:val="Footer Char"/>
    <w:basedOn w:val="9"/>
    <w:link w:val="3"/>
    <w:semiHidden/>
    <w:qFormat/>
    <w:locked/>
    <w:uiPriority w:val="99"/>
    <w:rPr>
      <w:rFonts w:cs="Times New Roman"/>
      <w:sz w:val="18"/>
      <w:szCs w:val="18"/>
    </w:rPr>
  </w:style>
  <w:style w:type="character" w:customStyle="1" w:styleId="14">
    <w:name w:val="Header Char"/>
    <w:basedOn w:val="9"/>
    <w:link w:val="5"/>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17</Pages>
  <Words>6991</Words>
  <Characters>7235</Characters>
  <Lines>0</Lines>
  <Paragraphs>0</Paragraphs>
  <TotalTime>0</TotalTime>
  <ScaleCrop>false</ScaleCrop>
  <LinksUpToDate>false</LinksUpToDate>
  <CharactersWithSpaces>7307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2020-03-17T20:48:00Z</dcterms:created>
  <dc:creator>Administrator</dc:creator>
  <cp:lastModifiedBy>ankang</cp:lastModifiedBy>
  <cp:lastPrinted>2020-04-13T09:53:00Z</cp:lastPrinted>
  <dcterms:modified xsi:type="dcterms:W3CDTF">2023-05-12T17:34:24Z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AD4311EC22B3469BA2990D6CCB56C8A9_12</vt:lpwstr>
  </property>
</Properties>
</file>