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镇坪县牛头店镇中心幼儿园</w:t>
      </w:r>
    </w:p>
    <w:p>
      <w:pPr>
        <w:jc w:val="center"/>
        <w:rPr>
          <w:rFonts w:ascii="黑体" w:hAnsi="黑体" w:eastAsia="黑体" w:cs="黑体"/>
          <w:sz w:val="36"/>
          <w:szCs w:val="36"/>
        </w:rPr>
      </w:pPr>
      <w:r>
        <w:rPr>
          <w:rFonts w:hint="eastAsia" w:ascii="黑体" w:hAnsi="黑体" w:eastAsia="黑体" w:cs="黑体"/>
          <w:sz w:val="36"/>
          <w:szCs w:val="36"/>
        </w:rPr>
        <w:t>2023年部门预算公开说明</w:t>
      </w:r>
    </w:p>
    <w:p/>
    <w:p>
      <w:pPr>
        <w:jc w:val="center"/>
        <w:rPr>
          <w:sz w:val="36"/>
          <w:szCs w:val="36"/>
        </w:rPr>
      </w:pPr>
      <w:r>
        <w:rPr>
          <w:rFonts w:hint="eastAsia"/>
          <w:b/>
          <w:bCs/>
          <w:sz w:val="36"/>
          <w:szCs w:val="36"/>
        </w:rPr>
        <w:t>目录</w:t>
      </w:r>
    </w:p>
    <w:p>
      <w:pPr>
        <w:jc w:val="left"/>
        <w:rPr>
          <w:rFonts w:ascii="宋体" w:hAnsi="宋体" w:cs="宋体"/>
          <w:sz w:val="32"/>
          <w:szCs w:val="32"/>
        </w:rPr>
      </w:pPr>
      <w:r>
        <w:rPr>
          <w:rFonts w:hint="eastAsia" w:ascii="宋体" w:hAnsi="宋体" w:cs="宋体"/>
          <w:b/>
          <w:bCs/>
          <w:sz w:val="32"/>
          <w:szCs w:val="32"/>
        </w:rPr>
        <w:t>第一部分 部门概况</w:t>
      </w:r>
    </w:p>
    <w:p>
      <w:pPr>
        <w:jc w:val="left"/>
        <w:rPr>
          <w:rFonts w:ascii="宋体" w:hAnsi="宋体" w:cs="宋体"/>
          <w:sz w:val="32"/>
          <w:szCs w:val="32"/>
        </w:rPr>
      </w:pPr>
      <w:r>
        <w:rPr>
          <w:rFonts w:hint="eastAsia" w:ascii="宋体" w:hAnsi="宋体" w:cs="宋体"/>
          <w:sz w:val="32"/>
          <w:szCs w:val="32"/>
        </w:rPr>
        <w:t>一、主要职责及机构设置</w:t>
      </w:r>
    </w:p>
    <w:p>
      <w:pPr>
        <w:rPr>
          <w:rFonts w:ascii="宋体" w:hAnsi="宋体" w:cs="宋体"/>
          <w:sz w:val="32"/>
          <w:szCs w:val="32"/>
        </w:rPr>
      </w:pPr>
      <w:r>
        <w:rPr>
          <w:rFonts w:hint="eastAsia" w:ascii="宋体" w:hAnsi="宋体" w:cs="宋体"/>
          <w:sz w:val="32"/>
          <w:szCs w:val="32"/>
        </w:rPr>
        <w:t>二、工作任务</w:t>
      </w:r>
    </w:p>
    <w:p>
      <w:pPr>
        <w:rPr>
          <w:rFonts w:ascii="宋体" w:hAnsi="宋体" w:cs="宋体"/>
          <w:sz w:val="32"/>
          <w:szCs w:val="32"/>
        </w:rPr>
      </w:pPr>
      <w:r>
        <w:rPr>
          <w:rFonts w:hint="eastAsia" w:ascii="宋体" w:hAnsi="宋体" w:cs="宋体"/>
          <w:sz w:val="32"/>
          <w:szCs w:val="32"/>
        </w:rPr>
        <w:t>三、预算单位构成</w:t>
      </w:r>
    </w:p>
    <w:p>
      <w:pPr>
        <w:rPr>
          <w:rFonts w:ascii="宋体" w:hAnsi="宋体" w:cs="宋体"/>
          <w:sz w:val="32"/>
          <w:szCs w:val="32"/>
        </w:rPr>
      </w:pPr>
      <w:r>
        <w:rPr>
          <w:rFonts w:hint="eastAsia" w:ascii="宋体" w:hAnsi="宋体" w:cs="宋体"/>
          <w:sz w:val="32"/>
          <w:szCs w:val="32"/>
        </w:rPr>
        <w:t>四、人员情况说明</w:t>
      </w:r>
    </w:p>
    <w:p>
      <w:pPr>
        <w:rPr>
          <w:rFonts w:ascii="宋体" w:hAnsi="宋体" w:cs="宋体"/>
          <w:sz w:val="32"/>
          <w:szCs w:val="32"/>
        </w:rPr>
      </w:pPr>
      <w:r>
        <w:rPr>
          <w:rFonts w:hint="eastAsia" w:ascii="宋体" w:hAnsi="宋体" w:cs="宋体"/>
          <w:b/>
          <w:bCs/>
          <w:sz w:val="32"/>
          <w:szCs w:val="32"/>
        </w:rPr>
        <w:t>第二部分 收支情况</w:t>
      </w:r>
    </w:p>
    <w:p>
      <w:pPr>
        <w:rPr>
          <w:rFonts w:ascii="宋体" w:hAnsi="宋体" w:cs="宋体"/>
          <w:sz w:val="32"/>
          <w:szCs w:val="32"/>
        </w:rPr>
      </w:pPr>
      <w:r>
        <w:rPr>
          <w:rFonts w:hint="eastAsia" w:ascii="宋体" w:hAnsi="宋体" w:cs="宋体"/>
          <w:sz w:val="32"/>
          <w:szCs w:val="32"/>
        </w:rPr>
        <w:t>五、收支说明</w:t>
      </w:r>
    </w:p>
    <w:p>
      <w:pPr>
        <w:rPr>
          <w:rFonts w:ascii="宋体" w:hAnsi="宋体" w:cs="宋体"/>
          <w:sz w:val="32"/>
          <w:szCs w:val="32"/>
        </w:rPr>
      </w:pPr>
      <w:r>
        <w:rPr>
          <w:rFonts w:hint="eastAsia" w:ascii="宋体" w:hAnsi="宋体" w:cs="宋体"/>
          <w:b/>
          <w:bCs/>
          <w:sz w:val="32"/>
          <w:szCs w:val="32"/>
        </w:rPr>
        <w:t>第三部分  其他情况</w:t>
      </w:r>
    </w:p>
    <w:p>
      <w:pPr>
        <w:rPr>
          <w:rFonts w:ascii="宋体" w:hAnsi="宋体" w:cs="宋体"/>
          <w:sz w:val="32"/>
          <w:szCs w:val="32"/>
          <w:u w:val="single"/>
        </w:rPr>
      </w:pPr>
      <w:r>
        <w:rPr>
          <w:rFonts w:hint="eastAsia" w:ascii="宋体" w:hAnsi="宋体" w:cs="宋体"/>
          <w:sz w:val="32"/>
          <w:szCs w:val="32"/>
        </w:rPr>
        <w:t>六、“三公”经费及会议费、培训费情况说明</w:t>
      </w:r>
    </w:p>
    <w:p>
      <w:pPr>
        <w:rPr>
          <w:rFonts w:ascii="宋体" w:hAnsi="宋体" w:cs="宋体"/>
          <w:sz w:val="32"/>
          <w:szCs w:val="32"/>
        </w:rPr>
      </w:pPr>
      <w:r>
        <w:rPr>
          <w:rFonts w:hint="eastAsia" w:ascii="宋体" w:hAnsi="宋体" w:cs="宋体"/>
          <w:sz w:val="32"/>
          <w:szCs w:val="32"/>
        </w:rPr>
        <w:t>七、国有资产占有使用及资产购置情况说明</w:t>
      </w:r>
    </w:p>
    <w:p>
      <w:pPr>
        <w:rPr>
          <w:rFonts w:ascii="宋体" w:hAnsi="宋体" w:cs="宋体"/>
          <w:sz w:val="32"/>
          <w:szCs w:val="32"/>
        </w:rPr>
      </w:pPr>
      <w:r>
        <w:rPr>
          <w:rFonts w:hint="eastAsia" w:ascii="宋体" w:hAnsi="宋体" w:cs="宋体"/>
          <w:sz w:val="32"/>
          <w:szCs w:val="32"/>
        </w:rPr>
        <w:t>八、政府采购情况说明</w:t>
      </w:r>
    </w:p>
    <w:p>
      <w:pPr>
        <w:rPr>
          <w:rFonts w:ascii="宋体" w:hAnsi="宋体" w:cs="宋体"/>
          <w:sz w:val="32"/>
          <w:szCs w:val="32"/>
        </w:rPr>
      </w:pPr>
      <w:r>
        <w:rPr>
          <w:rFonts w:hint="eastAsia" w:ascii="宋体" w:hAnsi="宋体" w:cs="宋体"/>
          <w:sz w:val="32"/>
          <w:szCs w:val="32"/>
        </w:rPr>
        <w:t>九、绩效目标说明</w:t>
      </w:r>
    </w:p>
    <w:p>
      <w:pPr>
        <w:rPr>
          <w:rFonts w:ascii="宋体" w:hAnsi="宋体" w:cs="宋体"/>
          <w:sz w:val="32"/>
          <w:szCs w:val="32"/>
        </w:rPr>
      </w:pPr>
      <w:r>
        <w:rPr>
          <w:rFonts w:hint="eastAsia" w:ascii="宋体" w:hAnsi="宋体" w:cs="宋体"/>
          <w:sz w:val="32"/>
          <w:szCs w:val="32"/>
        </w:rPr>
        <w:t>十、机关运行经费安排说明</w:t>
      </w:r>
    </w:p>
    <w:p>
      <w:pPr>
        <w:rPr>
          <w:rFonts w:ascii="宋体" w:hAnsi="宋体" w:cs="宋体"/>
          <w:sz w:val="32"/>
          <w:szCs w:val="32"/>
        </w:rPr>
      </w:pPr>
      <w:r>
        <w:rPr>
          <w:rFonts w:hint="eastAsia" w:ascii="宋体" w:hAnsi="宋体" w:cs="宋体"/>
          <w:sz w:val="32"/>
          <w:szCs w:val="32"/>
        </w:rPr>
        <w:t>十一、专业名词解释</w:t>
      </w:r>
    </w:p>
    <w:p>
      <w:pPr>
        <w:rPr>
          <w:rFonts w:ascii="宋体" w:hAnsi="宋体" w:cs="宋体"/>
          <w:b/>
          <w:bCs/>
          <w:sz w:val="32"/>
          <w:szCs w:val="32"/>
        </w:rPr>
      </w:pPr>
      <w:r>
        <w:rPr>
          <w:rFonts w:hint="eastAsia" w:ascii="宋体" w:hAnsi="宋体" w:cs="宋体"/>
          <w:b/>
          <w:bCs/>
          <w:sz w:val="32"/>
          <w:szCs w:val="32"/>
        </w:rPr>
        <w:t>第四部分  公开报表</w:t>
      </w:r>
    </w:p>
    <w:p>
      <w:pPr>
        <w:rPr>
          <w:rFonts w:ascii="宋体" w:hAnsi="宋体" w:cs="宋体"/>
          <w:sz w:val="32"/>
          <w:szCs w:val="32"/>
        </w:rPr>
      </w:pPr>
      <w:r>
        <w:rPr>
          <w:rFonts w:hint="eastAsia" w:ascii="宋体" w:hAnsi="宋体" w:cs="宋体"/>
          <w:sz w:val="32"/>
          <w:szCs w:val="32"/>
        </w:rPr>
        <w:t>（具体预算公开报表）</w:t>
      </w:r>
    </w:p>
    <w:p>
      <w:pPr>
        <w:rPr>
          <w:rFonts w:ascii="宋体" w:hAnsi="宋体" w:cs="宋体"/>
          <w:sz w:val="32"/>
          <w:szCs w:val="32"/>
        </w:rPr>
      </w:pPr>
      <w:r>
        <w:rPr>
          <w:rFonts w:hint="eastAsia" w:ascii="宋体" w:hAnsi="宋体" w:cs="宋体"/>
          <w:sz w:val="32"/>
          <w:szCs w:val="32"/>
        </w:rPr>
        <w:br w:type="page"/>
      </w:r>
    </w:p>
    <w:p>
      <w:pPr>
        <w:jc w:val="center"/>
        <w:rPr>
          <w:rFonts w:ascii="宋体" w:hAnsi="宋体" w:cs="宋体"/>
          <w:b/>
          <w:bCs/>
          <w:sz w:val="32"/>
          <w:szCs w:val="32"/>
        </w:rPr>
      </w:pPr>
      <w:r>
        <w:rPr>
          <w:rFonts w:hint="eastAsia" w:ascii="宋体" w:hAnsi="宋体" w:cs="宋体"/>
          <w:b/>
          <w:bCs/>
          <w:sz w:val="32"/>
          <w:szCs w:val="32"/>
        </w:rPr>
        <w:t>第一部分  部门概况</w:t>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numPr>
          <w:ilvl w:val="0"/>
          <w:numId w:val="1"/>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主要职责及机构设置</w:t>
      </w:r>
    </w:p>
    <w:p>
      <w:pPr>
        <w:ind w:left="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（一）主要职责</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1.认真贯彻《中华人民共和国教育法》、《幼儿园管理条例》 、《幼儿园教育指导纲要》和《幼儿园工作规程》，规范幼儿园各项工作。</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2.做好辖区适龄儿童学前教育工作，立足现有条件，不断提高保教质量。</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3.强化幼儿园内部管理，加强师资队伍建设，建设建立科学、有效的职责分工制度等激励机制，调动广大职工的工作热情和工作积极性，提高教学质量和服务质量。</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4.从实际出发，因地制宜地实施素质教育，为幼儿发展打下坚实基础。尊重幼儿身心发展的规律和学习特点，以游戏为基本活动，保教并重，关注个别差异，促进身心和谐发展，促进每个幼儿富有个性的发展。</w:t>
      </w:r>
    </w:p>
    <w:p>
      <w:pPr>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5.与家庭、社区密切合作，与小学互相衔接，综台利用各种教育资源，共同为幼儿的发展创造良好的条件。</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6.为幼儿提供健康、丰富的生活和活动环境，满足幼儿多方面发展的需要，使他们在快乐的童年生活中获得有益于身心发展的经验。</w:t>
      </w:r>
    </w:p>
    <w:p>
      <w:pPr>
        <w:spacing w:line="58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（二）机构设置</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本单位为二级预算单位，所属部门为镇坪县教育体育和科技局，为经费独立核算单位，无下设机构。</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二、工作任务</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1.管理目标：加强班子建设，明确岗位职责，落实考核工作，各项活动实行项目管理，通过实现各部门的目标带动幼儿园整体工作的开展。</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2.师德建设目标：推进师德师风建设，进一步抓好“四风”建设。</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3.德育目标：坚持育人为本、德育为首。加强礼仪教育与文明习惯养成教育。</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4.安全稳定目标：校园安全稳定，确保无群体性事件和重大安全事故。</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5.后勤服务目标：管理好食堂，进一步改善办学条件，做好服务育人。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三、预算单位构成</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坪县牛头店镇中心幼儿园为镇坪县教育体育和科技局下属的二级预算单位，无下设预算单位。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5098"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87"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5098" w:type="dxa"/>
          </w:tcPr>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镇坪县牛头店镇中心幼儿园</w:t>
            </w:r>
          </w:p>
        </w:tc>
        <w:tc>
          <w:tcPr>
            <w:tcW w:w="2087" w:type="dxa"/>
          </w:tcPr>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tc>
      </w:tr>
    </w:tbl>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四、人员情况说明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截止2022年底，本部门人员编制11人，其中行政编制0人、事业编制11人；实有人员11人，其中行政0人、事业11人。单位管理的离退休人员24人。</w:t>
      </w:r>
    </w:p>
    <w:p>
      <w:pPr>
        <w:ind w:firstLine="640"/>
        <w:jc w:val="center"/>
        <w:rPr>
          <w:rFonts w:ascii="仿宋_GB2312" w:hAnsi="仿宋_GB2312" w:eastAsia="仿宋_GB2312" w:cs="仿宋_GB2312"/>
          <w:b/>
          <w:bCs/>
          <w:sz w:val="32"/>
          <w:szCs w:val="32"/>
        </w:rPr>
      </w:pPr>
      <w:r>
        <w:rPr>
          <w:rFonts w:ascii="仿宋_GB2312" w:hAnsi="仿宋_GB2312" w:eastAsia="仿宋_GB2312" w:cs="仿宋_GB2312"/>
          <w:sz w:val="32"/>
          <w:szCs w:val="32"/>
        </w:rPr>
        <w:drawing>
          <wp:inline distT="0" distB="0" distL="0" distR="0">
            <wp:extent cx="5381625" cy="2657475"/>
            <wp:effectExtent l="0" t="0" r="0"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仿宋_GB2312" w:hAnsi="仿宋_GB2312" w:eastAsia="仿宋_GB2312" w:cs="仿宋_GB2312"/>
          <w:b/>
          <w:bCs/>
          <w:sz w:val="32"/>
          <w:szCs w:val="32"/>
        </w:rPr>
        <w:t>第二部分  收支情况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五、收支说明</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按照综合预算的原则，本部门所有收入和支出均纳入部门预算管理。2023年本部门预算收入</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9.43万元，其中一般公共预算拨款收入129.43万元、政府性基金拨款收入0万元，2023年本部门预算收入较上年增加8.63万元，主要原因是工资标准调整，工资福利支出增加；2023年本部门预算支出129.43万元，其中一般公共预算拨款支出129.43万元、政府性基金拨款支出0万元，2023年本部门预算支出较上年增加8.63万元，主要原因是工资标准调整，工资福利支出增加。</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（二）财政拨款收支情况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财政拨款收入129.43万元，其中一般公共预算拨款收入129.43万元、政府性基金拨款收入0万元，2023年本部门财政拨款收入较上年增加8.63万元，主要原因是工资标准调整，工资福利支出增加；2023年本部门财政拨款支出129.43万元，其中一般公共预算拨款支出129.43万元、政府性基金拨款支出0万元，2023年本部门财政拨款支出较上年增加8.63万元，主要原因是工资标准调整，工资福利支出增加。</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（三）一般公共预算拨款支出明细情况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1、一般公共预算当年拨款规模变化情况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2023年本部门当年一般公共预算拨款支出129.43万元，较上年增加8.63万元，主要原因是工资标准调整，工资福利支出增加。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2023年本部门当年一般公共预算支出129.43万元，其中：学前教育（2050201）129.43万元，较上年增加8.63万元，主要原因是工资标准调整，工资福利支出增加。</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58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2023年本部门当年一般公共预算支出129.43万元，其中：</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工资福利支出（301）127.39万元，较上年增加11.98万元，主要原因是工资标准调整，工资福利支出增加；</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商品和服务支出（302）0万元，较上年增加0万元；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对个人和家庭的补助支出（303）2.04万元，较上年减少3.35万元，主要原因是2022年将退休人员降温费列入了对个人和家庭的补助支出，2023年将其列入了工资福利支出；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（2）按照政府预算支出经济分类的类级科目说明。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2023年本部门当年一般公共预算支出129.43万元，其中：</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工资福利支出（301）127.39万元，较上年增加11.98万元，主要原因是工资标准调整，工资福利支出增加；</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商品和服务支出（302）0万元，较上年增加0万元；</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对个人和家庭的补助支出（303）2.04万元，较上年减少3.35万元，主要原因是2022年将退休人员降温费列入了对个人和家庭的补助支出，2023年将其列入了工资福利支出；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（四）政府性基金预算支出情况</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1、当年政府性基金预算支出情况。</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本部门无当年政府性基金预算收支，并已公开空表。</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2、上年结转政府性基金预算支出情况。</w:t>
      </w:r>
    </w:p>
    <w:p>
      <w:pPr>
        <w:spacing w:line="580" w:lineRule="exact"/>
        <w:ind w:firstLine="643"/>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本部门无 2022 年结转的政府性基金预算拨款支出。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（五）国有资本经营预算拨款收支情况</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 2022年结转的国有资本经营预算拨款支出。</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仿宋_GB2312" w:hAnsi="仿宋_GB2312" w:eastAsia="仿宋_GB2312" w:cs="仿宋_GB2312"/>
          <w:sz w:val="32"/>
          <w:szCs w:val="32"/>
        </w:rPr>
      </w:pPr>
      <w:r>
        <w:rPr>
          <w:rFonts w:hint="eastAsia" w:ascii="宋体" w:hAnsi="宋体" w:cs="宋体"/>
          <w:b/>
          <w:bCs/>
          <w:sz w:val="32"/>
          <w:szCs w:val="32"/>
        </w:rPr>
        <w:t>第三部分  其他情况</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六、“三公”经费及会议费、培训费情况说明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w:t>
      </w:r>
      <w:r>
        <w:rPr>
          <w:rFonts w:hint="eastAsia" w:ascii="仿宋_GB2312" w:hAnsi="仿宋_GB2312" w:eastAsia="仿宋_GB2312" w:cs="仿宋_GB2312"/>
          <w:sz w:val="32"/>
          <w:szCs w:val="32"/>
          <w:lang w:eastAsia="zh-CN"/>
        </w:rPr>
        <w:t>未进行</w:t>
      </w:r>
      <w:bookmarkStart w:id="0" w:name="_GoBack"/>
      <w:bookmarkEnd w:id="0"/>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及会议费、培训费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七、国有资产占有使用及资产购置情况说明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截止2022年底，本部门所属预算单位共有车辆0辆，单价20万元以上的设备0台（套）。当年部门预算安排购置车辆0辆；安排购置单价20万元以上的设备0台（套）。</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本部门2023年无政府采购预算，并已公开空表。</w:t>
      </w:r>
    </w:p>
    <w:p>
      <w:pPr>
        <w:spacing w:line="58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本部门无2022年结转的政府采购资金支出。</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九、绩效目标情况说明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2023年本部门专项业务经费绩效目标管理全覆盖，涉及当年一般公共预算拨款129.43万元,当年政府性基金预算拨款0万元，当年国有资本经营预算拨款0万元（详见公开报表中的绩效目标表）。</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本部门无2022年结转的财政拨款支出涉及的绩效目标管理。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十、机关运行经费安排情况说明</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 0 万元，本单位机关运行经费在教育专项公用经费中预算支出。</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本部门无2022年结转的财政拨款机关运行经费支出”。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十一、专业名词解释</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580" w:lineRule="exact"/>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是指用财政拨款安排的因公出国（境）费、公务用车购置及运行费和公务接待费。其中，因公出国（境）费反映单位公务出国（境）的国际旅费、国外城市间交通费、住宿费、伙食费、培训费、公杂费等支出； 公务用车购置及运行费反映单位公务用车车辆购置支出（含 车辆购置税）及租用费、燃料费、维修费、过路过桥费、保险费、安全奖励费用等支出；公务接待费反映单位按规定开支的各类公务接待支出。</w:t>
      </w:r>
    </w:p>
    <w:p>
      <w:pPr>
        <w:spacing w:line="580" w:lineRule="exact"/>
        <w:ind w:firstLine="643"/>
        <w:jc w:val="center"/>
        <w:rPr>
          <w:rFonts w:hint="eastAsia" w:ascii="黑体" w:hAnsi="黑体" w:eastAsia="黑体" w:cs="黑体"/>
          <w:sz w:val="32"/>
          <w:szCs w:val="32"/>
        </w:rPr>
      </w:pPr>
      <w:r>
        <w:rPr>
          <w:rFonts w:hint="eastAsia" w:ascii="黑体" w:hAnsi="黑体" w:eastAsia="黑体" w:cs="黑体"/>
          <w:sz w:val="32"/>
          <w:szCs w:val="32"/>
        </w:rPr>
        <w:t>第四部分  公开报表</w:t>
      </w:r>
    </w:p>
    <w:p>
      <w:p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（见附件2内容）</w:t>
      </w:r>
      <w:r>
        <w:rPr>
          <w:rFonts w:hint="eastAsia" w:ascii="仿宋_GB2312" w:hAnsi="仿宋_GB2312" w:eastAsia="仿宋_GB2312" w:cs="仿宋_GB2312"/>
          <w:sz w:val="32"/>
          <w:szCs w:val="32"/>
        </w:rPr>
        <w:tab/>
      </w:r>
    </w:p>
    <w:p/>
    <w:p>
      <w:pPr>
        <w:jc w:val="left"/>
        <w:rPr>
          <w:rFonts w:ascii="仿宋_GB2312" w:hAnsi="仿宋_GB2312" w:eastAsia="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E394D"/>
    <w:multiLevelType w:val="multilevel"/>
    <w:tmpl w:val="5ADE394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Tg2YzIyMTFmOTQwNTQ1ZWY0NTg0NzBhMGUzZGEifQ=="/>
  </w:docVars>
  <w:rsids>
    <w:rsidRoot w:val="00172A27"/>
    <w:rsid w:val="00030665"/>
    <w:rsid w:val="000D3C31"/>
    <w:rsid w:val="00172A27"/>
    <w:rsid w:val="00304BA3"/>
    <w:rsid w:val="00325D3E"/>
    <w:rsid w:val="003F266E"/>
    <w:rsid w:val="00495EAC"/>
    <w:rsid w:val="00534525"/>
    <w:rsid w:val="006553D2"/>
    <w:rsid w:val="006833B5"/>
    <w:rsid w:val="006A779A"/>
    <w:rsid w:val="007138CC"/>
    <w:rsid w:val="00715F37"/>
    <w:rsid w:val="00727AF9"/>
    <w:rsid w:val="007C1591"/>
    <w:rsid w:val="007F592D"/>
    <w:rsid w:val="00900635"/>
    <w:rsid w:val="00911D54"/>
    <w:rsid w:val="009B78D6"/>
    <w:rsid w:val="00CB6F2D"/>
    <w:rsid w:val="00CC7DB5"/>
    <w:rsid w:val="00E75459"/>
    <w:rsid w:val="00E863A2"/>
    <w:rsid w:val="014A2072"/>
    <w:rsid w:val="04320FD9"/>
    <w:rsid w:val="049A40D7"/>
    <w:rsid w:val="04A216F1"/>
    <w:rsid w:val="04DD00BC"/>
    <w:rsid w:val="04FB7C1A"/>
    <w:rsid w:val="07C63897"/>
    <w:rsid w:val="09B770EC"/>
    <w:rsid w:val="0D930FB4"/>
    <w:rsid w:val="104E7D4B"/>
    <w:rsid w:val="176D6084"/>
    <w:rsid w:val="17E3395E"/>
    <w:rsid w:val="18696069"/>
    <w:rsid w:val="202E17AC"/>
    <w:rsid w:val="27DA6120"/>
    <w:rsid w:val="2B6E114C"/>
    <w:rsid w:val="2DD21556"/>
    <w:rsid w:val="2EB57C9F"/>
    <w:rsid w:val="32383B0A"/>
    <w:rsid w:val="32DB48BA"/>
    <w:rsid w:val="33801EA2"/>
    <w:rsid w:val="34B74C75"/>
    <w:rsid w:val="35457DE0"/>
    <w:rsid w:val="35555E4E"/>
    <w:rsid w:val="355A0B35"/>
    <w:rsid w:val="359252AB"/>
    <w:rsid w:val="388B0D2A"/>
    <w:rsid w:val="388F6532"/>
    <w:rsid w:val="3B975BF3"/>
    <w:rsid w:val="3DC7004C"/>
    <w:rsid w:val="43606DFF"/>
    <w:rsid w:val="43922513"/>
    <w:rsid w:val="44EE2C86"/>
    <w:rsid w:val="46F073D7"/>
    <w:rsid w:val="47F51DA1"/>
    <w:rsid w:val="48246A25"/>
    <w:rsid w:val="4974495A"/>
    <w:rsid w:val="4AFD517E"/>
    <w:rsid w:val="4EAF467F"/>
    <w:rsid w:val="4F4E6E0F"/>
    <w:rsid w:val="53D82CB6"/>
    <w:rsid w:val="549A0EDD"/>
    <w:rsid w:val="5900561E"/>
    <w:rsid w:val="5A7F118D"/>
    <w:rsid w:val="5C2757BE"/>
    <w:rsid w:val="5FDD417D"/>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 w:val="FFDDAD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FollowedHyperlink"/>
    <w:basedOn w:val="7"/>
    <w:semiHidden/>
    <w:qFormat/>
    <w:uiPriority w:val="99"/>
    <w:rPr>
      <w:rFonts w:cs="Times New Roman"/>
      <w:color w:val="800080"/>
      <w:u w:val="single"/>
    </w:rPr>
  </w:style>
  <w:style w:type="character" w:styleId="9">
    <w:name w:val="Hyperlink"/>
    <w:basedOn w:val="7"/>
    <w:uiPriority w:val="99"/>
    <w:rPr>
      <w:rFonts w:cs="Times New Roman"/>
      <w:color w:val="0000FF"/>
      <w:u w:val="single"/>
    </w:rPr>
  </w:style>
  <w:style w:type="character" w:customStyle="1" w:styleId="10">
    <w:name w:val="纯文本 Char"/>
    <w:basedOn w:val="7"/>
    <w:link w:val="2"/>
    <w:locked/>
    <w:uiPriority w:val="99"/>
    <w:rPr>
      <w:rFonts w:ascii="宋体" w:hAnsi="Courier New" w:eastAsia="宋体" w:cs="Courier New"/>
      <w:sz w:val="21"/>
      <w:szCs w:val="21"/>
    </w:rPr>
  </w:style>
  <w:style w:type="character" w:customStyle="1" w:styleId="11">
    <w:name w:val="页脚 Char"/>
    <w:basedOn w:val="7"/>
    <w:link w:val="3"/>
    <w:semiHidden/>
    <w:qFormat/>
    <w:locked/>
    <w:uiPriority w:val="99"/>
    <w:rPr>
      <w:rFonts w:cs="Times New Roman"/>
      <w:sz w:val="18"/>
      <w:szCs w:val="18"/>
    </w:rPr>
  </w:style>
  <w:style w:type="character" w:customStyle="1" w:styleId="12">
    <w:name w:val="页眉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11711711712"/>
          <c:y val="0.107806691449814"/>
          <c:w val="0.567567567567568"/>
          <c:h val="0.795539033457249"/>
        </c:manualLayout>
      </c:layout>
      <c:barChart>
        <c:barDir val="col"/>
        <c:grouping val="clustered"/>
        <c:varyColors val="0"/>
        <c:ser>
          <c:idx val="0"/>
          <c:order val="0"/>
          <c:tx>
            <c:strRef>
              <c:f>Sheet1!$A$2</c:f>
              <c:strCache>
                <c:ptCount val="1"/>
                <c:pt idx="0">
                  <c:v>编制人数</c:v>
                </c:pt>
              </c:strCache>
            </c:strRef>
          </c:tx>
          <c:spPr>
            <a:solidFill>
              <a:srgbClr val="9999FF"/>
            </a:solidFill>
            <a:ln w="12700">
              <a:solidFill>
                <a:srgbClr val="000000"/>
              </a:solidFill>
              <a:prstDash val="solid"/>
            </a:ln>
          </c:spPr>
          <c:invertIfNegative val="0"/>
          <c:dLbls>
            <c:delete val="1"/>
          </c:dLbls>
          <c:cat>
            <c:strRef>
              <c:f>Sheet1!$B$1:$D$1</c:f>
              <c:strCache>
                <c:ptCount val="2"/>
                <c:pt idx="0">
                  <c:v>行政编制</c:v>
                </c:pt>
                <c:pt idx="1">
                  <c:v>事业编制</c:v>
                </c:pt>
              </c:strCache>
            </c:strRef>
          </c:cat>
          <c:val>
            <c:numRef>
              <c:f>Sheet1!$B$2:$D$2</c:f>
              <c:numCache>
                <c:formatCode>General</c:formatCode>
                <c:ptCount val="3"/>
                <c:pt idx="0">
                  <c:v>0</c:v>
                </c:pt>
                <c:pt idx="1">
                  <c:v>11</c:v>
                </c:pt>
              </c:numCache>
            </c:numRef>
          </c:val>
        </c:ser>
        <c:ser>
          <c:idx val="1"/>
          <c:order val="1"/>
          <c:tx>
            <c:strRef>
              <c:f>Sheet1!$A$3</c:f>
              <c:strCache>
                <c:ptCount val="1"/>
                <c:pt idx="0">
                  <c:v>实有人数</c:v>
                </c:pt>
              </c:strCache>
            </c:strRef>
          </c:tx>
          <c:spPr>
            <a:solidFill>
              <a:srgbClr val="993366"/>
            </a:solidFill>
            <a:ln w="12700">
              <a:solidFill>
                <a:srgbClr val="000000"/>
              </a:solidFill>
              <a:prstDash val="solid"/>
            </a:ln>
          </c:spPr>
          <c:invertIfNegative val="0"/>
          <c:dLbls>
            <c:delete val="1"/>
          </c:dLbls>
          <c:cat>
            <c:strRef>
              <c:f>Sheet1!$B$1:$D$1</c:f>
              <c:strCache>
                <c:ptCount val="2"/>
                <c:pt idx="0">
                  <c:v>行政编制</c:v>
                </c:pt>
                <c:pt idx="1">
                  <c:v>事业编制</c:v>
                </c:pt>
              </c:strCache>
            </c:strRef>
          </c:cat>
          <c:val>
            <c:numRef>
              <c:f>Sheet1!$B$3:$D$3</c:f>
              <c:numCache>
                <c:formatCode>General</c:formatCode>
                <c:ptCount val="3"/>
                <c:pt idx="0">
                  <c:v>0</c:v>
                </c:pt>
                <c:pt idx="1">
                  <c:v>11</c:v>
                </c:pt>
              </c:numCache>
            </c:numRef>
          </c:val>
        </c:ser>
        <c:dLbls>
          <c:showLegendKey val="0"/>
          <c:showVal val="0"/>
          <c:showCatName val="0"/>
          <c:showSerName val="0"/>
          <c:showPercent val="0"/>
          <c:showBubbleSize val="0"/>
        </c:dLbls>
        <c:gapWidth val="150"/>
        <c:axId val="40035840"/>
        <c:axId val="40037376"/>
      </c:barChart>
      <c:catAx>
        <c:axId val="4003584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037376"/>
        <c:crosses val="autoZero"/>
        <c:auto val="1"/>
        <c:lblAlgn val="ctr"/>
        <c:lblOffset val="100"/>
        <c:tickLblSkip val="1"/>
        <c:noMultiLvlLbl val="0"/>
      </c:catAx>
      <c:valAx>
        <c:axId val="40037376"/>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03584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44144144144144"/>
          <c:y val="0.412639405204461"/>
          <c:w val="0.158558558558559"/>
          <c:h val="0.159851301115242"/>
        </c:manualLayout>
      </c:layout>
      <c:overlay val="0"/>
      <c:spPr>
        <a:no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8</Pages>
  <Words>2782</Words>
  <Characters>3017</Characters>
  <Lines>22</Lines>
  <Paragraphs>6</Paragraphs>
  <TotalTime>2</TotalTime>
  <ScaleCrop>false</ScaleCrop>
  <LinksUpToDate>false</LinksUpToDate>
  <CharactersWithSpaces>3049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2023-05-04T20:02:00Z</dcterms:created>
  <dc:creator>Administrator</dc:creator>
  <cp:lastModifiedBy>Administrator</cp:lastModifiedBy>
  <cp:lastPrinted>2023-05-04T20:01:00Z</cp:lastPrinted>
  <dcterms:modified xsi:type="dcterms:W3CDTF">2023-08-17T03:28:27Z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055DD2B8AA884FB487C27B9681B2CD1E_13</vt:lpwstr>
  </property>
</Properties>
</file>