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spacing w:line="560" w:lineRule="exact"/>
        <w:ind w:firstLine="64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镇坪县人民政府办公室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（一）认真贯彻执行中省市县决策部署，负责县政府的日常政务和事务。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（二）协助县政府领导开展调查研究，反映情况，提出建议，发挥参谋助手作用；及时向省政府、市政府、县政府报送信息，反映各方面动态。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（三）负责拟办各部门、各镇请示事项相关意见，报县政府领导同志审批；负责协调部门之间、镇之间和县内外有关工作。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（四）负责县政府、县政府办公室的文书处理和会议组织工作，协助县政府领导组织实施会议决定事项。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（五）督促检查县政府各项决议、决定、重要工作部署和省市县领导指示批示的贯彻落实情况，及时向县政府领导报告；负责省市县人大代表、政协委员有关县政府系统的建议、提案的协调办理和督促检查工作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（六）负责县政府值班工作，报告重要和紧急事件情况，传达落实县政府领导同志指示批示。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（七）负责县政府、县政府办公室的政务公开工作，指导全县政府系统政务公开工作。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（八）负责全县政府职能转变和“放管服”改革工作。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（九）负责全县机关事务管理、公共机构节能管理、公车制度改革。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（十）负责县政府网站建设和管理、无线电管理、公共信用信息平台综合管理系统建设和管理维护工作。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（十一）县政府驻外机构的管理工作。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（十二）负责对全县金融工作的宏观指导、综合协调工作。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（十三）负责全县外事管理工作。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（十四）管理县机关后勤服务中心、信息中心（县联合征信中心）、信访接待中心。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（十五）完成县委、县政府交办的其他任务。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1、做好机要保密、文稿起草和公文处理工作，做到办理及时、准确、安全、规范。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font-size:16pt;" w:eastAsia="仿宋_GB2312" w:cs="font-size:16pt;"/>
          <w:color w:val="333333"/>
          <w:sz w:val="32"/>
          <w:szCs w:val="32"/>
          <w:shd w:val="clear" w:color="auto" w:fill="FFFFFF"/>
        </w:rPr>
        <w:t xml:space="preserve">  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2、做好政府全体会、常务会、专题会等会务工作；进一步规范政府常务会议组织管理工作；做好全县重大活动、上级领导检查调研活动的组织协调工作。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font-size:16pt;" w:eastAsia="仿宋_GB2312" w:cs="font-size:16pt;"/>
          <w:color w:val="333333"/>
          <w:sz w:val="32"/>
          <w:szCs w:val="32"/>
          <w:shd w:val="clear" w:color="auto" w:fill="FFFFFF"/>
        </w:rPr>
        <w:t>  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3、抓好县委确定事项，县政府全体会、县政府常务会、专题会议确定事项，以及各级领导交办事项和网民留言、“县长信箱”、群众反映问题的督查落实工作，提高督查质量，推进工作落实；做好政府系统承办的人大代表建议和政协提案的交办和督查工作，办复率、回访率、满意率达到90%以上。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font-size:16pt;" w:eastAsia="仿宋_GB2312" w:cs="font-size:16pt;"/>
          <w:color w:val="333333"/>
          <w:sz w:val="32"/>
          <w:szCs w:val="32"/>
          <w:shd w:val="clear" w:color="auto" w:fill="FFFFFF"/>
        </w:rPr>
        <w:t>  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4、认真围绕中心工作开展调查研究，提出科学化建议，为领导决策、推进工作提供有效参考；做好政务信息收集和报送工作，政务信息工作保持全市前列，为领导科学决策提供信息服务。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font-size:16pt;" w:eastAsia="仿宋_GB2312" w:cs="font-size:16pt;"/>
          <w:color w:val="333333"/>
          <w:sz w:val="32"/>
          <w:szCs w:val="32"/>
          <w:shd w:val="clear" w:color="auto" w:fill="FFFFFF"/>
        </w:rPr>
        <w:t>  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5、规范行政行为，推进依法行政，完善依法行政工作规章制度；加强对规范性文件的审查，加大对行政执法行为的监督检查。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font-size:16pt;" w:eastAsia="仿宋_GB2312" w:cs="font-size:16pt;"/>
          <w:color w:val="333333"/>
          <w:sz w:val="32"/>
          <w:szCs w:val="32"/>
          <w:shd w:val="clear" w:color="auto" w:fill="FFFFFF"/>
        </w:rPr>
        <w:t>  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 xml:space="preserve">6、加强干部队伍建设，强化机关日常管理，对各股室实行目标责任考核，不断提升“三个服务”质量和水平。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从预算单位构成看，本部门的部门预算包括部门本级（机关）预算和所属事业单位预算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年部门预算编制范围的二级预算单位共有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tbl>
      <w:tblPr>
        <w:tblStyle w:val="9"/>
        <w:tblpPr w:leftFromText="180" w:rightFromText="180" w:vertAnchor="text" w:horzAnchor="page" w:tblpX="1589" w:tblpY="594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镇坪县人民政府办公室（机关）</w:t>
            </w:r>
          </w:p>
        </w:tc>
        <w:tc>
          <w:tcPr>
            <w:tcW w:w="208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08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5098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08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、事业编制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人、事业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人、</w:t>
      </w:r>
      <w:r>
        <w:rPr>
          <w:rFonts w:hint="eastAsia" w:ascii="仿宋_GB2312" w:eastAsia="仿宋_GB2312"/>
          <w:sz w:val="32"/>
          <w:szCs w:val="32"/>
        </w:rPr>
        <w:t>工勤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。单位管理的离退休人员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人。</w:t>
      </w:r>
    </w:p>
    <w:p>
      <w:pPr>
        <w:spacing w:line="560" w:lineRule="exact"/>
        <w:ind w:firstLine="643"/>
        <w:jc w:val="left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pict>
          <v:shape id="Object 3" o:spid="_x0000_s1030" o:spt="75" alt="" type="#_x0000_t75" style="position:absolute;left:0pt;margin-left:65.9pt;margin-top:-38.8pt;height:202.3pt;width:306.4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Chart.8" ShapeID="Object 3" DrawAspect="Content" ObjectID="_1468075725" r:id="rId4">
            <o:LockedField>false</o:LockedField>
          </o:OLEObject>
        </w:pic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widowControl/>
        <w:spacing w:line="480" w:lineRule="auto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年政府办预算收入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万元，其中一般公共预算拨款收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万元,202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年本部门预算收入较上年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152.52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主要原因是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人员及专项支出减少</w:t>
      </w:r>
      <w:r>
        <w:rPr>
          <w:rFonts w:hint="eastAsia" w:ascii="仿宋_GB2312" w:hAnsi="仿宋" w:eastAsia="仿宋_GB2312" w:cs="仿宋"/>
          <w:sz w:val="32"/>
          <w:szCs w:val="32"/>
        </w:rPr>
        <w:t>；202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万元，其中一般公共预算拨款支出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728.7</w:t>
      </w:r>
      <w:r>
        <w:rPr>
          <w:rFonts w:hint="eastAsia" w:ascii="仿宋_GB2312" w:hAnsi="仿宋" w:eastAsia="仿宋_GB2312" w:cs="仿宋"/>
          <w:sz w:val="32"/>
          <w:szCs w:val="32"/>
        </w:rPr>
        <w:t>万元，202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年本部门预算支出较上年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160.72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主要原因是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人员及专项支出减少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.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widowControl/>
        <w:spacing w:line="480" w:lineRule="auto"/>
        <w:ind w:firstLine="640"/>
        <w:jc w:val="left"/>
        <w:rPr>
          <w:rFonts w:hint="default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年政府办预算收入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万元，其中一般公共预算拨款收入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万元,202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年本部门预算收入较上年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152.52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主要原因是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人员及专项支出减少。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万元，其中一般公共预算拨款支出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年本部门预算支出较上年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160.72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主要原因是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人员及专项支出减少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.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widowControl/>
        <w:spacing w:line="480" w:lineRule="auto"/>
        <w:ind w:firstLine="640"/>
        <w:jc w:val="left"/>
        <w:rPr>
          <w:rFonts w:hint="default" w:ascii="仿宋_GB2312" w:hAnsi="仿宋" w:eastAsia="仿宋_GB2312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年本部门当年一般公共预算拨款支出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160.72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主要原因是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人员及专项支出减少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.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年当年一般公共预算支出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（1）行政运行（2010301）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560.78</w:t>
      </w:r>
      <w:r>
        <w:rPr>
          <w:rFonts w:hint="eastAsia" w:ascii="仿宋_GB2312" w:hAnsi="仿宋" w:eastAsia="仿宋_GB2312" w:cs="仿宋"/>
          <w:sz w:val="32"/>
          <w:szCs w:val="32"/>
        </w:rPr>
        <w:t>万元，较上年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113.64</w:t>
      </w:r>
      <w:r>
        <w:rPr>
          <w:rFonts w:hint="eastAsia" w:ascii="仿宋_GB2312" w:hAnsi="仿宋" w:eastAsia="仿宋_GB2312" w:cs="仿宋"/>
          <w:sz w:val="32"/>
          <w:szCs w:val="32"/>
        </w:rPr>
        <w:t>万元，原因是人员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及专项支付减少。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（2）一般行政管理事务（2010302）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159.92</w:t>
      </w:r>
      <w:r>
        <w:rPr>
          <w:rFonts w:hint="eastAsia" w:ascii="仿宋_GB2312" w:hAnsi="仿宋" w:eastAsia="仿宋_GB2312" w:cs="仿宋"/>
          <w:sz w:val="32"/>
          <w:szCs w:val="32"/>
        </w:rPr>
        <w:t>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42.08</w:t>
      </w:r>
      <w:r>
        <w:rPr>
          <w:rFonts w:hint="eastAsia" w:ascii="仿宋_GB2312" w:hAnsi="仿宋" w:eastAsia="仿宋_GB2312" w:cs="仿宋"/>
          <w:sz w:val="32"/>
          <w:szCs w:val="32"/>
        </w:rPr>
        <w:t>万元，原因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科目调整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）信访事务（2010308）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万元，较上年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"/>
          <w:sz w:val="32"/>
          <w:szCs w:val="32"/>
        </w:rPr>
        <w:t>万元，原因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科目调整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年政府办一般公共预算支出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728.9</w:t>
      </w:r>
      <w:r>
        <w:rPr>
          <w:rFonts w:hint="eastAsia" w:ascii="仿宋_GB2312" w:hAnsi="仿宋" w:eastAsia="仿宋_GB2312" w:cs="仿宋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工资福利支出（301）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599.02</w:t>
      </w:r>
      <w:r>
        <w:rPr>
          <w:rFonts w:hint="eastAsia" w:ascii="仿宋_GB2312" w:hAnsi="仿宋" w:eastAsia="仿宋_GB2312" w:cs="仿宋"/>
          <w:sz w:val="32"/>
          <w:szCs w:val="32"/>
        </w:rPr>
        <w:t>万元，较上年增加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69.2</w:t>
      </w:r>
      <w:r>
        <w:rPr>
          <w:rFonts w:hint="eastAsia" w:ascii="仿宋_GB2312" w:hAnsi="仿宋" w:eastAsia="仿宋_GB2312" w:cs="仿宋"/>
          <w:sz w:val="32"/>
          <w:szCs w:val="32"/>
        </w:rPr>
        <w:t>万元，原因是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正常的人员调动及调资经费支出增长。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商品和服务支出（302）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122.8</w:t>
      </w:r>
      <w:r>
        <w:rPr>
          <w:rFonts w:hint="eastAsia" w:ascii="仿宋_GB2312" w:hAnsi="仿宋" w:eastAsia="仿宋_GB2312" w:cs="仿宋"/>
          <w:sz w:val="32"/>
          <w:szCs w:val="32"/>
        </w:rPr>
        <w:t>万元，较上年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227.96</w:t>
      </w:r>
      <w:r>
        <w:rPr>
          <w:rFonts w:hint="eastAsia" w:ascii="仿宋_GB2312" w:hAnsi="仿宋" w:eastAsia="仿宋_GB2312" w:cs="仿宋"/>
          <w:sz w:val="32"/>
          <w:szCs w:val="32"/>
        </w:rPr>
        <w:t>万元，原因是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科目调整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对个人和家庭的补助支出（303）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7.08</w:t>
      </w:r>
      <w:r>
        <w:rPr>
          <w:rFonts w:hint="eastAsia" w:ascii="仿宋_GB2312" w:hAnsi="仿宋" w:eastAsia="仿宋_GB2312" w:cs="仿宋"/>
          <w:sz w:val="32"/>
          <w:szCs w:val="32"/>
        </w:rPr>
        <w:t>万元，较上年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6.24</w:t>
      </w:r>
      <w:r>
        <w:rPr>
          <w:rFonts w:hint="eastAsia" w:ascii="仿宋_GB2312" w:hAnsi="仿宋" w:eastAsia="仿宋_GB2312" w:cs="仿宋"/>
          <w:sz w:val="32"/>
          <w:szCs w:val="32"/>
        </w:rPr>
        <w:t>万元，原因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科目调。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728.9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机关工资福利支出（501）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599.02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较上年增加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69.2</w:t>
      </w:r>
      <w:r>
        <w:rPr>
          <w:rFonts w:hint="eastAsia" w:ascii="仿宋_GB2312" w:hAnsi="仿宋" w:eastAsia="仿宋_GB2312" w:cs="仿宋"/>
          <w:sz w:val="32"/>
          <w:szCs w:val="32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正常的人员调动及调资经费支出增长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机关商品和服务支出（502）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227.96</w:t>
      </w:r>
      <w:r>
        <w:rPr>
          <w:rFonts w:hint="eastAsia" w:ascii="仿宋_GB2312" w:hAnsi="仿宋" w:eastAsia="仿宋_GB2312" w:cs="仿宋"/>
          <w:sz w:val="32"/>
          <w:szCs w:val="32"/>
        </w:rPr>
        <w:t>万元，原因是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科目调整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对个人和家庭的补助支出（509）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7.08</w:t>
      </w:r>
      <w:r>
        <w:rPr>
          <w:rFonts w:hint="eastAsia" w:ascii="仿宋_GB2312" w:hAnsi="仿宋" w:eastAsia="仿宋_GB2312" w:cs="仿宋"/>
          <w:sz w:val="32"/>
          <w:szCs w:val="32"/>
        </w:rPr>
        <w:t>万元，较上年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6.24</w:t>
      </w:r>
      <w:r>
        <w:rPr>
          <w:rFonts w:hint="eastAsia" w:ascii="仿宋_GB2312" w:hAnsi="仿宋" w:eastAsia="仿宋_GB2312" w:cs="仿宋"/>
          <w:sz w:val="32"/>
          <w:szCs w:val="32"/>
        </w:rPr>
        <w:t>万元，原因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科目调。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年结转财政资金一般公共预算拨款支出情况。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本部门无202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年结转的一般公共预算拨款资金支出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并已公开空表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本部门无当年国有资本经营预算拨款收支，并在财政拨款收支总体情况表中列示，本部门无202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年结转的国有资本经营预算拨款支出。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年本部门当年一般公共预算“三公”经费预算支出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较上年减少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万元，减少的主要原因是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保留公务用车标准减少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其中：未预算因公出国（境）经费，和202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年保持一致；公务接待费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与上年持平。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公务用车运行费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71.4</w:t>
      </w:r>
      <w:r>
        <w:rPr>
          <w:rFonts w:hint="eastAsia" w:ascii="仿宋_GB2312" w:hAnsi="仿宋" w:eastAsia="仿宋_GB2312" w:cs="仿宋"/>
          <w:sz w:val="32"/>
          <w:szCs w:val="32"/>
        </w:rPr>
        <w:t>万元，于上年减少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万元，主要原因是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保留公务用车标准减少。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上年度及本年度，本部门无培训费预算经费。</w:t>
      </w:r>
    </w:p>
    <w:p>
      <w:pPr>
        <w:ind w:left="0" w:leftChars="0" w:firstLine="0" w:firstLineChars="0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本部门无202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年结转的财政拨款‘三公’经费支出。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辆；安排购置单价20万元以上的设备0台（套）。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年当年政府办政府采购预算共0万元，其中政府采购货物类预算0万元。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本部门无202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年结转的政府采购资金支出。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年政府办专项业务经费绩效目标管理全覆盖，涉及当年一般公共预算拨款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240</w:t>
      </w:r>
      <w:r>
        <w:rPr>
          <w:rFonts w:hint="eastAsia" w:ascii="仿宋_GB2312" w:hAnsi="仿宋" w:eastAsia="仿宋_GB2312" w:cs="仿宋"/>
          <w:sz w:val="32"/>
          <w:szCs w:val="32"/>
        </w:rPr>
        <w:t>万元。（详见公开报表中的绩效目标表）。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本部门无202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年结转的财政拨款支出涉及的绩效目标管理。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jc w:val="left"/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政府办202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年机关运行经费预算安排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43.2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按单位每个编制数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val="en-US" w:eastAsia="zh-CN"/>
        </w:rPr>
        <w:t>0.96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万元预算，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与上年持平。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本部门无202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年结转的财政拨款机关运行经费支出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spacing w:line="56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</w:t>
      </w: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0EAC7465"/>
    <w:rsid w:val="104E7D4B"/>
    <w:rsid w:val="176D6084"/>
    <w:rsid w:val="17E3395E"/>
    <w:rsid w:val="18696069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1708CD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FDD417D"/>
    <w:rsid w:val="60A76F05"/>
    <w:rsid w:val="62770932"/>
    <w:rsid w:val="63ED0CD3"/>
    <w:rsid w:val="667728BC"/>
    <w:rsid w:val="675B6F91"/>
    <w:rsid w:val="67B17BDD"/>
    <w:rsid w:val="69090D36"/>
    <w:rsid w:val="6B2A7614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6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2020-04-13T01:53:00Z</cp:lastPrinted>
  <dcterms:modified xsi:type="dcterms:W3CDTF">2023-08-16T02:24:57Z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