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中共镇坪县纪律检查委员会办公室</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2023</w:t>
      </w:r>
      <w:r>
        <w:rPr>
          <w:rFonts w:hint="eastAsia" w:ascii="黑体" w:hAnsi="黑体" w:eastAsia="黑体" w:cs="黑体"/>
          <w:b/>
          <w:bCs/>
          <w:sz w:val="36"/>
          <w:szCs w:val="36"/>
        </w:rPr>
        <w:t>年预算</w:t>
      </w:r>
      <w:r>
        <w:rPr>
          <w:rFonts w:hint="eastAsia" w:ascii="黑体" w:hAnsi="黑体" w:eastAsia="黑体" w:cs="黑体"/>
          <w:b/>
          <w:bCs/>
          <w:sz w:val="36"/>
          <w:szCs w:val="36"/>
          <w:lang w:eastAsia="zh-CN"/>
        </w:rPr>
        <w:t>公开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2023</w:t>
      </w:r>
      <w:r>
        <w:rPr>
          <w:rFonts w:hint="eastAsia" w:ascii="黑体" w:hAnsi="黑体" w:eastAsia="黑体" w:cs="黑体"/>
          <w:sz w:val="32"/>
          <w:szCs w:val="32"/>
        </w:rPr>
        <w:t>年年度部门工作任务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2023</w:t>
      </w:r>
      <w:r>
        <w:rPr>
          <w:rFonts w:hint="eastAsia" w:ascii="黑体" w:hAnsi="黑体" w:eastAsia="黑体" w:cs="黑体"/>
          <w:sz w:val="32"/>
          <w:szCs w:val="32"/>
        </w:rPr>
        <w:t>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第一部分  部门概况</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一、部门主要职责及机构设置</w:t>
      </w:r>
    </w:p>
    <w:p>
      <w:pPr>
        <w:autoSpaceDE w:val="0"/>
        <w:autoSpaceDN w:val="0"/>
        <w:adjustRightInd w:val="0"/>
        <w:spacing w:line="560" w:lineRule="exact"/>
        <w:ind w:firstLine="320" w:firstLineChars="100"/>
        <w:jc w:val="left"/>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sz w:val="32"/>
          <w:lang w:eastAsia="zh-CN"/>
        </w:rPr>
        <w:t>（一）县纪委监委主要职责</w:t>
      </w:r>
    </w:p>
    <w:p>
      <w:pPr>
        <w:keepNext w:val="0"/>
        <w:keepLines w:val="0"/>
        <w:pageBreakBefore w:val="0"/>
        <w:widowControl w:val="0"/>
        <w:tabs>
          <w:tab w:val="left" w:pos="540"/>
          <w:tab w:val="left" w:pos="900"/>
        </w:tabs>
        <w:kinsoku/>
        <w:wordWrap/>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负责全县党的纪律检查工作。贯彻落实党中央、中央纪委、省委、省纪委、市委、市纪委和县委关于纪律检查工作的决定，维护党的章程和其他党内法规，检查党的路线方针政策和决议的执行情况，协助县委推进全面从严治党、加强党风建设和组织协调反腐败工作。</w:t>
      </w:r>
    </w:p>
    <w:p>
      <w:pPr>
        <w:snapToGrid w:val="0"/>
        <w:spacing w:line="560" w:lineRule="exact"/>
        <w:rPr>
          <w:rFonts w:ascii="仿宋_GB2312" w:hAnsi="仿宋_GB2312" w:eastAsia="仿宋_GB2312" w:cs="仿宋_GB2312"/>
          <w:color w:val="auto"/>
          <w:sz w:val="32"/>
        </w:rPr>
      </w:pPr>
      <w:r>
        <w:rPr>
          <w:rFonts w:ascii="仿宋_GB2312" w:hAnsi="仿宋_GB2312" w:eastAsia="仿宋_GB2312" w:cs="仿宋_GB2312"/>
          <w:color w:val="auto"/>
          <w:sz w:val="32"/>
        </w:rPr>
        <w:t xml:space="preserve"> </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依照党的章程和其他党内法规履行监督、执纪、问责职责</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负责经常对党员进行遵守纪律的教育，作出关于维护党纪的决定、对县委工作部门、县委批准设立的党组（党委），各镇党委、纪委等党的组织和县委管理的党员领导干部履行职责，行使权力进行监督</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napToGrid w:val="0"/>
        <w:spacing w:line="560" w:lineRule="exact"/>
        <w:rPr>
          <w:rFonts w:ascii="仿宋_GB2312" w:hAnsi="仿宋_GB2312" w:eastAsia="仿宋_GB2312" w:cs="仿宋_GB2312"/>
          <w:color w:val="auto"/>
          <w:sz w:val="32"/>
        </w:rPr>
      </w:pPr>
      <w:r>
        <w:rPr>
          <w:rFonts w:ascii="仿宋_GB2312" w:hAnsi="仿宋_GB2312" w:eastAsia="仿宋_GB2312" w:cs="仿宋_GB2312"/>
          <w:color w:val="auto"/>
          <w:sz w:val="32"/>
        </w:rPr>
        <w:t xml:space="preserve"> </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在县委领导下组织开展巡察工作。配合县委巡察工作领导小组指导县委巡察办开展对各镇党委（村、社区党组织）、县委有关部门、县直机关部门党委（党组）巡察工作。</w:t>
      </w:r>
    </w:p>
    <w:p>
      <w:pPr>
        <w:snapToGrid w:val="0"/>
        <w:spacing w:line="560" w:lineRule="exact"/>
        <w:rPr>
          <w:rFonts w:ascii="仿宋_GB2312" w:hAnsi="仿宋_GB2312" w:eastAsia="仿宋_GB2312" w:cs="仿宋_GB2312"/>
          <w:color w:val="auto"/>
          <w:sz w:val="32"/>
        </w:rPr>
      </w:pPr>
      <w:r>
        <w:rPr>
          <w:rFonts w:ascii="仿宋_GB2312" w:hAnsi="仿宋_GB2312" w:eastAsia="仿宋_GB2312" w:cs="仿宋_GB2312"/>
          <w:color w:val="auto"/>
          <w:sz w:val="32"/>
        </w:rPr>
        <w:t xml:space="preserve"> </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负责全县监察工作。贯彻落实党中央、中央纪委国家监委、省委、省纪委监委、市委、市纪委监委和县委关于监察工作的决定，维护宪法法律，依法对县委管理的行使公权力的公职人员进行监察，调查职务违法和职务犯罪，开展廉政建设和反腐败工作。</w:t>
      </w:r>
    </w:p>
    <w:p>
      <w:pPr>
        <w:snapToGrid w:val="0"/>
        <w:spacing w:line="560" w:lineRule="exact"/>
        <w:rPr>
          <w:rFonts w:ascii="仿宋_GB2312" w:hAnsi="仿宋_GB2312" w:eastAsia="仿宋_GB2312" w:cs="仿宋_GB2312"/>
          <w:color w:val="auto"/>
          <w:sz w:val="32"/>
        </w:rPr>
      </w:pPr>
      <w:r>
        <w:rPr>
          <w:rFonts w:ascii="仿宋_GB2312" w:hAnsi="仿宋_GB2312" w:eastAsia="仿宋_GB2312" w:cs="仿宋_GB2312"/>
          <w:color w:val="0000FF"/>
          <w:sz w:val="32"/>
        </w:rPr>
        <w:t xml:space="preserve"> </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napToGrid w:val="0"/>
        <w:spacing w:line="560" w:lineRule="exact"/>
        <w:rPr>
          <w:rFonts w:ascii="仿宋_GB2312" w:hAnsi="仿宋_GB2312" w:eastAsia="仿宋_GB2312" w:cs="仿宋_GB2312"/>
          <w:color w:val="auto"/>
          <w:sz w:val="32"/>
        </w:rPr>
      </w:pPr>
      <w:r>
        <w:rPr>
          <w:rFonts w:ascii="仿宋_GB2312" w:hAnsi="仿宋_GB2312" w:eastAsia="仿宋_GB2312" w:cs="仿宋_GB2312"/>
          <w:color w:val="auto"/>
          <w:sz w:val="32"/>
        </w:rPr>
        <w:t xml:space="preserve"> </w:t>
      </w: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负责组织协调全县全面从严治党、党风廉政建设和反腐败宣传教育工作。</w:t>
      </w:r>
    </w:p>
    <w:p>
      <w:pPr>
        <w:snapToGrid w:val="0"/>
        <w:spacing w:line="560" w:lineRule="exact"/>
        <w:rPr>
          <w:rFonts w:ascii="仿宋_GB2312" w:hAnsi="仿宋_GB2312" w:eastAsia="仿宋_GB2312" w:cs="仿宋_GB2312"/>
          <w:color w:val="auto"/>
          <w:sz w:val="32"/>
        </w:rPr>
      </w:pPr>
      <w:r>
        <w:rPr>
          <w:rFonts w:ascii="仿宋_GB2312" w:hAnsi="仿宋_GB2312" w:eastAsia="仿宋_GB2312" w:cs="仿宋_GB2312"/>
          <w:color w:val="auto"/>
          <w:sz w:val="32"/>
        </w:rPr>
        <w:t xml:space="preserve"> </w:t>
      </w:r>
      <w:r>
        <w:rPr>
          <w:rFonts w:hint="eastAsia" w:ascii="仿宋_GB2312" w:hAnsi="仿宋_GB2312" w:eastAsia="仿宋_GB2312" w:cs="仿宋_GB2312"/>
          <w:color w:val="auto"/>
          <w:sz w:val="32"/>
          <w:lang w:val="en-US" w:eastAsia="zh-CN"/>
        </w:rPr>
        <w:t>7.</w:t>
      </w:r>
      <w:r>
        <w:rPr>
          <w:rFonts w:hint="eastAsia" w:ascii="仿宋_GB2312" w:hAnsi="仿宋_GB2312" w:eastAsia="仿宋_GB2312" w:cs="仿宋_GB2312"/>
          <w:color w:val="auto"/>
          <w:sz w:val="32"/>
        </w:rPr>
        <w:t>负责综合分析全县全面从严治党、党风廉政建设和反腐败工作情况，对纪检监察工作重要理论及实践问题进行调查研究；制定、修改全县纪检监察规章制度，参与起草制定相关规范性文件。</w:t>
      </w:r>
    </w:p>
    <w:p>
      <w:pPr>
        <w:snapToGrid w:val="0"/>
        <w:spacing w:line="560" w:lineRule="exact"/>
        <w:rPr>
          <w:rFonts w:ascii="仿宋_GB2312" w:hAnsi="仿宋_GB2312" w:eastAsia="仿宋_GB2312" w:cs="仿宋_GB2312"/>
          <w:color w:val="auto"/>
          <w:sz w:val="32"/>
        </w:rPr>
      </w:pPr>
      <w:r>
        <w:rPr>
          <w:rFonts w:ascii="仿宋_GB2312" w:hAnsi="仿宋_GB2312" w:eastAsia="仿宋_GB2312" w:cs="仿宋_GB2312"/>
          <w:color w:val="auto"/>
          <w:sz w:val="32"/>
        </w:rPr>
        <w:t xml:space="preserve"> </w:t>
      </w:r>
      <w:r>
        <w:rPr>
          <w:rFonts w:hint="eastAsia" w:ascii="仿宋_GB2312" w:hAnsi="仿宋_GB2312" w:eastAsia="仿宋_GB2312" w:cs="仿宋_GB2312"/>
          <w:color w:val="auto"/>
          <w:sz w:val="32"/>
          <w:lang w:val="en-US" w:eastAsia="zh-CN"/>
        </w:rPr>
        <w:t>8.</w:t>
      </w:r>
      <w:r>
        <w:rPr>
          <w:rFonts w:hint="eastAsia" w:ascii="仿宋_GB2312" w:hAnsi="仿宋_GB2312" w:eastAsia="仿宋_GB2312" w:cs="仿宋_GB2312"/>
          <w:color w:val="auto"/>
          <w:sz w:val="32"/>
        </w:rPr>
        <w:t>根据中央纪委国家监委、省纪委监委、市纪委监委工作部署，配合做好与其他国家、地区、国际组织开展的反腐败国际交流、合作；加强对全县反腐败国际追逃追赃和防逃工作的组织协调，督促有关单位做好相关工作。</w:t>
      </w:r>
    </w:p>
    <w:p>
      <w:pPr>
        <w:snapToGrid w:val="0"/>
        <w:spacing w:line="560" w:lineRule="exact"/>
        <w:rPr>
          <w:rFonts w:ascii="仿宋_GB2312" w:hAnsi="仿宋_GB2312" w:eastAsia="仿宋_GB2312" w:cs="仿宋_GB2312"/>
          <w:color w:val="auto"/>
          <w:sz w:val="32"/>
        </w:rPr>
      </w:pPr>
      <w:r>
        <w:rPr>
          <w:rFonts w:ascii="仿宋_GB2312" w:hAnsi="仿宋_GB2312" w:eastAsia="仿宋_GB2312" w:cs="仿宋_GB2312"/>
          <w:color w:val="auto"/>
          <w:sz w:val="32"/>
        </w:rPr>
        <w:t xml:space="preserve"> </w:t>
      </w: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rPr>
        <w:t>根据干部管理权限，负责全县纪检监察系统领导班子建设、干部队伍建设和组织建设的综合规划、政策研究、制度建设和业务指导；会同有关方面做好县纪委监委派驻机构领导班子建设有关工作；组织和指导全县纪检监察系统干部教育培训工作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10.</w:t>
      </w:r>
      <w:r>
        <w:rPr>
          <w:rFonts w:hint="eastAsia" w:ascii="仿宋_GB2312" w:hAnsi="仿宋_GB2312" w:eastAsia="仿宋_GB2312" w:cs="仿宋_GB2312"/>
          <w:color w:val="auto"/>
          <w:sz w:val="32"/>
        </w:rPr>
        <w:t>管理镇坪县纪检监察信息中心</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s="仿宋_GB2312"/>
          <w:color w:val="auto"/>
          <w:sz w:val="32"/>
        </w:rPr>
        <w:t>事业单位</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s="仿宋_GB2312"/>
          <w:color w:val="auto"/>
          <w:sz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11.</w:t>
      </w:r>
      <w:r>
        <w:rPr>
          <w:rFonts w:hint="eastAsia" w:ascii="仿宋_GB2312" w:hAnsi="仿宋_GB2312" w:eastAsia="仿宋_GB2312" w:cs="仿宋_GB2312"/>
          <w:color w:val="auto"/>
          <w:sz w:val="32"/>
        </w:rPr>
        <w:t>完成市纪委、市监委、县委交办的其他任务。</w:t>
      </w:r>
    </w:p>
    <w:p>
      <w:pPr>
        <w:snapToGrid w:val="0"/>
        <w:spacing w:line="560" w:lineRule="exact"/>
        <w:ind w:firstLine="640" w:firstLineChars="200"/>
        <w:rPr>
          <w:rFonts w:hint="eastAsia" w:ascii="楷体_GB2312" w:hAnsi="楷体_GB2312" w:eastAsia="楷体_GB2312" w:cs="楷体_GB2312"/>
          <w:b w:val="0"/>
          <w:bCs w:val="0"/>
          <w:color w:val="auto"/>
          <w:sz w:val="32"/>
          <w:lang w:val="en-US" w:eastAsia="zh-CN"/>
        </w:rPr>
      </w:pPr>
      <w:r>
        <w:rPr>
          <w:rFonts w:hint="eastAsia" w:ascii="楷体_GB2312" w:hAnsi="楷体_GB2312" w:eastAsia="楷体_GB2312" w:cs="楷体_GB2312"/>
          <w:b w:val="0"/>
          <w:bCs w:val="0"/>
          <w:color w:val="auto"/>
          <w:sz w:val="32"/>
          <w:lang w:eastAsia="zh-CN"/>
        </w:rPr>
        <w:t>（二）</w:t>
      </w:r>
      <w:r>
        <w:rPr>
          <w:rFonts w:hint="eastAsia" w:ascii="楷体_GB2312" w:hAnsi="楷体_GB2312" w:eastAsia="楷体_GB2312" w:cs="楷体_GB2312"/>
          <w:b w:val="0"/>
          <w:bCs w:val="0"/>
          <w:color w:val="auto"/>
          <w:sz w:val="32"/>
        </w:rPr>
        <w:t>县纪委监委</w:t>
      </w:r>
      <w:r>
        <w:rPr>
          <w:rFonts w:hint="eastAsia" w:ascii="楷体_GB2312" w:hAnsi="楷体_GB2312" w:eastAsia="楷体_GB2312" w:cs="楷体_GB2312"/>
          <w:b w:val="0"/>
          <w:bCs w:val="0"/>
          <w:color w:val="auto"/>
          <w:sz w:val="32"/>
          <w:lang w:eastAsia="zh-CN"/>
        </w:rPr>
        <w:t>机构设置</w:t>
      </w:r>
    </w:p>
    <w:p>
      <w:pPr>
        <w:snapToGrid w:val="0"/>
        <w:spacing w:line="560" w:lineRule="exact"/>
        <w:ind w:firstLine="640" w:firstLineChars="200"/>
        <w:rPr>
          <w:rFonts w:hint="eastAsia" w:ascii="仿宋_GB2312" w:hAnsi="仿宋_GB2312" w:eastAsia="仿宋_GB2312" w:cs="仿宋_GB2312"/>
          <w:color w:val="0000FF"/>
          <w:sz w:val="32"/>
        </w:rPr>
      </w:pP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县纪委监委</w:t>
      </w:r>
      <w:r>
        <w:rPr>
          <w:rFonts w:hint="eastAsia" w:ascii="仿宋_GB2312" w:hAnsi="仿宋_GB2312" w:eastAsia="仿宋_GB2312" w:cs="仿宋_GB2312"/>
          <w:color w:val="auto"/>
          <w:sz w:val="32"/>
          <w:lang w:eastAsia="zh-CN"/>
        </w:rPr>
        <w:t>机关</w:t>
      </w:r>
      <w:r>
        <w:rPr>
          <w:rFonts w:hint="eastAsia" w:ascii="仿宋_GB2312" w:hAnsi="仿宋_GB2312" w:eastAsia="仿宋_GB2312" w:cs="仿宋_GB2312"/>
          <w:color w:val="auto"/>
          <w:sz w:val="32"/>
          <w:lang w:val="en-US" w:eastAsia="zh-CN"/>
        </w:rPr>
        <w:t>:设纪委书记兼监委主任1名、纪委副书记兼监委副主任2名、纪委常委4名（其中3名兼监委委员）、专职监委委员1名，内设副科级室部8个</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办公室、组织宣传部、党风政风监督室、信访室</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案件监督管理室</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、第一纪检监察室、第二纪检监察室、第三纪检监察室、案件审理室。</w:t>
      </w:r>
    </w:p>
    <w:p>
      <w:pPr>
        <w:snapToGrid w:val="0"/>
        <w:spacing w:line="560" w:lineRule="exact"/>
        <w:ind w:firstLine="640" w:firstLineChars="20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下设副科级综合派驻纪检监察组8个。其中：驻县人社局纪检监察组、驻县发改局纪检监察组、驻县财政局纪检监察组、驻县农水局纪检监察组、驻县文广局纪检监察组、驻县自然资源局纪检监察组等6个纪检监察组的编制、经费归县纪委监委纳入年度预算，驻县检察院纪检监察组、驻县公安局纪检监察组（按改革规定要求，其编制、经费由驻在单位负责，年度经费预算归县检察院、县公安局）。</w:t>
      </w:r>
    </w:p>
    <w:p>
      <w:pPr>
        <w:snapToGrid w:val="0"/>
        <w:spacing w:line="560" w:lineRule="exact"/>
        <w:ind w:firstLine="640" w:firstLineChars="20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3.下属副科级事业单位1个：县纪检监察信息中心。</w:t>
      </w:r>
    </w:p>
    <w:p>
      <w:pPr>
        <w:snapToGrid w:val="0"/>
        <w:spacing w:line="560" w:lineRule="exact"/>
        <w:ind w:firstLine="640" w:firstLineChars="20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4.挂设正科级县委巡察工作领导小组办公室1个。</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二、2023年度部门工作任务</w:t>
      </w:r>
    </w:p>
    <w:p>
      <w:pPr>
        <w:keepNext w:val="0"/>
        <w:keepLines w:val="0"/>
        <w:pageBreakBefore w:val="0"/>
        <w:widowControl w:val="0"/>
        <w:pBdr>
          <w:bottom w:val="single" w:color="FFFFFF" w:sz="4" w:space="16"/>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zh-CN" w:eastAsia="zh-CN"/>
        </w:rPr>
        <w:t>年，我们将继续保持十足干劲，强学习明思路，紧盯重点抓落实，争优秀创一流，不断推动全县纪检监察工作高质量发展。</w:t>
      </w:r>
    </w:p>
    <w:p>
      <w:pPr>
        <w:keepNext w:val="0"/>
        <w:keepLines w:val="0"/>
        <w:pageBreakBefore w:val="0"/>
        <w:widowControl w:val="0"/>
        <w:numPr>
          <w:ilvl w:val="0"/>
          <w:numId w:val="1"/>
        </w:numPr>
        <w:pBdr>
          <w:bottom w:val="single" w:color="FFFFFF" w:sz="4" w:space="16"/>
        </w:pBdr>
        <w:tabs>
          <w:tab w:val="left" w:pos="7380"/>
        </w:tab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sz w:val="32"/>
          <w:szCs w:val="32"/>
          <w:lang w:val="zh-CN" w:eastAsia="zh-CN"/>
        </w:rPr>
        <w:t>进一步强化政治监督。</w:t>
      </w:r>
      <w:r>
        <w:rPr>
          <w:rFonts w:hint="eastAsia" w:ascii="仿宋_GB2312" w:hAnsi="仿宋_GB2312" w:eastAsia="仿宋_GB2312" w:cs="仿宋_GB2312"/>
          <w:sz w:val="32"/>
          <w:szCs w:val="32"/>
        </w:rPr>
        <w:t>围绕贯彻落实</w:t>
      </w:r>
      <w:r>
        <w:rPr>
          <w:rFonts w:hint="eastAsia" w:ascii="仿宋_GB2312" w:hAnsi="仿宋_GB2312" w:eastAsia="仿宋_GB2312" w:cs="仿宋_GB2312"/>
          <w:sz w:val="32"/>
          <w:szCs w:val="32"/>
          <w:lang w:eastAsia="zh-CN"/>
        </w:rPr>
        <w:t>党的二十大精神</w:t>
      </w:r>
      <w:r>
        <w:rPr>
          <w:rFonts w:hint="eastAsia" w:ascii="仿宋_GB2312" w:hAnsi="仿宋_GB2312" w:eastAsia="仿宋_GB2312" w:cs="仿宋_GB2312"/>
          <w:sz w:val="32"/>
          <w:szCs w:val="32"/>
        </w:rPr>
        <w:t>强化监督检查，紧盯乡村振兴、疫情防控、生态环境保护等重点工作，跟进监督、精准监督，确保政令畅通。整合政治监督力量，持续推进纪律监督、监察监督、派驻监督、巡察监督有机融合，不断提升监督治理效能。</w:t>
      </w:r>
    </w:p>
    <w:p>
      <w:pPr>
        <w:keepNext w:val="0"/>
        <w:keepLines w:val="0"/>
        <w:pageBreakBefore w:val="0"/>
        <w:widowControl w:val="0"/>
        <w:numPr>
          <w:ilvl w:val="0"/>
          <w:numId w:val="0"/>
        </w:numPr>
        <w:pBdr>
          <w:bottom w:val="single" w:color="FFFFFF" w:sz="4" w:space="16"/>
        </w:pBdr>
        <w:tabs>
          <w:tab w:val="left" w:pos="7380"/>
        </w:tab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sz w:val="32"/>
          <w:szCs w:val="32"/>
          <w:lang w:val="zh-CN" w:eastAsia="zh-CN"/>
        </w:rPr>
        <w:t>（二）进一步深化从严治党。</w:t>
      </w:r>
      <w:r>
        <w:rPr>
          <w:rFonts w:hint="eastAsia" w:ascii="仿宋_GB2312" w:hAnsi="仿宋_GB2312" w:eastAsia="仿宋_GB2312" w:cs="仿宋_GB2312"/>
          <w:sz w:val="32"/>
          <w:szCs w:val="32"/>
          <w:lang w:val="zh-CN" w:eastAsia="zh-CN"/>
        </w:rPr>
        <w:t>认真贯彻落实中办印发的《党委（党组）落实全面从严治党主体责任规定》《中共镇坪县委关于深入推进全面从严治党的实施意见》，督促全县各级党组织全面落实党委（党组）主体责任，履行好纪检监察机关监督专责。加强对权力运行的制约和监督，紧盯“关键少数”，增强对“一把手”和领导班子监督，从严从实强化对干部教育管理监督，督促领导干部严于律己、严负其责、严管所辖，形成全面覆盖、常态长效的监督合力。完善派驻监督制度机制，增强派驻监督有效性。</w:t>
      </w:r>
    </w:p>
    <w:p>
      <w:pPr>
        <w:keepNext w:val="0"/>
        <w:keepLines w:val="0"/>
        <w:pageBreakBefore w:val="0"/>
        <w:widowControl w:val="0"/>
        <w:numPr>
          <w:ilvl w:val="0"/>
          <w:numId w:val="0"/>
        </w:numPr>
        <w:pBdr>
          <w:bottom w:val="single" w:color="FFFFFF" w:sz="4" w:space="16"/>
        </w:pBdr>
        <w:tabs>
          <w:tab w:val="left" w:pos="7380"/>
        </w:tab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 w:eastAsia="仿宋_GB2312" w:cs="仿宋"/>
          <w:color w:val="000000"/>
          <w:kern w:val="2"/>
          <w:sz w:val="32"/>
          <w:szCs w:val="32"/>
          <w:lang w:val="zh-CN" w:eastAsia="zh-CN" w:bidi="ar-SA"/>
        </w:rPr>
      </w:pPr>
      <w:r>
        <w:rPr>
          <w:rFonts w:hint="eastAsia" w:ascii="楷体_GB2312" w:hAnsi="楷体_GB2312" w:eastAsia="楷体_GB2312" w:cs="楷体_GB2312"/>
          <w:sz w:val="32"/>
          <w:szCs w:val="32"/>
          <w:lang w:val="zh-CN" w:eastAsia="zh-CN"/>
        </w:rPr>
        <w:t>（三）进一步加强审查调查。</w:t>
      </w:r>
      <w:r>
        <w:rPr>
          <w:rFonts w:hint="eastAsia" w:ascii="仿宋_GB2312" w:hAnsi="仿宋" w:eastAsia="仿宋_GB2312"/>
          <w:color w:val="000000"/>
          <w:sz w:val="32"/>
          <w:szCs w:val="32"/>
        </w:rPr>
        <w:t>始终以“零容忍”对待腐败问题，聚焦重点领域、重点环节、重点工作，</w:t>
      </w:r>
      <w:r>
        <w:rPr>
          <w:rFonts w:hint="eastAsia" w:ascii="仿宋_GB2312" w:hAnsi="仿宋" w:eastAsia="仿宋_GB2312" w:cs="仿宋"/>
          <w:color w:val="000000"/>
          <w:kern w:val="2"/>
          <w:sz w:val="32"/>
          <w:szCs w:val="32"/>
          <w:lang w:val="en-US" w:eastAsia="zh-CN" w:bidi="ar-SA"/>
        </w:rPr>
        <w:t>围绕市纪委监委“案件质量提升年”的工作要求，</w:t>
      </w:r>
      <w:r>
        <w:rPr>
          <w:rFonts w:hint="eastAsia" w:ascii="仿宋_GB2312" w:hAnsi="仿宋" w:eastAsia="仿宋_GB2312" w:cs="仿宋"/>
          <w:color w:val="000000"/>
          <w:kern w:val="2"/>
          <w:sz w:val="32"/>
          <w:szCs w:val="32"/>
          <w:lang w:val="zh-CN" w:eastAsia="zh-CN" w:bidi="ar-SA"/>
        </w:rPr>
        <w:t>把审查调查工作作为纪检监察机关极其严肃的政治任务，做到准确分析研判线索、规范处置程序、严守安全底线，坚持有错必纠、有责必问、问责必严。</w:t>
      </w:r>
    </w:p>
    <w:p>
      <w:pPr>
        <w:keepNext w:val="0"/>
        <w:keepLines w:val="0"/>
        <w:pageBreakBefore w:val="0"/>
        <w:widowControl w:val="0"/>
        <w:numPr>
          <w:ilvl w:val="0"/>
          <w:numId w:val="0"/>
        </w:numPr>
        <w:pBdr>
          <w:bottom w:val="single" w:color="FFFFFF" w:sz="4" w:space="16"/>
        </w:pBdr>
        <w:tabs>
          <w:tab w:val="left" w:pos="7380"/>
        </w:tab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sz w:val="32"/>
          <w:szCs w:val="32"/>
          <w:lang w:val="zh-CN" w:eastAsia="zh-CN"/>
        </w:rPr>
        <w:t>（四）进一步改进干部作风。</w:t>
      </w:r>
      <w:r>
        <w:rPr>
          <w:rFonts w:hint="eastAsia" w:ascii="仿宋_GB2312" w:hAnsi="仿宋_GB2312" w:eastAsia="仿宋_GB2312" w:cs="仿宋_GB2312"/>
          <w:sz w:val="32"/>
          <w:szCs w:val="32"/>
          <w:lang w:val="zh-CN" w:eastAsia="zh-CN"/>
        </w:rPr>
        <w:t>引导全县各级党员领导干部发挥示范引领作用，带头落实好作风建设各项要求，带动引导全县党员干部驰而不息转作风树新风、心无旁骛抓落实促发展。</w:t>
      </w:r>
    </w:p>
    <w:p>
      <w:pPr>
        <w:keepNext w:val="0"/>
        <w:keepLines w:val="0"/>
        <w:pageBreakBefore w:val="0"/>
        <w:widowControl w:val="0"/>
        <w:numPr>
          <w:ilvl w:val="0"/>
          <w:numId w:val="0"/>
        </w:numPr>
        <w:pBdr>
          <w:bottom w:val="single" w:color="FFFFFF" w:sz="4" w:space="16"/>
        </w:pBdr>
        <w:tabs>
          <w:tab w:val="left" w:pos="7380"/>
        </w:tab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（五）进一步做实专项整治。</w:t>
      </w:r>
      <w:r>
        <w:rPr>
          <w:rFonts w:hint="eastAsia" w:ascii="仿宋_GB2312" w:hAnsi="仿宋_GB2312" w:eastAsia="仿宋_GB2312" w:cs="仿宋_GB2312"/>
          <w:sz w:val="32"/>
          <w:szCs w:val="32"/>
          <w:lang w:val="en-US" w:eastAsia="zh-CN"/>
        </w:rPr>
        <w:t>深入开展群众反映强烈突出问题专项整治，聚焦群众普遍关注、反映强烈和反复出现的问题，持续纠治教育医疗、就业创业、养老社保、扶贫环保等领域腐败和作风问题，严查群众身边形式主义、官僚主义，</w:t>
      </w:r>
      <w:r>
        <w:rPr>
          <w:rFonts w:hint="eastAsia" w:ascii="仿宋_GB2312" w:hAnsi="仿宋_GB2312" w:eastAsia="仿宋_GB2312" w:cs="仿宋_GB2312"/>
          <w:sz w:val="32"/>
          <w:szCs w:val="32"/>
          <w:lang w:val="zh-CN" w:eastAsia="zh-CN"/>
        </w:rPr>
        <w:t>切实解决群众“急难愁盼”问题，</w:t>
      </w:r>
      <w:r>
        <w:rPr>
          <w:rFonts w:hint="eastAsia" w:ascii="仿宋_GB2312" w:hAnsi="仿宋_GB2312" w:eastAsia="仿宋_GB2312" w:cs="仿宋_GB2312"/>
          <w:sz w:val="32"/>
          <w:szCs w:val="32"/>
          <w:lang w:val="en-US" w:eastAsia="zh-CN"/>
        </w:rPr>
        <w:t>灵活运用“五个一”工作法，聚焦典型问题、关键少数、重点领域，以案件查办为切入点和重要抓手深化专项整治，确保专项整治工作取得新突破。</w:t>
      </w:r>
    </w:p>
    <w:p>
      <w:pPr>
        <w:keepNext w:val="0"/>
        <w:keepLines w:val="0"/>
        <w:pageBreakBefore w:val="0"/>
        <w:widowControl w:val="0"/>
        <w:numPr>
          <w:ilvl w:val="0"/>
          <w:numId w:val="0"/>
        </w:numPr>
        <w:pBdr>
          <w:bottom w:val="single" w:color="FFFFFF" w:sz="4" w:space="16"/>
        </w:pBdr>
        <w:tabs>
          <w:tab w:val="left" w:pos="7380"/>
        </w:tab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三、部门预算单位 </w:t>
      </w:r>
    </w:p>
    <w:p>
      <w:pPr>
        <w:keepNext w:val="0"/>
        <w:keepLines w:val="0"/>
        <w:pageBreakBefore w:val="0"/>
        <w:widowControl w:val="0"/>
        <w:numPr>
          <w:ilvl w:val="0"/>
          <w:numId w:val="0"/>
        </w:numPr>
        <w:pBdr>
          <w:bottom w:val="single" w:color="FFFFFF" w:sz="4" w:space="16"/>
        </w:pBdr>
        <w:tabs>
          <w:tab w:val="left" w:pos="7380"/>
        </w:tab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rPr>
        <w:t>镇坪县纪委监委，机构级别为副处级，</w:t>
      </w:r>
      <w:r>
        <w:rPr>
          <w:rFonts w:hint="eastAsia" w:ascii="仿宋_GB2312" w:hAnsi="??" w:eastAsia="仿宋_GB2312" w:cs="宋体"/>
          <w:color w:val="auto"/>
          <w:kern w:val="0"/>
          <w:sz w:val="32"/>
          <w:szCs w:val="32"/>
          <w:lang w:val="en-US" w:eastAsia="zh-CN"/>
        </w:rPr>
        <w:t xml:space="preserve"> </w:t>
      </w:r>
      <w:r>
        <w:rPr>
          <w:rFonts w:hint="eastAsia" w:ascii="仿宋_GB2312" w:hAnsi="??" w:eastAsia="仿宋_GB2312" w:cs="宋体"/>
          <w:color w:val="auto"/>
          <w:kern w:val="0"/>
          <w:sz w:val="32"/>
          <w:szCs w:val="32"/>
        </w:rPr>
        <w:t>经费管理方式是财政全额拨款</w:t>
      </w:r>
      <w:r>
        <w:rPr>
          <w:rFonts w:hint="eastAsia" w:ascii="仿宋_GB2312" w:hAnsi="??" w:eastAsia="仿宋_GB2312" w:cs="宋体"/>
          <w:color w:val="auto"/>
          <w:kern w:val="0"/>
          <w:sz w:val="32"/>
          <w:szCs w:val="32"/>
          <w:lang w:eastAsia="zh-CN"/>
        </w:rPr>
        <w:t>，</w:t>
      </w:r>
      <w:r>
        <w:rPr>
          <w:rFonts w:hint="eastAsia" w:ascii="仿宋_GB2312" w:hAnsi="??" w:eastAsia="仿宋_GB2312" w:cs="宋体"/>
          <w:color w:val="auto"/>
          <w:kern w:val="0"/>
          <w:sz w:val="32"/>
          <w:szCs w:val="32"/>
        </w:rPr>
        <w:t>单位性质是行政单位</w:t>
      </w:r>
      <w:r>
        <w:rPr>
          <w:rFonts w:hint="eastAsia" w:ascii="仿宋_GB2312" w:hAnsi="??" w:eastAsia="仿宋_GB2312" w:cs="宋体"/>
          <w:color w:val="auto"/>
          <w:kern w:val="0"/>
          <w:sz w:val="32"/>
          <w:szCs w:val="32"/>
          <w:lang w:eastAsia="zh-CN"/>
        </w:rPr>
        <w:t>。</w:t>
      </w:r>
      <w:r>
        <w:rPr>
          <w:rFonts w:hint="eastAsia" w:ascii="仿宋_GB2312" w:hAnsi="??" w:eastAsia="仿宋_GB2312" w:cs="宋体"/>
          <w:color w:val="auto"/>
          <w:kern w:val="0"/>
          <w:sz w:val="32"/>
          <w:szCs w:val="32"/>
        </w:rPr>
        <w:t>下属事业单位</w:t>
      </w:r>
      <w:r>
        <w:rPr>
          <w:rFonts w:ascii="仿宋_GB2312" w:hAnsi="??" w:eastAsia="仿宋_GB2312" w:cs="宋体"/>
          <w:color w:val="auto"/>
          <w:kern w:val="0"/>
          <w:sz w:val="32"/>
          <w:szCs w:val="32"/>
        </w:rPr>
        <w:t>1</w:t>
      </w:r>
      <w:r>
        <w:rPr>
          <w:rFonts w:hint="eastAsia" w:ascii="仿宋_GB2312" w:hAnsi="??" w:eastAsia="仿宋_GB2312" w:cs="宋体"/>
          <w:color w:val="auto"/>
          <w:kern w:val="0"/>
          <w:sz w:val="32"/>
          <w:szCs w:val="32"/>
        </w:rPr>
        <w:t>个，即：县纪检监察信息中心。</w:t>
      </w:r>
      <w:r>
        <w:rPr>
          <w:rFonts w:hint="eastAsia" w:ascii="仿宋_GB2312" w:hAnsi="??" w:eastAsia="仿宋_GB2312" w:cs="宋体"/>
          <w:color w:val="auto"/>
          <w:kern w:val="0"/>
          <w:sz w:val="32"/>
          <w:szCs w:val="32"/>
          <w:lang w:eastAsia="zh-CN"/>
        </w:rPr>
        <w:t>挂设行政单位</w:t>
      </w:r>
      <w:r>
        <w:rPr>
          <w:rFonts w:hint="eastAsia" w:ascii="仿宋_GB2312" w:hAnsi="??" w:eastAsia="仿宋_GB2312" w:cs="宋体"/>
          <w:color w:val="auto"/>
          <w:kern w:val="0"/>
          <w:sz w:val="32"/>
          <w:szCs w:val="32"/>
          <w:lang w:val="en-US" w:eastAsia="zh-CN"/>
        </w:rPr>
        <w:t>1个，即：县委巡察工作领导小组办公室。</w:t>
      </w:r>
    </w:p>
    <w:p>
      <w:pPr>
        <w:keepNext w:val="0"/>
        <w:keepLines w:val="0"/>
        <w:pageBreakBefore w:val="0"/>
        <w:widowControl w:val="0"/>
        <w:numPr>
          <w:ilvl w:val="0"/>
          <w:numId w:val="0"/>
        </w:numPr>
        <w:pBdr>
          <w:bottom w:val="single" w:color="FFFFFF" w:sz="4" w:space="16"/>
        </w:pBdr>
        <w:tabs>
          <w:tab w:val="left" w:pos="7380"/>
        </w:tab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纳入本部门202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年部门预算编制范围的二级预算单位包括：</w:t>
      </w:r>
    </w:p>
    <w:tbl>
      <w:tblPr>
        <w:tblStyle w:val="7"/>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5883"/>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widowControl/>
              <w:spacing w:line="560" w:lineRule="exact"/>
              <w:ind w:left="0" w:leftChars="0" w:firstLine="0" w:firstLineChars="0"/>
              <w:jc w:val="center"/>
              <w:rPr>
                <w:rFonts w:hint="eastAsia" w:ascii="仿宋_GB2312" w:hAnsi="??" w:eastAsia="仿宋_GB2312" w:cs="宋体"/>
                <w:color w:val="auto"/>
                <w:kern w:val="0"/>
                <w:sz w:val="28"/>
                <w:szCs w:val="28"/>
                <w:vertAlign w:val="baseline"/>
                <w:lang w:val="en-US" w:eastAsia="zh-CN"/>
              </w:rPr>
            </w:pPr>
            <w:r>
              <w:rPr>
                <w:rFonts w:hint="eastAsia" w:ascii="仿宋_GB2312" w:hAnsi="??" w:eastAsia="仿宋_GB2312" w:cs="宋体"/>
                <w:color w:val="auto"/>
                <w:kern w:val="0"/>
                <w:sz w:val="28"/>
                <w:szCs w:val="28"/>
                <w:vertAlign w:val="baseline"/>
                <w:lang w:val="en-US" w:eastAsia="zh-CN"/>
              </w:rPr>
              <w:t>序号</w:t>
            </w:r>
          </w:p>
        </w:tc>
        <w:tc>
          <w:tcPr>
            <w:tcW w:w="5883" w:type="dxa"/>
            <w:vAlign w:val="center"/>
          </w:tcPr>
          <w:p>
            <w:pPr>
              <w:widowControl/>
              <w:spacing w:line="560" w:lineRule="exact"/>
              <w:jc w:val="center"/>
              <w:rPr>
                <w:rFonts w:hint="eastAsia" w:ascii="仿宋_GB2312" w:hAnsi="??" w:eastAsia="仿宋_GB2312" w:cs="宋体"/>
                <w:color w:val="auto"/>
                <w:kern w:val="0"/>
                <w:sz w:val="28"/>
                <w:szCs w:val="28"/>
                <w:vertAlign w:val="baseline"/>
                <w:lang w:val="en-US" w:eastAsia="zh-CN"/>
              </w:rPr>
            </w:pPr>
            <w:r>
              <w:rPr>
                <w:rFonts w:hint="eastAsia" w:ascii="仿宋_GB2312" w:hAnsi="??" w:eastAsia="仿宋_GB2312" w:cs="宋体"/>
                <w:color w:val="auto"/>
                <w:kern w:val="0"/>
                <w:sz w:val="28"/>
                <w:szCs w:val="28"/>
                <w:vertAlign w:val="baseline"/>
                <w:lang w:val="en-US" w:eastAsia="zh-CN"/>
              </w:rPr>
              <w:t>单位名称</w:t>
            </w:r>
          </w:p>
        </w:tc>
        <w:tc>
          <w:tcPr>
            <w:tcW w:w="2365" w:type="dxa"/>
            <w:vAlign w:val="center"/>
          </w:tcPr>
          <w:p>
            <w:pPr>
              <w:widowControl/>
              <w:spacing w:line="560" w:lineRule="exact"/>
              <w:jc w:val="center"/>
              <w:rPr>
                <w:rFonts w:hint="eastAsia" w:ascii="仿宋_GB2312" w:hAnsi="??" w:eastAsia="仿宋_GB2312" w:cs="宋体"/>
                <w:color w:val="auto"/>
                <w:kern w:val="0"/>
                <w:sz w:val="28"/>
                <w:szCs w:val="28"/>
                <w:vertAlign w:val="baseline"/>
                <w:lang w:val="en-US" w:eastAsia="zh-CN"/>
              </w:rPr>
            </w:pPr>
            <w:r>
              <w:rPr>
                <w:rFonts w:hint="eastAsia" w:ascii="仿宋_GB2312" w:hAnsi="??" w:eastAsia="仿宋_GB2312" w:cs="宋体"/>
                <w:color w:val="auto"/>
                <w:kern w:val="0"/>
                <w:sz w:val="28"/>
                <w:szCs w:val="28"/>
                <w:vertAlign w:val="baseline"/>
                <w:lang w:val="en-US" w:eastAsia="zh-CN"/>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widowControl/>
              <w:spacing w:line="560" w:lineRule="exact"/>
              <w:ind w:left="0" w:leftChars="0" w:firstLine="0" w:firstLineChars="0"/>
              <w:jc w:val="center"/>
              <w:rPr>
                <w:rFonts w:hint="default" w:ascii="仿宋_GB2312" w:hAnsi="??" w:eastAsia="仿宋_GB2312" w:cs="宋体"/>
                <w:color w:val="auto"/>
                <w:kern w:val="0"/>
                <w:sz w:val="28"/>
                <w:szCs w:val="28"/>
                <w:vertAlign w:val="baseline"/>
                <w:lang w:val="en-US" w:eastAsia="zh-CN"/>
              </w:rPr>
            </w:pPr>
            <w:r>
              <w:rPr>
                <w:rFonts w:hint="eastAsia" w:ascii="仿宋_GB2312" w:hAnsi="??" w:eastAsia="仿宋_GB2312" w:cs="宋体"/>
                <w:color w:val="auto"/>
                <w:kern w:val="0"/>
                <w:sz w:val="28"/>
                <w:szCs w:val="28"/>
                <w:vertAlign w:val="baseline"/>
                <w:lang w:val="en-US" w:eastAsia="zh-CN"/>
              </w:rPr>
              <w:t>1</w:t>
            </w:r>
          </w:p>
        </w:tc>
        <w:tc>
          <w:tcPr>
            <w:tcW w:w="5883" w:type="dxa"/>
            <w:vAlign w:val="center"/>
          </w:tcPr>
          <w:p>
            <w:pPr>
              <w:widowControl/>
              <w:spacing w:line="560" w:lineRule="exact"/>
              <w:jc w:val="center"/>
              <w:rPr>
                <w:rFonts w:hint="eastAsia" w:ascii="仿宋_GB2312" w:hAnsi="??" w:eastAsia="仿宋_GB2312" w:cs="宋体"/>
                <w:color w:val="auto"/>
                <w:kern w:val="0"/>
                <w:sz w:val="28"/>
                <w:szCs w:val="28"/>
                <w:vertAlign w:val="baseline"/>
                <w:lang w:val="en-US" w:eastAsia="zh-CN"/>
              </w:rPr>
            </w:pPr>
            <w:r>
              <w:rPr>
                <w:rFonts w:hint="eastAsia" w:ascii="仿宋_GB2312" w:hAnsi="??" w:eastAsia="仿宋_GB2312" w:cs="宋体"/>
                <w:color w:val="auto"/>
                <w:kern w:val="0"/>
                <w:sz w:val="28"/>
                <w:szCs w:val="28"/>
                <w:vertAlign w:val="baseline"/>
                <w:lang w:val="en-US" w:eastAsia="zh-CN"/>
              </w:rPr>
              <w:t>中共镇坪县纪律检查委员会</w:t>
            </w:r>
          </w:p>
          <w:p>
            <w:pPr>
              <w:widowControl/>
              <w:spacing w:line="560" w:lineRule="exact"/>
              <w:jc w:val="center"/>
              <w:rPr>
                <w:rFonts w:hint="eastAsia" w:ascii="仿宋_GB2312" w:hAnsi="??" w:eastAsia="仿宋_GB2312" w:cs="宋体"/>
                <w:color w:val="auto"/>
                <w:kern w:val="0"/>
                <w:sz w:val="28"/>
                <w:szCs w:val="28"/>
                <w:vertAlign w:val="baseline"/>
                <w:lang w:val="en-US" w:eastAsia="zh-CN"/>
              </w:rPr>
            </w:pPr>
            <w:r>
              <w:rPr>
                <w:rFonts w:hint="eastAsia" w:ascii="仿宋_GB2312" w:hAnsi="??" w:eastAsia="仿宋_GB2312" w:cs="宋体"/>
                <w:color w:val="auto"/>
                <w:kern w:val="0"/>
                <w:sz w:val="28"/>
                <w:szCs w:val="28"/>
                <w:vertAlign w:val="baseline"/>
                <w:lang w:val="en-US" w:eastAsia="zh-CN"/>
              </w:rPr>
              <w:t>（镇坪县监察委员会）</w:t>
            </w:r>
          </w:p>
        </w:tc>
        <w:tc>
          <w:tcPr>
            <w:tcW w:w="2365" w:type="dxa"/>
            <w:vAlign w:val="center"/>
          </w:tcPr>
          <w:p>
            <w:pPr>
              <w:widowControl/>
              <w:spacing w:line="560" w:lineRule="exact"/>
              <w:jc w:val="center"/>
              <w:rPr>
                <w:rFonts w:hint="eastAsia" w:ascii="仿宋_GB2312" w:hAnsi="??" w:eastAsia="仿宋_GB2312" w:cs="宋体"/>
                <w:color w:val="auto"/>
                <w:kern w:val="0"/>
                <w:sz w:val="28"/>
                <w:szCs w:val="28"/>
                <w:vertAlign w:val="baseline"/>
                <w:lang w:val="en-US" w:eastAsia="zh-CN"/>
              </w:rPr>
            </w:pPr>
            <w:r>
              <w:rPr>
                <w:rFonts w:hint="eastAsia" w:ascii="仿宋_GB2312" w:hAnsi="??" w:eastAsia="仿宋_GB2312" w:cs="宋体"/>
                <w:color w:val="auto"/>
                <w:kern w:val="0"/>
                <w:sz w:val="28"/>
                <w:szCs w:val="2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widowControl/>
              <w:spacing w:line="560" w:lineRule="exact"/>
              <w:ind w:left="0" w:leftChars="0" w:firstLine="0" w:firstLineChars="0"/>
              <w:jc w:val="center"/>
              <w:rPr>
                <w:rFonts w:hint="default" w:ascii="仿宋_GB2312" w:hAnsi="??" w:eastAsia="仿宋_GB2312" w:cs="宋体"/>
                <w:color w:val="auto"/>
                <w:kern w:val="0"/>
                <w:sz w:val="28"/>
                <w:szCs w:val="28"/>
                <w:vertAlign w:val="baseline"/>
                <w:lang w:val="en-US" w:eastAsia="zh-CN"/>
              </w:rPr>
            </w:pPr>
            <w:r>
              <w:rPr>
                <w:rFonts w:hint="eastAsia" w:ascii="仿宋_GB2312" w:hAnsi="??" w:eastAsia="仿宋_GB2312" w:cs="宋体"/>
                <w:color w:val="auto"/>
                <w:kern w:val="0"/>
                <w:sz w:val="28"/>
                <w:szCs w:val="28"/>
                <w:vertAlign w:val="baseline"/>
                <w:lang w:val="en-US" w:eastAsia="zh-CN"/>
              </w:rPr>
              <w:t>2</w:t>
            </w:r>
          </w:p>
        </w:tc>
        <w:tc>
          <w:tcPr>
            <w:tcW w:w="5883" w:type="dxa"/>
            <w:vAlign w:val="center"/>
          </w:tcPr>
          <w:p>
            <w:pPr>
              <w:widowControl/>
              <w:spacing w:line="560" w:lineRule="exact"/>
              <w:jc w:val="center"/>
              <w:rPr>
                <w:rFonts w:hint="eastAsia" w:ascii="仿宋_GB2312" w:hAnsi="??" w:eastAsia="仿宋_GB2312" w:cs="宋体"/>
                <w:color w:val="auto"/>
                <w:kern w:val="0"/>
                <w:sz w:val="28"/>
                <w:szCs w:val="28"/>
                <w:vertAlign w:val="baseline"/>
                <w:lang w:val="en-US" w:eastAsia="zh-CN"/>
              </w:rPr>
            </w:pPr>
            <w:r>
              <w:rPr>
                <w:rFonts w:hint="eastAsia" w:ascii="仿宋_GB2312" w:hAnsi="??" w:eastAsia="仿宋_GB2312" w:cs="宋体"/>
                <w:color w:val="auto"/>
                <w:kern w:val="0"/>
                <w:sz w:val="28"/>
                <w:szCs w:val="28"/>
                <w:vertAlign w:val="baseline"/>
                <w:lang w:val="en-US" w:eastAsia="zh-CN"/>
              </w:rPr>
              <w:t>镇坪县纪检监察信息中心</w:t>
            </w:r>
          </w:p>
        </w:tc>
        <w:tc>
          <w:tcPr>
            <w:tcW w:w="2365" w:type="dxa"/>
            <w:vAlign w:val="center"/>
          </w:tcPr>
          <w:p>
            <w:pPr>
              <w:widowControl/>
              <w:spacing w:line="560" w:lineRule="exact"/>
              <w:jc w:val="center"/>
              <w:rPr>
                <w:rFonts w:hint="eastAsia" w:ascii="仿宋_GB2312" w:hAnsi="??" w:eastAsia="仿宋_GB2312" w:cs="宋体"/>
                <w:color w:val="auto"/>
                <w:kern w:val="0"/>
                <w:sz w:val="28"/>
                <w:szCs w:val="28"/>
                <w:vertAlign w:val="baseline"/>
                <w:lang w:val="en-US" w:eastAsia="zh-CN"/>
              </w:rPr>
            </w:pPr>
            <w:r>
              <w:rPr>
                <w:rFonts w:hint="eastAsia" w:ascii="仿宋_GB2312" w:hAnsi="??" w:eastAsia="仿宋_GB2312" w:cs="宋体"/>
                <w:color w:val="auto"/>
                <w:kern w:val="0"/>
                <w:sz w:val="28"/>
                <w:szCs w:val="2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widowControl/>
              <w:spacing w:line="560" w:lineRule="exact"/>
              <w:ind w:left="0" w:leftChars="0" w:firstLine="0" w:firstLineChars="0"/>
              <w:jc w:val="center"/>
              <w:rPr>
                <w:rFonts w:hint="default" w:ascii="仿宋_GB2312" w:hAnsi="??" w:eastAsia="仿宋_GB2312" w:cs="宋体"/>
                <w:color w:val="auto"/>
                <w:kern w:val="0"/>
                <w:sz w:val="28"/>
                <w:szCs w:val="28"/>
                <w:vertAlign w:val="baseline"/>
                <w:lang w:val="en-US" w:eastAsia="zh-CN"/>
              </w:rPr>
            </w:pPr>
            <w:r>
              <w:rPr>
                <w:rFonts w:hint="eastAsia" w:ascii="仿宋_GB2312" w:hAnsi="??" w:eastAsia="仿宋_GB2312" w:cs="宋体"/>
                <w:color w:val="auto"/>
                <w:kern w:val="0"/>
                <w:sz w:val="28"/>
                <w:szCs w:val="28"/>
                <w:vertAlign w:val="baseline"/>
                <w:lang w:val="en-US" w:eastAsia="zh-CN"/>
              </w:rPr>
              <w:t>3</w:t>
            </w:r>
          </w:p>
        </w:tc>
        <w:tc>
          <w:tcPr>
            <w:tcW w:w="5883" w:type="dxa"/>
            <w:vAlign w:val="center"/>
          </w:tcPr>
          <w:p>
            <w:pPr>
              <w:widowControl/>
              <w:spacing w:line="560" w:lineRule="exact"/>
              <w:jc w:val="center"/>
              <w:rPr>
                <w:rFonts w:hint="eastAsia" w:ascii="仿宋_GB2312" w:hAnsi="??" w:eastAsia="仿宋_GB2312" w:cs="宋体"/>
                <w:color w:val="auto"/>
                <w:kern w:val="0"/>
                <w:sz w:val="28"/>
                <w:szCs w:val="28"/>
                <w:vertAlign w:val="baseline"/>
                <w:lang w:val="en-US" w:eastAsia="zh-CN"/>
              </w:rPr>
            </w:pPr>
            <w:r>
              <w:rPr>
                <w:rFonts w:hint="eastAsia" w:ascii="仿宋_GB2312" w:hAnsi="??" w:eastAsia="仿宋_GB2312" w:cs="宋体"/>
                <w:color w:val="auto"/>
                <w:kern w:val="0"/>
                <w:sz w:val="28"/>
                <w:szCs w:val="28"/>
                <w:vertAlign w:val="baseline"/>
                <w:lang w:val="en-US" w:eastAsia="zh-CN"/>
              </w:rPr>
              <w:t>中共镇坪县委巡察工作领导小组办公室</w:t>
            </w:r>
          </w:p>
        </w:tc>
        <w:tc>
          <w:tcPr>
            <w:tcW w:w="2365" w:type="dxa"/>
            <w:vAlign w:val="center"/>
          </w:tcPr>
          <w:p>
            <w:pPr>
              <w:widowControl/>
              <w:spacing w:line="560" w:lineRule="exact"/>
              <w:jc w:val="center"/>
              <w:rPr>
                <w:rFonts w:hint="eastAsia" w:ascii="仿宋_GB2312" w:hAnsi="??" w:eastAsia="仿宋_GB2312" w:cs="宋体"/>
                <w:color w:val="auto"/>
                <w:kern w:val="0"/>
                <w:sz w:val="28"/>
                <w:szCs w:val="28"/>
                <w:vertAlign w:val="baseline"/>
                <w:lang w:val="en-US" w:eastAsia="zh-CN"/>
              </w:rPr>
            </w:pPr>
            <w:r>
              <w:rPr>
                <w:rFonts w:hint="eastAsia" w:ascii="仿宋_GB2312" w:hAnsi="??" w:eastAsia="仿宋_GB2312" w:cs="宋体"/>
                <w:color w:val="auto"/>
                <w:kern w:val="0"/>
                <w:sz w:val="28"/>
                <w:szCs w:val="28"/>
                <w:vertAlign w:val="baseline"/>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四、部门人员情况说明</w:t>
      </w:r>
    </w:p>
    <w:p>
      <w:pPr>
        <w:pBdr>
          <w:bottom w:val="single" w:color="FFFFFF" w:sz="4" w:space="16"/>
        </w:pBdr>
        <w:tabs>
          <w:tab w:val="left" w:pos="7380"/>
        </w:tabs>
        <w:autoSpaceDE w:val="0"/>
        <w:autoSpaceDN w:val="0"/>
        <w:adjustRightInd w:val="0"/>
        <w:snapToGrid w:val="0"/>
        <w:spacing w:line="560" w:lineRule="exact"/>
        <w:ind w:firstLine="627" w:firstLineChars="196"/>
        <w:rPr>
          <w:rFonts w:hint="eastAsia" w:ascii="仿宋_GB2312" w:hAnsi="仿宋" w:eastAsia="仿宋_GB2312" w:cs="仿宋"/>
          <w:color w:val="auto"/>
          <w:sz w:val="32"/>
          <w:szCs w:val="32"/>
        </w:rPr>
      </w:pPr>
      <w:r>
        <w:rPr>
          <w:rFonts w:hint="eastAsia" w:ascii="仿宋_GB2312" w:hAnsi="??" w:eastAsia="仿宋_GB2312" w:cs="宋体"/>
          <w:color w:val="auto"/>
          <w:kern w:val="0"/>
          <w:sz w:val="32"/>
          <w:szCs w:val="32"/>
        </w:rPr>
        <w:t>截止</w:t>
      </w:r>
      <w:r>
        <w:rPr>
          <w:rFonts w:ascii="仿宋_GB2312" w:hAnsi="??" w:eastAsia="仿宋_GB2312" w:cs="宋体"/>
          <w:color w:val="auto"/>
          <w:kern w:val="0"/>
          <w:sz w:val="32"/>
          <w:szCs w:val="32"/>
        </w:rPr>
        <w:t>20</w:t>
      </w:r>
      <w:r>
        <w:rPr>
          <w:rFonts w:hint="eastAsia" w:ascii="仿宋_GB2312" w:hAnsi="??" w:eastAsia="仿宋_GB2312" w:cs="宋体"/>
          <w:color w:val="auto"/>
          <w:kern w:val="0"/>
          <w:sz w:val="32"/>
          <w:szCs w:val="32"/>
          <w:lang w:val="en-US" w:eastAsia="zh-CN"/>
        </w:rPr>
        <w:t>22</w:t>
      </w:r>
      <w:r>
        <w:rPr>
          <w:rFonts w:hint="eastAsia" w:ascii="仿宋_GB2312" w:hAnsi="??" w:eastAsia="仿宋_GB2312" w:cs="宋体"/>
          <w:color w:val="auto"/>
          <w:kern w:val="0"/>
          <w:sz w:val="32"/>
          <w:szCs w:val="32"/>
        </w:rPr>
        <w:t>年底，本部门核定编制总数</w:t>
      </w:r>
      <w:r>
        <w:rPr>
          <w:rFonts w:hint="eastAsia" w:ascii="仿宋_GB2312" w:hAnsi="??" w:eastAsia="仿宋_GB2312" w:cs="宋体"/>
          <w:color w:val="auto"/>
          <w:kern w:val="0"/>
          <w:sz w:val="32"/>
          <w:szCs w:val="32"/>
          <w:lang w:val="en-US" w:eastAsia="zh-CN"/>
        </w:rPr>
        <w:t>67</w:t>
      </w:r>
      <w:r>
        <w:rPr>
          <w:rFonts w:hint="eastAsia" w:ascii="仿宋_GB2312" w:hAnsi="??" w:eastAsia="仿宋_GB2312" w:cs="宋体"/>
          <w:color w:val="auto"/>
          <w:kern w:val="0"/>
          <w:sz w:val="32"/>
          <w:szCs w:val="32"/>
        </w:rPr>
        <w:t>名，其中，行政编制</w:t>
      </w:r>
      <w:r>
        <w:rPr>
          <w:rFonts w:hint="eastAsia" w:ascii="仿宋_GB2312" w:hAnsi="??" w:eastAsia="仿宋_GB2312" w:cs="宋体"/>
          <w:color w:val="auto"/>
          <w:kern w:val="0"/>
          <w:sz w:val="32"/>
          <w:szCs w:val="32"/>
          <w:lang w:val="en-US" w:eastAsia="zh-CN"/>
        </w:rPr>
        <w:t>46</w:t>
      </w:r>
      <w:r>
        <w:rPr>
          <w:rFonts w:hint="eastAsia" w:ascii="仿宋_GB2312" w:hAnsi="??" w:eastAsia="仿宋_GB2312" w:cs="宋体"/>
          <w:color w:val="auto"/>
          <w:kern w:val="0"/>
          <w:sz w:val="32"/>
          <w:szCs w:val="32"/>
        </w:rPr>
        <w:t>名，事业编制</w:t>
      </w:r>
      <w:r>
        <w:rPr>
          <w:rFonts w:hint="eastAsia" w:ascii="仿宋_GB2312" w:hAnsi="??" w:eastAsia="仿宋_GB2312" w:cs="宋体"/>
          <w:color w:val="auto"/>
          <w:kern w:val="0"/>
          <w:sz w:val="32"/>
          <w:szCs w:val="32"/>
          <w:lang w:val="en-US" w:eastAsia="zh-CN"/>
        </w:rPr>
        <w:t>21</w:t>
      </w:r>
      <w:r>
        <w:rPr>
          <w:rFonts w:hint="eastAsia" w:ascii="仿宋_GB2312" w:hAnsi="??" w:eastAsia="仿宋_GB2312" w:cs="宋体"/>
          <w:color w:val="auto"/>
          <w:kern w:val="0"/>
          <w:sz w:val="32"/>
          <w:szCs w:val="32"/>
        </w:rPr>
        <w:t>名。</w:t>
      </w:r>
      <w:r>
        <w:rPr>
          <w:rFonts w:hint="eastAsia" w:ascii="仿宋_GB2312" w:hAnsi="??" w:eastAsia="仿宋_GB2312" w:cs="宋体"/>
          <w:color w:val="auto"/>
          <w:kern w:val="0"/>
          <w:sz w:val="32"/>
          <w:szCs w:val="32"/>
          <w:lang w:eastAsia="zh-CN"/>
        </w:rPr>
        <w:t>县纪</w:t>
      </w:r>
      <w:r>
        <w:rPr>
          <w:rFonts w:hint="eastAsia" w:ascii="仿宋_GB2312" w:hAnsi="宋体" w:eastAsia="仿宋_GB2312" w:cs="宋体"/>
          <w:color w:val="auto"/>
          <w:kern w:val="0"/>
          <w:sz w:val="32"/>
          <w:szCs w:val="32"/>
        </w:rPr>
        <w:t>委</w:t>
      </w:r>
      <w:r>
        <w:rPr>
          <w:rFonts w:hint="eastAsia" w:ascii="仿宋_GB2312" w:hAnsi="宋体" w:eastAsia="仿宋_GB2312" w:cs="宋体"/>
          <w:color w:val="auto"/>
          <w:kern w:val="0"/>
          <w:sz w:val="32"/>
          <w:szCs w:val="32"/>
          <w:lang w:eastAsia="zh-CN"/>
        </w:rPr>
        <w:t>监委</w:t>
      </w:r>
      <w:r>
        <w:rPr>
          <w:rFonts w:hint="eastAsia" w:ascii="仿宋_GB2312" w:hAnsi="宋体" w:eastAsia="仿宋_GB2312" w:cs="宋体"/>
          <w:color w:val="auto"/>
          <w:kern w:val="0"/>
          <w:sz w:val="32"/>
          <w:szCs w:val="32"/>
        </w:rPr>
        <w:t>机关</w:t>
      </w:r>
      <w:r>
        <w:rPr>
          <w:rFonts w:hint="eastAsia" w:ascii="仿宋_GB2312" w:hAnsi="宋体" w:eastAsia="仿宋_GB2312" w:cs="宋体"/>
          <w:color w:val="auto"/>
          <w:kern w:val="0"/>
          <w:sz w:val="32"/>
          <w:szCs w:val="32"/>
          <w:lang w:eastAsia="zh-CN"/>
        </w:rPr>
        <w:t>行政</w:t>
      </w:r>
      <w:r>
        <w:rPr>
          <w:rFonts w:hint="eastAsia" w:ascii="仿宋_GB2312" w:hAnsi="宋体" w:eastAsia="仿宋_GB2312" w:cs="宋体"/>
          <w:color w:val="auto"/>
          <w:kern w:val="0"/>
          <w:sz w:val="32"/>
          <w:szCs w:val="32"/>
        </w:rPr>
        <w:t>编制</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7名，县纪委监委派驻纪检监察组人员编制12名，</w:t>
      </w:r>
      <w:r>
        <w:rPr>
          <w:rFonts w:hint="eastAsia" w:ascii="仿宋_GB2312" w:eastAsia="仿宋_GB2312"/>
          <w:color w:val="auto"/>
          <w:sz w:val="32"/>
          <w:szCs w:val="32"/>
        </w:rPr>
        <w:t>全部为行政编制</w:t>
      </w:r>
      <w:r>
        <w:rPr>
          <w:rFonts w:hint="eastAsia" w:ascii="仿宋_GB2312" w:hAnsi="仿宋" w:eastAsia="仿宋_GB2312" w:cs="仿宋"/>
          <w:color w:val="auto"/>
          <w:sz w:val="32"/>
          <w:szCs w:val="32"/>
        </w:rPr>
        <w:t>；县委巡察办</w:t>
      </w:r>
      <w:r>
        <w:rPr>
          <w:rFonts w:hint="eastAsia" w:ascii="仿宋_GB2312" w:hAnsi="宋体" w:eastAsia="仿宋_GB2312" w:cs="宋体"/>
          <w:color w:val="auto"/>
          <w:kern w:val="0"/>
          <w:sz w:val="32"/>
          <w:szCs w:val="32"/>
        </w:rPr>
        <w:t>人员编制7名，</w:t>
      </w:r>
      <w:r>
        <w:rPr>
          <w:rFonts w:hint="eastAsia" w:ascii="仿宋_GB2312" w:eastAsia="仿宋_GB2312"/>
          <w:color w:val="auto"/>
          <w:sz w:val="32"/>
          <w:szCs w:val="32"/>
        </w:rPr>
        <w:t>全部为行政编制</w:t>
      </w:r>
      <w:r>
        <w:rPr>
          <w:rFonts w:hint="eastAsia" w:ascii="仿宋_GB2312" w:hAnsi="仿宋" w:eastAsia="仿宋_GB2312" w:cs="仿宋"/>
          <w:color w:val="auto"/>
          <w:sz w:val="32"/>
          <w:szCs w:val="32"/>
        </w:rPr>
        <w:t>；县纪检监察信息中心人员编制</w:t>
      </w:r>
      <w:r>
        <w:rPr>
          <w:rFonts w:hint="eastAsia" w:ascii="仿宋_GB2312" w:hAnsi="仿宋" w:eastAsia="仿宋_GB2312" w:cs="仿宋"/>
          <w:color w:val="auto"/>
          <w:sz w:val="32"/>
          <w:szCs w:val="32"/>
          <w:lang w:val="en-US" w:eastAsia="zh-CN"/>
        </w:rPr>
        <w:t>21</w:t>
      </w:r>
      <w:r>
        <w:rPr>
          <w:rFonts w:hint="eastAsia" w:ascii="仿宋_GB2312" w:hAnsi="仿宋" w:eastAsia="仿宋_GB2312" w:cs="仿宋"/>
          <w:color w:val="auto"/>
          <w:sz w:val="32"/>
          <w:szCs w:val="32"/>
        </w:rPr>
        <w:t>名，全部为事业编制。</w:t>
      </w:r>
    </w:p>
    <w:p>
      <w:pPr>
        <w:pBdr>
          <w:bottom w:val="single" w:color="FFFFFF" w:sz="4" w:space="16"/>
        </w:pBdr>
        <w:tabs>
          <w:tab w:val="left" w:pos="7380"/>
        </w:tabs>
        <w:autoSpaceDE w:val="0"/>
        <w:autoSpaceDN w:val="0"/>
        <w:adjustRightInd w:val="0"/>
        <w:snapToGrid w:val="0"/>
        <w:spacing w:line="560" w:lineRule="exact"/>
        <w:ind w:firstLine="627" w:firstLineChars="196"/>
        <w:rPr>
          <w:rFonts w:hint="eastAsia" w:ascii="仿宋" w:hAnsi="仿宋" w:eastAsia="仿宋" w:cs="仿宋"/>
          <w:sz w:val="32"/>
          <w:szCs w:val="32"/>
          <w:lang w:val="en-US" w:eastAsia="zh-CN"/>
        </w:rPr>
      </w:pPr>
      <w:r>
        <w:rPr>
          <w:rFonts w:hint="eastAsia" w:ascii="仿宋_GB2312" w:hAnsi="仿宋" w:eastAsia="仿宋_GB2312" w:cs="仿宋"/>
          <w:color w:val="auto"/>
          <w:sz w:val="32"/>
          <w:szCs w:val="32"/>
          <w:lang w:eastAsia="zh-CN"/>
        </w:rPr>
        <w:t>截止</w:t>
      </w:r>
      <w:r>
        <w:rPr>
          <w:rFonts w:hint="eastAsia" w:ascii="仿宋_GB2312" w:hAnsi="仿宋" w:eastAsia="仿宋_GB2312" w:cs="仿宋"/>
          <w:color w:val="auto"/>
          <w:sz w:val="32"/>
          <w:szCs w:val="32"/>
          <w:lang w:val="en-US" w:eastAsia="zh-CN"/>
        </w:rPr>
        <w:t>2022年底，实有人数64人，其中行政人员34人，事业人员21人，退休人员9人。</w:t>
      </w:r>
      <w:r>
        <w:rPr>
          <w:rFonts w:hint="eastAsia" w:ascii="仿宋" w:hAnsi="仿宋" w:eastAsia="仿宋" w:cs="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仿宋" w:hAnsi="仿宋" w:eastAsia="仿宋" w:cs="仿宋"/>
          <w:sz w:val="32"/>
          <w:szCs w:val="32"/>
          <w:lang w:val="en-US" w:eastAsia="zh-CN"/>
        </w:rPr>
      </w:pPr>
      <w:r>
        <w:drawing>
          <wp:inline distT="0" distB="0" distL="0" distR="0">
            <wp:extent cx="6581775" cy="3333750"/>
            <wp:effectExtent l="0" t="0" r="9525" b="0"/>
            <wp:docPr id="2" name="图片2" descr="测试"/>
            <wp:cNvGraphicFramePr/>
            <a:graphic xmlns:a="http://schemas.openxmlformats.org/drawingml/2006/main">
              <a:graphicData uri="http://schemas.openxmlformats.org/drawingml/2006/picture">
                <pic:pic xmlns:pic="http://schemas.openxmlformats.org/drawingml/2006/picture">
                  <pic:nvPicPr>
                    <pic:cNvPr id="2" name="图片2" descr="测试"/>
                    <pic:cNvPicPr/>
                  </pic:nvPicPr>
                  <pic:blipFill>
                    <a:blip r:embed="rId4"/>
                    <a:stretch>
                      <a:fillRect/>
                    </a:stretch>
                  </pic:blipFill>
                  <pic:spPr>
                    <a:xfrm>
                      <a:off x="0" y="0"/>
                      <a:ext cx="6581775" cy="3333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五、2023年部门预算收支说明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（一）收支预算总体情况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按照综合预算的原则，本部门所有收入和支出均纳入部门预算管理。202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年本部门预算收入</w:t>
      </w:r>
      <w:r>
        <w:rPr>
          <w:rFonts w:hint="eastAsia" w:ascii="仿宋_GB2312" w:hAnsi="仿宋_GB2312" w:eastAsia="仿宋_GB2312" w:cs="仿宋_GB2312"/>
          <w:sz w:val="32"/>
          <w:szCs w:val="32"/>
          <w:lang w:val="en-US" w:eastAsia="zh-CN"/>
        </w:rPr>
        <w:t>870.42</w:t>
      </w:r>
      <w:r>
        <w:rPr>
          <w:rFonts w:hint="eastAsia" w:ascii="仿宋_GB2312" w:hAnsi="仿宋_GB2312" w:eastAsia="仿宋_GB2312" w:cs="仿宋_GB2312"/>
          <w:sz w:val="32"/>
          <w:szCs w:val="32"/>
        </w:rPr>
        <w:t>万元，其中一般公共预算拨款收入</w:t>
      </w:r>
      <w:r>
        <w:rPr>
          <w:rFonts w:hint="eastAsia" w:ascii="仿宋_GB2312" w:hAnsi="仿宋_GB2312" w:eastAsia="仿宋_GB2312" w:cs="仿宋_GB2312"/>
          <w:sz w:val="32"/>
          <w:szCs w:val="32"/>
          <w:lang w:val="en-US" w:eastAsia="zh-CN"/>
        </w:rPr>
        <w:t>870.42</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年本部门预算收入较上年增加</w:t>
      </w:r>
      <w:r>
        <w:rPr>
          <w:rFonts w:hint="eastAsia" w:ascii="仿宋_GB2312" w:hAnsi="仿宋_GB2312" w:eastAsia="仿宋_GB2312" w:cs="仿宋_GB2312"/>
          <w:sz w:val="32"/>
          <w:szCs w:val="32"/>
          <w:lang w:val="en-US" w:eastAsia="zh-CN"/>
        </w:rPr>
        <w:t>67.13</w:t>
      </w:r>
      <w:r>
        <w:rPr>
          <w:rFonts w:hint="eastAsia" w:ascii="仿宋_GB2312" w:hAnsi="仿宋_GB2312" w:eastAsia="仿宋_GB2312" w:cs="仿宋_GB2312"/>
          <w:sz w:val="32"/>
          <w:szCs w:val="32"/>
        </w:rPr>
        <w:t>万元，主要原因是</w:t>
      </w:r>
      <w:r>
        <w:rPr>
          <w:rFonts w:hint="eastAsia" w:ascii="仿宋_GB2312" w:hAnsi="??" w:eastAsia="仿宋_GB2312" w:cs="宋体"/>
          <w:color w:val="auto"/>
          <w:kern w:val="0"/>
          <w:sz w:val="32"/>
          <w:szCs w:val="32"/>
          <w:lang w:eastAsia="zh-CN"/>
        </w:rPr>
        <w:t>人员经费增加</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年本部门预算支出</w:t>
      </w:r>
      <w:r>
        <w:rPr>
          <w:rFonts w:hint="eastAsia" w:ascii="仿宋_GB2312" w:hAnsi="仿宋_GB2312" w:eastAsia="仿宋_GB2312" w:cs="仿宋_GB2312"/>
          <w:sz w:val="32"/>
          <w:szCs w:val="32"/>
          <w:lang w:val="en-US" w:eastAsia="zh-CN"/>
        </w:rPr>
        <w:t>870.42</w:t>
      </w:r>
      <w:r>
        <w:rPr>
          <w:rFonts w:hint="eastAsia" w:ascii="仿宋_GB2312" w:hAnsi="仿宋_GB2312" w:eastAsia="仿宋_GB2312" w:cs="仿宋_GB2312"/>
          <w:sz w:val="32"/>
          <w:szCs w:val="32"/>
        </w:rPr>
        <w:t>万元，其中一般公共预算拨款支出</w:t>
      </w:r>
      <w:r>
        <w:rPr>
          <w:rFonts w:hint="eastAsia" w:ascii="仿宋_GB2312" w:hAnsi="仿宋_GB2312" w:eastAsia="仿宋_GB2312" w:cs="仿宋_GB2312"/>
          <w:sz w:val="32"/>
          <w:szCs w:val="32"/>
          <w:lang w:val="en-US" w:eastAsia="zh-CN"/>
        </w:rPr>
        <w:t>870.42</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年本部门预算支出较上年增加</w:t>
      </w:r>
      <w:r>
        <w:rPr>
          <w:rFonts w:hint="eastAsia" w:ascii="仿宋_GB2312" w:hAnsi="仿宋_GB2312" w:eastAsia="仿宋_GB2312" w:cs="仿宋_GB2312"/>
          <w:sz w:val="32"/>
          <w:szCs w:val="32"/>
          <w:lang w:val="en-US" w:eastAsia="zh-CN"/>
        </w:rPr>
        <w:t>67.13</w:t>
      </w:r>
      <w:r>
        <w:rPr>
          <w:rFonts w:hint="eastAsia" w:ascii="仿宋_GB2312" w:hAnsi="仿宋_GB2312" w:eastAsia="仿宋_GB2312" w:cs="仿宋_GB2312"/>
          <w:sz w:val="32"/>
          <w:szCs w:val="32"/>
        </w:rPr>
        <w:t>万元，主要原因是</w:t>
      </w:r>
      <w:r>
        <w:rPr>
          <w:rFonts w:hint="eastAsia" w:ascii="仿宋_GB2312" w:hAnsi="??" w:eastAsia="仿宋_GB2312" w:cs="宋体"/>
          <w:color w:val="auto"/>
          <w:kern w:val="0"/>
          <w:sz w:val="32"/>
          <w:szCs w:val="32"/>
          <w:lang w:eastAsia="zh-CN"/>
        </w:rPr>
        <w:t>人员经费增加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（二）财政拨款收支情况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年本部门财政拨款收入</w:t>
      </w:r>
      <w:r>
        <w:rPr>
          <w:rFonts w:hint="eastAsia" w:ascii="仿宋_GB2312" w:hAnsi="仿宋_GB2312" w:eastAsia="仿宋_GB2312" w:cs="仿宋_GB2312"/>
          <w:sz w:val="32"/>
          <w:szCs w:val="32"/>
          <w:lang w:val="en-US" w:eastAsia="zh-CN"/>
        </w:rPr>
        <w:t>870.42</w:t>
      </w:r>
      <w:r>
        <w:rPr>
          <w:rFonts w:hint="eastAsia" w:ascii="仿宋_GB2312" w:hAnsi="仿宋_GB2312" w:eastAsia="仿宋_GB2312" w:cs="仿宋_GB2312"/>
          <w:sz w:val="32"/>
          <w:szCs w:val="32"/>
        </w:rPr>
        <w:t>万元，其中一般公共预算拨款收入</w:t>
      </w:r>
      <w:r>
        <w:rPr>
          <w:rFonts w:hint="eastAsia" w:ascii="仿宋_GB2312" w:hAnsi="仿宋_GB2312" w:eastAsia="仿宋_GB2312" w:cs="仿宋_GB2312"/>
          <w:sz w:val="32"/>
          <w:szCs w:val="32"/>
          <w:lang w:val="en-US" w:eastAsia="zh-CN"/>
        </w:rPr>
        <w:t>870.42</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年本部门财政拨款收入较上年增加</w:t>
      </w:r>
      <w:r>
        <w:rPr>
          <w:rFonts w:hint="eastAsia" w:ascii="仿宋_GB2312" w:hAnsi="仿宋_GB2312" w:eastAsia="仿宋_GB2312" w:cs="仿宋_GB2312"/>
          <w:sz w:val="32"/>
          <w:szCs w:val="32"/>
          <w:lang w:val="en-US" w:eastAsia="zh-CN"/>
        </w:rPr>
        <w:t>67.13</w:t>
      </w:r>
      <w:r>
        <w:rPr>
          <w:rFonts w:hint="eastAsia" w:ascii="仿宋_GB2312" w:hAnsi="仿宋_GB2312" w:eastAsia="仿宋_GB2312" w:cs="仿宋_GB2312"/>
          <w:sz w:val="32"/>
          <w:szCs w:val="32"/>
        </w:rPr>
        <w:t>万元，主要原因是</w:t>
      </w:r>
      <w:r>
        <w:rPr>
          <w:rFonts w:hint="eastAsia" w:ascii="仿宋_GB2312" w:hAnsi="??" w:eastAsia="仿宋_GB2312" w:cs="宋体"/>
          <w:color w:val="auto"/>
          <w:kern w:val="0"/>
          <w:sz w:val="32"/>
          <w:szCs w:val="32"/>
          <w:lang w:eastAsia="zh-CN"/>
        </w:rPr>
        <w:t>人员经费增加</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年本部门财政拨款支出</w:t>
      </w:r>
      <w:r>
        <w:rPr>
          <w:rFonts w:hint="eastAsia" w:ascii="仿宋_GB2312" w:hAnsi="仿宋_GB2312" w:eastAsia="仿宋_GB2312" w:cs="仿宋_GB2312"/>
          <w:sz w:val="32"/>
          <w:szCs w:val="32"/>
          <w:lang w:val="en-US" w:eastAsia="zh-CN"/>
        </w:rPr>
        <w:t>870.42</w:t>
      </w:r>
      <w:r>
        <w:rPr>
          <w:rFonts w:hint="eastAsia" w:ascii="仿宋_GB2312" w:hAnsi="仿宋_GB2312" w:eastAsia="仿宋_GB2312" w:cs="仿宋_GB2312"/>
          <w:sz w:val="32"/>
          <w:szCs w:val="32"/>
        </w:rPr>
        <w:t>万元，其中一般公共预算拨款支出</w:t>
      </w:r>
      <w:r>
        <w:rPr>
          <w:rFonts w:hint="eastAsia" w:ascii="仿宋_GB2312" w:hAnsi="仿宋_GB2312" w:eastAsia="仿宋_GB2312" w:cs="仿宋_GB2312"/>
          <w:sz w:val="32"/>
          <w:szCs w:val="32"/>
          <w:lang w:val="en-US" w:eastAsia="zh-CN"/>
        </w:rPr>
        <w:t>870.42万</w:t>
      </w:r>
      <w:r>
        <w:rPr>
          <w:rFonts w:hint="eastAsia" w:ascii="仿宋_GB2312" w:hAnsi="仿宋_GB2312" w:eastAsia="仿宋_GB2312" w:cs="仿宋_GB2312"/>
          <w:sz w:val="32"/>
          <w:szCs w:val="32"/>
        </w:rPr>
        <w:t>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年本部门财政拨款支出较上年增加</w:t>
      </w:r>
      <w:r>
        <w:rPr>
          <w:rFonts w:hint="eastAsia" w:ascii="仿宋_GB2312" w:hAnsi="仿宋_GB2312" w:eastAsia="仿宋_GB2312" w:cs="仿宋_GB2312"/>
          <w:sz w:val="32"/>
          <w:szCs w:val="32"/>
          <w:lang w:val="en-US" w:eastAsia="zh-CN"/>
        </w:rPr>
        <w:t>67.13</w:t>
      </w:r>
      <w:r>
        <w:rPr>
          <w:rFonts w:hint="eastAsia" w:ascii="仿宋_GB2312" w:hAnsi="仿宋_GB2312" w:eastAsia="仿宋_GB2312" w:cs="仿宋_GB2312"/>
          <w:sz w:val="32"/>
          <w:szCs w:val="32"/>
        </w:rPr>
        <w:t>万元，主要原因是</w:t>
      </w:r>
      <w:r>
        <w:rPr>
          <w:rFonts w:hint="eastAsia" w:ascii="仿宋_GB2312" w:hAnsi="??" w:eastAsia="仿宋_GB2312" w:cs="宋体"/>
          <w:color w:val="auto"/>
          <w:kern w:val="0"/>
          <w:sz w:val="32"/>
          <w:szCs w:val="32"/>
          <w:lang w:eastAsia="zh-CN"/>
        </w:rPr>
        <w:t>人员经费增加。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（三）一般公共预算拨款支出明细情况</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1、一般公共预算当年拨款规模变化情况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年本部门当年一般公共预算拨款支出</w:t>
      </w:r>
      <w:r>
        <w:rPr>
          <w:rFonts w:hint="eastAsia" w:ascii="仿宋_GB2312" w:hAnsi="仿宋_GB2312" w:eastAsia="仿宋_GB2312" w:cs="仿宋_GB2312"/>
          <w:sz w:val="32"/>
          <w:szCs w:val="32"/>
          <w:lang w:val="en-US" w:eastAsia="zh-CN"/>
        </w:rPr>
        <w:t>870.42</w:t>
      </w:r>
      <w:r>
        <w:rPr>
          <w:rFonts w:hint="eastAsia" w:ascii="仿宋_GB2312" w:hAnsi="仿宋_GB2312" w:eastAsia="仿宋_GB2312" w:cs="仿宋_GB2312"/>
          <w:sz w:val="32"/>
          <w:szCs w:val="32"/>
        </w:rPr>
        <w:t>万元，较上年增加</w:t>
      </w:r>
      <w:r>
        <w:rPr>
          <w:rFonts w:hint="eastAsia" w:ascii="仿宋_GB2312" w:hAnsi="仿宋_GB2312" w:eastAsia="仿宋_GB2312" w:cs="仿宋_GB2312"/>
          <w:sz w:val="32"/>
          <w:szCs w:val="32"/>
          <w:lang w:val="en-US" w:eastAsia="zh-CN"/>
        </w:rPr>
        <w:t>67.13</w:t>
      </w:r>
      <w:r>
        <w:rPr>
          <w:rFonts w:hint="eastAsia" w:ascii="仿宋_GB2312" w:hAnsi="仿宋_GB2312" w:eastAsia="仿宋_GB2312" w:cs="仿宋_GB2312"/>
          <w:sz w:val="32"/>
          <w:szCs w:val="32"/>
        </w:rPr>
        <w:t>万元，主要原因是</w:t>
      </w:r>
      <w:r>
        <w:rPr>
          <w:rFonts w:hint="eastAsia" w:ascii="仿宋_GB2312" w:hAnsi="??" w:eastAsia="仿宋_GB2312" w:cs="宋体"/>
          <w:color w:val="auto"/>
          <w:kern w:val="0"/>
          <w:sz w:val="32"/>
          <w:szCs w:val="32"/>
          <w:lang w:eastAsia="zh-CN"/>
        </w:rPr>
        <w:t>人员经费增加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2、支出按功能科目分类的明细情况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年本部门当年一般公共预算支出</w:t>
      </w:r>
      <w:r>
        <w:rPr>
          <w:rFonts w:hint="eastAsia" w:ascii="仿宋_GB2312" w:hAnsi="仿宋_GB2312" w:eastAsia="仿宋_GB2312" w:cs="仿宋_GB2312"/>
          <w:sz w:val="32"/>
          <w:szCs w:val="32"/>
          <w:lang w:val="en-US" w:eastAsia="zh-CN"/>
        </w:rPr>
        <w:t>870.42</w:t>
      </w:r>
      <w:r>
        <w:rPr>
          <w:rFonts w:hint="eastAsia" w:ascii="仿宋_GB2312" w:hAnsi="仿宋_GB2312" w:eastAsia="仿宋_GB2312" w:cs="仿宋_GB2312"/>
          <w:sz w:val="32"/>
          <w:szCs w:val="32"/>
        </w:rPr>
        <w:t>万元，其中：纪检监察事务（20</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672.05</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131.24</w:t>
      </w:r>
      <w:r>
        <w:rPr>
          <w:rFonts w:hint="eastAsia" w:ascii="仿宋_GB2312" w:hAnsi="仿宋_GB2312" w:eastAsia="仿宋_GB2312" w:cs="仿宋_GB2312"/>
          <w:sz w:val="32"/>
          <w:szCs w:val="32"/>
        </w:rPr>
        <w:t>万元，原因是</w:t>
      </w:r>
      <w:r>
        <w:rPr>
          <w:rFonts w:hint="eastAsia" w:ascii="仿宋_GB2312" w:hAnsi="??" w:eastAsia="仿宋_GB2312" w:cs="宋体"/>
          <w:color w:val="auto"/>
          <w:kern w:val="0"/>
          <w:sz w:val="32"/>
          <w:szCs w:val="32"/>
          <w:lang w:val="en-US" w:eastAsia="zh-CN"/>
        </w:rPr>
        <w:t>2023年将养老保险、医疗保险、住房公积金单独核算</w:t>
      </w:r>
      <w:r>
        <w:rPr>
          <w:rFonts w:hint="eastAsia" w:ascii="仿宋_GB2312" w:hAnsi="??" w:eastAsia="仿宋_GB2312" w:cs="宋体"/>
          <w:color w:val="auto"/>
          <w:kern w:val="0"/>
          <w:sz w:val="32"/>
          <w:szCs w:val="32"/>
          <w:lang w:eastAsia="zh-CN"/>
        </w:rPr>
        <w:t>；行政事业单位养老支出（20805）</w:t>
      </w:r>
      <w:r>
        <w:rPr>
          <w:rFonts w:hint="eastAsia" w:ascii="仿宋_GB2312" w:hAnsi="??" w:eastAsia="仿宋_GB2312" w:cs="宋体"/>
          <w:color w:val="auto"/>
          <w:kern w:val="0"/>
          <w:sz w:val="32"/>
          <w:szCs w:val="32"/>
          <w:lang w:val="en-US" w:eastAsia="zh-CN"/>
        </w:rPr>
        <w:t>73.76万元，较上年增加73.76万元，原因是2023年将养老保险单独核算；行政事业单位医疗（2101101）42.26万元，较上年增加42.26万元，原因是2023年将医疗保险单独核算；住房改革支出（22102）82.35万元，较上年增加82.35万元，原因是2023年将住房公积金单独核算。</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3、支出按经济科目分类的明细情况</w:t>
      </w:r>
    </w:p>
    <w:p>
      <w:pPr>
        <w:spacing w:line="560" w:lineRule="exact"/>
        <w:ind w:firstLine="648"/>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（1）按部门预算支出经济分类</w:t>
      </w:r>
      <w:r>
        <w:rPr>
          <w:rFonts w:hint="eastAsia" w:ascii="仿宋_GB2312" w:hAnsi="仿宋_GB2312" w:eastAsia="仿宋_GB2312" w:cs="仿宋_GB2312"/>
          <w:color w:val="auto"/>
          <w:sz w:val="32"/>
          <w:szCs w:val="32"/>
          <w:lang w:eastAsia="zh-CN"/>
        </w:rPr>
        <w:t>的类级科目说明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年本部门当年一般公共</w:t>
      </w:r>
      <w:r>
        <w:rPr>
          <w:rFonts w:hint="eastAsia" w:ascii="仿宋_GB2312" w:hAnsi="仿宋_GB2312" w:eastAsia="仿宋_GB2312" w:cs="仿宋_GB2312"/>
          <w:color w:val="auto"/>
          <w:sz w:val="32"/>
          <w:szCs w:val="32"/>
        </w:rPr>
        <w:t>预算支出</w:t>
      </w:r>
      <w:r>
        <w:rPr>
          <w:rFonts w:hint="eastAsia" w:ascii="仿宋_GB2312" w:hAnsi="仿宋_GB2312" w:eastAsia="仿宋_GB2312" w:cs="仿宋_GB2312"/>
          <w:sz w:val="32"/>
          <w:szCs w:val="32"/>
          <w:lang w:val="en-US" w:eastAsia="zh-CN"/>
        </w:rPr>
        <w:t>870.42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，其中：</w:t>
      </w:r>
    </w:p>
    <w:p>
      <w:pPr>
        <w:numPr>
          <w:ilvl w:val="0"/>
          <w:numId w:val="0"/>
        </w:num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工资福利支出（301）</w:t>
      </w:r>
      <w:r>
        <w:rPr>
          <w:rFonts w:hint="eastAsia" w:ascii="仿宋_GB2312" w:hAnsi="仿宋_GB2312" w:eastAsia="仿宋_GB2312" w:cs="仿宋_GB2312"/>
          <w:sz w:val="32"/>
          <w:szCs w:val="32"/>
          <w:lang w:val="en-US" w:eastAsia="zh-CN"/>
        </w:rPr>
        <w:t>694.48</w:t>
      </w:r>
      <w:r>
        <w:rPr>
          <w:rFonts w:hint="eastAsia" w:ascii="仿宋_GB2312" w:hAnsi="仿宋_GB2312" w:eastAsia="仿宋_GB2312" w:cs="仿宋_GB2312"/>
          <w:sz w:val="32"/>
          <w:szCs w:val="32"/>
        </w:rPr>
        <w:t>万元，较上年增加</w:t>
      </w:r>
      <w:r>
        <w:rPr>
          <w:rFonts w:hint="eastAsia" w:ascii="仿宋_GB2312" w:hAnsi="仿宋_GB2312" w:eastAsia="仿宋_GB2312" w:cs="仿宋_GB2312"/>
          <w:sz w:val="32"/>
          <w:szCs w:val="32"/>
          <w:lang w:val="en-US" w:eastAsia="zh-CN"/>
        </w:rPr>
        <w:t>89.65</w:t>
      </w:r>
      <w:r>
        <w:rPr>
          <w:rFonts w:hint="eastAsia" w:ascii="仿宋_GB2312" w:hAnsi="仿宋_GB2312" w:eastAsia="仿宋_GB2312" w:cs="仿宋_GB2312"/>
          <w:sz w:val="32"/>
          <w:szCs w:val="32"/>
        </w:rPr>
        <w:t>万元，原因是正常调资晋档导致人员经费支出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w:t>
      </w:r>
      <w:r>
        <w:rPr>
          <w:rFonts w:hint="eastAsia" w:ascii="仿宋_GB2312" w:hAnsi="仿宋_GB2312" w:eastAsia="仿宋_GB2312" w:cs="仿宋_GB2312"/>
          <w:sz w:val="32"/>
          <w:szCs w:val="32"/>
          <w:lang w:val="en-US" w:eastAsia="zh-CN"/>
        </w:rPr>
        <w:t>175.58</w:t>
      </w:r>
      <w:r>
        <w:rPr>
          <w:rFonts w:hint="eastAsia" w:ascii="仿宋_GB2312" w:hAnsi="仿宋_GB2312" w:eastAsia="仿宋_GB2312" w:cs="仿宋_GB2312"/>
          <w:sz w:val="32"/>
          <w:szCs w:val="32"/>
        </w:rPr>
        <w:t>万元，较上年减少</w:t>
      </w:r>
      <w:r>
        <w:rPr>
          <w:rFonts w:hint="eastAsia" w:ascii="仿宋_GB2312" w:hAnsi="仿宋_GB2312" w:eastAsia="仿宋_GB2312" w:cs="仿宋_GB2312"/>
          <w:sz w:val="32"/>
          <w:szCs w:val="32"/>
          <w:lang w:val="en-US" w:eastAsia="zh-CN"/>
        </w:rPr>
        <w:t>22.52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，原因是</w:t>
      </w:r>
      <w:r>
        <w:rPr>
          <w:rFonts w:hint="eastAsia" w:ascii="仿宋_GB2312" w:hAnsi="仿宋_GB2312" w:eastAsia="仿宋_GB2312" w:cs="仿宋_GB2312"/>
          <w:color w:val="auto"/>
          <w:sz w:val="32"/>
          <w:szCs w:val="32"/>
          <w:lang w:eastAsia="zh-CN"/>
        </w:rPr>
        <w:t>公用经费和公务用车运行维护费较上年减少</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对个人和家庭的补助支出（303）</w:t>
      </w:r>
      <w:r>
        <w:rPr>
          <w:rFonts w:hint="eastAsia" w:ascii="仿宋_GB2312" w:hAnsi="仿宋_GB2312" w:eastAsia="仿宋_GB2312" w:cs="仿宋_GB2312"/>
          <w:sz w:val="32"/>
          <w:szCs w:val="32"/>
          <w:lang w:val="en-US" w:eastAsia="zh-CN"/>
        </w:rPr>
        <w:t>0.36</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无变化。</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按照政府预算支出经济分类的类级科目说明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年本部门当年一般公共预算支出</w:t>
      </w:r>
      <w:r>
        <w:rPr>
          <w:rFonts w:hint="eastAsia" w:ascii="仿宋_GB2312" w:hAnsi="仿宋_GB2312" w:eastAsia="仿宋_GB2312" w:cs="仿宋_GB2312"/>
          <w:sz w:val="32"/>
          <w:szCs w:val="32"/>
          <w:lang w:val="en-US" w:eastAsia="zh-CN"/>
        </w:rPr>
        <w:t>870.42</w:t>
      </w:r>
      <w:r>
        <w:rPr>
          <w:rFonts w:hint="eastAsia" w:ascii="仿宋_GB2312" w:hAnsi="仿宋_GB2312" w:eastAsia="仿宋_GB2312" w:cs="仿宋_GB2312"/>
          <w:sz w:val="32"/>
          <w:szCs w:val="32"/>
        </w:rPr>
        <w:t>万元，其中：</w:t>
      </w:r>
    </w:p>
    <w:p>
      <w:pPr>
        <w:numPr>
          <w:ilvl w:val="0"/>
          <w:numId w:val="0"/>
        </w:num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工资福利支出（501）</w:t>
      </w:r>
      <w:r>
        <w:rPr>
          <w:rFonts w:hint="eastAsia" w:ascii="仿宋_GB2312" w:hAnsi="仿宋_GB2312" w:eastAsia="仿宋_GB2312" w:cs="仿宋_GB2312"/>
          <w:sz w:val="32"/>
          <w:szCs w:val="32"/>
          <w:lang w:val="en-US" w:eastAsia="zh-CN"/>
        </w:rPr>
        <w:t>694.48</w:t>
      </w:r>
      <w:r>
        <w:rPr>
          <w:rFonts w:hint="eastAsia" w:ascii="仿宋_GB2312" w:hAnsi="仿宋_GB2312" w:eastAsia="仿宋_GB2312" w:cs="仿宋_GB2312"/>
          <w:sz w:val="32"/>
          <w:szCs w:val="32"/>
        </w:rPr>
        <w:t>万元，较上年增加</w:t>
      </w:r>
      <w:r>
        <w:rPr>
          <w:rFonts w:hint="eastAsia" w:ascii="仿宋_GB2312" w:hAnsi="仿宋_GB2312" w:eastAsia="仿宋_GB2312" w:cs="仿宋_GB2312"/>
          <w:sz w:val="32"/>
          <w:szCs w:val="32"/>
          <w:lang w:val="en-US" w:eastAsia="zh-CN"/>
        </w:rPr>
        <w:t>89.65</w:t>
      </w:r>
      <w:r>
        <w:rPr>
          <w:rFonts w:hint="eastAsia" w:ascii="仿宋_GB2312" w:hAnsi="仿宋_GB2312" w:eastAsia="仿宋_GB2312" w:cs="仿宋_GB2312"/>
          <w:sz w:val="32"/>
          <w:szCs w:val="32"/>
        </w:rPr>
        <w:t>万元，原因是正常调资晋档导致人员经费</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商品和服务支出（502）</w:t>
      </w:r>
      <w:r>
        <w:rPr>
          <w:rFonts w:hint="eastAsia" w:ascii="仿宋_GB2312" w:hAnsi="仿宋_GB2312" w:eastAsia="仿宋_GB2312" w:cs="仿宋_GB2312"/>
          <w:sz w:val="32"/>
          <w:szCs w:val="32"/>
          <w:lang w:val="en-US" w:eastAsia="zh-CN"/>
        </w:rPr>
        <w:t>175.58</w:t>
      </w:r>
      <w:r>
        <w:rPr>
          <w:rFonts w:hint="eastAsia" w:ascii="仿宋_GB2312" w:hAnsi="仿宋_GB2312" w:eastAsia="仿宋_GB2312" w:cs="仿宋_GB2312"/>
          <w:sz w:val="32"/>
          <w:szCs w:val="32"/>
        </w:rPr>
        <w:t>万元，较上年减少</w:t>
      </w:r>
      <w:r>
        <w:rPr>
          <w:rFonts w:hint="eastAsia" w:ascii="仿宋_GB2312" w:hAnsi="仿宋_GB2312" w:eastAsia="仿宋_GB2312" w:cs="仿宋_GB2312"/>
          <w:sz w:val="32"/>
          <w:szCs w:val="32"/>
          <w:lang w:val="en-US" w:eastAsia="zh-CN"/>
        </w:rPr>
        <w:t>22.52</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eastAsia="zh-CN"/>
        </w:rPr>
        <w:t>公用经费和公务用车运行维护费较上年减少</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对个人和家庭的补助支出（509）0.36万元，</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无变化。</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20</w:t>
      </w: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年结转财政资金一般公共预算拨款支出情况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年结转的一般公共预算拨款资金支出。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（四）政府性基金预算支出情况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当年政府性基金预算支出情况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本部门无当年政府性基金预算收支，并已公开空表。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上年结转政府性基金预算支出情况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年结转的政府性基金预算拨款支出。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（五）国有资本经营预算拨款收支情况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本部门无当年国有资本经营预算收支，并</w:t>
      </w:r>
      <w:r>
        <w:rPr>
          <w:rFonts w:hint="eastAsia" w:ascii="仿宋_GB2312" w:hAnsi="仿宋_GB2312" w:eastAsia="仿宋_GB2312" w:cs="仿宋_GB2312"/>
          <w:sz w:val="32"/>
          <w:szCs w:val="32"/>
          <w:lang w:eastAsia="zh-CN"/>
        </w:rPr>
        <w:t>已公开空表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六、部门预算“三公”经费等预算情况说明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年一般公共预算“三公”经费预算支出</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21.2万元</w:t>
      </w:r>
      <w:r>
        <w:rPr>
          <w:rFonts w:hint="eastAsia" w:ascii="仿宋_GB2312" w:hAnsi="仿宋_GB2312" w:eastAsia="仿宋_GB2312" w:cs="仿宋_GB2312"/>
          <w:sz w:val="32"/>
          <w:szCs w:val="32"/>
        </w:rPr>
        <w:t>。其中：公务接待费</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无变化</w:t>
      </w:r>
      <w:r>
        <w:rPr>
          <w:rFonts w:hint="eastAsia" w:ascii="仿宋_GB2312" w:hAnsi="仿宋_GB2312" w:eastAsia="仿宋_GB2312" w:cs="仿宋_GB2312"/>
          <w:sz w:val="32"/>
          <w:szCs w:val="32"/>
        </w:rPr>
        <w:t>；公务用车运行费</w:t>
      </w:r>
      <w:r>
        <w:rPr>
          <w:rFonts w:hint="eastAsia" w:ascii="仿宋_GB2312" w:hAnsi="仿宋_GB2312" w:eastAsia="仿宋_GB2312" w:cs="仿宋_GB2312"/>
          <w:sz w:val="32"/>
          <w:szCs w:val="32"/>
          <w:lang w:val="en-US" w:eastAsia="zh-CN"/>
        </w:rPr>
        <w:t>16.8</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3.2万元</w:t>
      </w:r>
      <w:r>
        <w:rPr>
          <w:rFonts w:hint="eastAsia" w:ascii="仿宋_GB2312" w:hAnsi="仿宋_GB2312" w:eastAsia="仿宋_GB2312" w:cs="仿宋_GB2312"/>
          <w:sz w:val="32"/>
          <w:szCs w:val="32"/>
          <w:lang w:eastAsia="zh-CN"/>
        </w:rPr>
        <w:t>；原因是</w:t>
      </w:r>
      <w:r>
        <w:rPr>
          <w:rFonts w:hint="eastAsia" w:ascii="仿宋_GB2312" w:hAnsi="仿宋_GB2312" w:eastAsia="仿宋_GB2312" w:cs="仿宋_GB2312"/>
          <w:sz w:val="32"/>
          <w:szCs w:val="32"/>
        </w:rPr>
        <w:t>坚持厉行勤俭节约，严格控制“三公”经费支出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公务用车购置费</w:t>
      </w:r>
      <w:r>
        <w:rPr>
          <w:rFonts w:hint="eastAsia" w:ascii="仿宋_GB2312" w:hAnsi="仿宋_GB2312" w:eastAsia="仿宋_GB2312" w:cs="仿宋_GB2312"/>
          <w:sz w:val="32"/>
          <w:szCs w:val="32"/>
          <w:lang w:val="en-US" w:eastAsia="zh-CN"/>
        </w:rPr>
        <w:t>0万元，较上年减少18万元，原因是2023年无购置公务用车预算安排。2023年</w:t>
      </w:r>
      <w:bookmarkStart w:id="0" w:name="_GoBack"/>
      <w:bookmarkEnd w:id="0"/>
      <w:r>
        <w:rPr>
          <w:rFonts w:hint="eastAsia" w:ascii="仿宋_GB2312" w:hAnsi="仿宋_GB2312" w:eastAsia="仿宋_GB2312" w:cs="仿宋_GB2312"/>
          <w:sz w:val="32"/>
          <w:szCs w:val="32"/>
          <w:lang w:val="en-US" w:eastAsia="zh-CN"/>
        </w:rPr>
        <w:t>本部门无会议费和培训费支出。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年结转的财政拨款“三公”经费支出。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七、部门国有资产占有使用及资产购置情况说明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年底，所属预算单位共有车辆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辆，单价20万元以上的设备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年当年部门预算安排购置车辆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辆；安排购置单价20万元以上的设备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年结转的财政拨款支出资产购置。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八、部门政府采购情况说明</w:t>
      </w:r>
    </w:p>
    <w:p>
      <w:pPr>
        <w:numPr>
          <w:ilvl w:val="0"/>
          <w:numId w:val="0"/>
        </w:numPr>
        <w:autoSpaceDE w:val="0"/>
        <w:autoSpaceDN w:val="0"/>
        <w:adjustRightIn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年无政府采购预算，并已公开空表。</w:t>
      </w:r>
      <w:r>
        <w:rPr>
          <w:rFonts w:hint="eastAsia" w:ascii="仿宋_GB2312" w:hAnsi="仿宋_GB2312" w:eastAsia="仿宋_GB2312" w:cs="仿宋_GB2312"/>
          <w:color w:val="auto"/>
          <w:sz w:val="32"/>
          <w:szCs w:val="32"/>
        </w:rPr>
        <w:t>但存在</w:t>
      </w:r>
      <w:r>
        <w:rPr>
          <w:rFonts w:hint="eastAsia" w:ascii="仿宋_GB2312" w:hAnsi="仿宋_GB2312" w:eastAsia="仿宋_GB2312" w:cs="仿宋_GB2312"/>
          <w:color w:val="auto"/>
          <w:sz w:val="32"/>
          <w:szCs w:val="32"/>
          <w:lang w:eastAsia="zh-CN"/>
        </w:rPr>
        <w:t>用专项经费</w:t>
      </w:r>
      <w:r>
        <w:rPr>
          <w:rFonts w:hint="eastAsia" w:ascii="仿宋_GB2312" w:hAnsi="仿宋_GB2312" w:eastAsia="仿宋_GB2312" w:cs="仿宋_GB2312"/>
          <w:color w:val="auto"/>
          <w:sz w:val="32"/>
          <w:szCs w:val="32"/>
        </w:rPr>
        <w:t>购买办公设备等需采购情况。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年结转的政府采购资金支出。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九、部门预算绩效目标说明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年本部门专项业务经费绩效目标管理全覆盖，涉及当年一般公共预算拨款</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万元,当年政府性基金预算拨款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万元，当年国有资本经营预算拨款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万元（详见公开报表中的绩效目标表）。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年结转的财政拨款支出涉及的绩效目标管理。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十、机关运行经费安排说明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本部门当年机关运行经费预算安排</w:t>
      </w:r>
      <w:r>
        <w:rPr>
          <w:rFonts w:hint="eastAsia" w:ascii="仿宋_GB2312" w:hAnsi="仿宋_GB2312" w:eastAsia="仿宋_GB2312" w:cs="仿宋_GB2312"/>
          <w:sz w:val="32"/>
          <w:szCs w:val="32"/>
          <w:lang w:val="en-US" w:eastAsia="zh-CN"/>
        </w:rPr>
        <w:t>175.58</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94.46</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2023年将专项业务经费合并计入机关运行经费</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年结转的财政拨款机关运行经费支出。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十一、专业名词解释</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widowControl/>
        <w:snapToGrid w:val="0"/>
        <w:spacing w:line="500" w:lineRule="atLeast"/>
        <w:ind w:firstLine="640" w:firstLineChars="200"/>
        <w:jc w:val="left"/>
        <w:rPr>
          <w:rFonts w:hint="default" w:ascii="仿宋" w:hAnsi="仿宋" w:eastAsia="仿宋" w:cs="仿宋"/>
          <w:sz w:val="32"/>
          <w:szCs w:val="32"/>
          <w:lang w:val="en-US" w:eastAsia="zh-CN"/>
        </w:rPr>
      </w:pPr>
      <w:r>
        <w:rPr>
          <w:rFonts w:hint="eastAsia" w:ascii="仿宋_GB2312" w:hAnsi="仿宋_GB2312" w:eastAsia="仿宋_GB2312" w:cs="仿宋_GB2312"/>
          <w:sz w:val="32"/>
          <w:szCs w:val="32"/>
        </w:rPr>
        <w:t>2.</w:t>
      </w:r>
      <w:r>
        <w:rPr>
          <w:rFonts w:hint="eastAsia" w:ascii="楷体" w:hAnsi="楷体" w:eastAsia="楷体" w:cs="楷体"/>
          <w:bCs/>
          <w:color w:val="auto"/>
          <w:kern w:val="0"/>
          <w:sz w:val="32"/>
          <w:szCs w:val="32"/>
        </w:rPr>
        <w:t>“</w:t>
      </w:r>
      <w:r>
        <w:rPr>
          <w:rFonts w:hint="eastAsia" w:ascii="仿宋_GB2312" w:hAnsi="仿宋_GB2312" w:eastAsia="仿宋_GB2312" w:cs="仿宋_GB2312"/>
          <w:sz w:val="32"/>
          <w:szCs w:val="32"/>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宋体" w:hAnsi="宋体" w:eastAsia="宋体" w:cs="宋体"/>
          <w:b/>
          <w:bCs/>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附件：中共镇坪县纪律检查委员会办公室</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预算</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宋体" w:hAnsi="宋体" w:eastAsia="宋体" w:cs="宋体"/>
          <w:b/>
          <w:bCs/>
          <w:sz w:val="28"/>
          <w:szCs w:val="28"/>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3EF3"/>
    <w:multiLevelType w:val="singleLevel"/>
    <w:tmpl w:val="0D7B3EF3"/>
    <w:lvl w:ilvl="0" w:tentative="0">
      <w:start w:val="2"/>
      <w:numFmt w:val="decimal"/>
      <w:suff w:val="nothing"/>
      <w:lvlText w:val="（%1）"/>
      <w:lvlJc w:val="left"/>
    </w:lvl>
  </w:abstractNum>
  <w:abstractNum w:abstractNumId="1">
    <w:nsid w:val="4C3FCDA2"/>
    <w:multiLevelType w:val="singleLevel"/>
    <w:tmpl w:val="4C3FCDA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00C"/>
    <w:rsid w:val="00817C7C"/>
    <w:rsid w:val="00CE11C6"/>
    <w:rsid w:val="00E57791"/>
    <w:rsid w:val="00F13B71"/>
    <w:rsid w:val="00F86BD8"/>
    <w:rsid w:val="015358A1"/>
    <w:rsid w:val="0169037A"/>
    <w:rsid w:val="019A37DB"/>
    <w:rsid w:val="01AC0A4B"/>
    <w:rsid w:val="01DF2BB7"/>
    <w:rsid w:val="01ED29DF"/>
    <w:rsid w:val="0209026D"/>
    <w:rsid w:val="0256422C"/>
    <w:rsid w:val="025830ED"/>
    <w:rsid w:val="02E940E4"/>
    <w:rsid w:val="03295794"/>
    <w:rsid w:val="03347010"/>
    <w:rsid w:val="037B747C"/>
    <w:rsid w:val="03AC5C73"/>
    <w:rsid w:val="03C51AA4"/>
    <w:rsid w:val="03F03CCE"/>
    <w:rsid w:val="042123E7"/>
    <w:rsid w:val="04671024"/>
    <w:rsid w:val="050C7A05"/>
    <w:rsid w:val="05A6512B"/>
    <w:rsid w:val="063A2179"/>
    <w:rsid w:val="06535650"/>
    <w:rsid w:val="06555A5A"/>
    <w:rsid w:val="0753082F"/>
    <w:rsid w:val="07600B39"/>
    <w:rsid w:val="07632917"/>
    <w:rsid w:val="07956EB7"/>
    <w:rsid w:val="0877497F"/>
    <w:rsid w:val="08AC10A9"/>
    <w:rsid w:val="08DA2EA3"/>
    <w:rsid w:val="092F4832"/>
    <w:rsid w:val="097F3883"/>
    <w:rsid w:val="09821A03"/>
    <w:rsid w:val="0A391333"/>
    <w:rsid w:val="0AA50E2F"/>
    <w:rsid w:val="0AA6727C"/>
    <w:rsid w:val="0AC05463"/>
    <w:rsid w:val="0AD97118"/>
    <w:rsid w:val="0AEE1997"/>
    <w:rsid w:val="0B0259FF"/>
    <w:rsid w:val="0B115838"/>
    <w:rsid w:val="0B420AEA"/>
    <w:rsid w:val="0BBF2E48"/>
    <w:rsid w:val="0BC70C0A"/>
    <w:rsid w:val="0BC817E1"/>
    <w:rsid w:val="0BCE6852"/>
    <w:rsid w:val="0BEA54A6"/>
    <w:rsid w:val="0C061230"/>
    <w:rsid w:val="0C284A48"/>
    <w:rsid w:val="0C3D305A"/>
    <w:rsid w:val="0C3D3A44"/>
    <w:rsid w:val="0CB963C1"/>
    <w:rsid w:val="0D247F78"/>
    <w:rsid w:val="0D2E4E0F"/>
    <w:rsid w:val="0D3C0CD1"/>
    <w:rsid w:val="0DEB13DD"/>
    <w:rsid w:val="0E0C1122"/>
    <w:rsid w:val="0E1A5A09"/>
    <w:rsid w:val="0E797AC2"/>
    <w:rsid w:val="0E7B41E7"/>
    <w:rsid w:val="0EA83E98"/>
    <w:rsid w:val="0F081333"/>
    <w:rsid w:val="0F1008A4"/>
    <w:rsid w:val="0F1B056F"/>
    <w:rsid w:val="0F566B52"/>
    <w:rsid w:val="0FEC0C91"/>
    <w:rsid w:val="0FF5179F"/>
    <w:rsid w:val="10883F67"/>
    <w:rsid w:val="10946959"/>
    <w:rsid w:val="11471180"/>
    <w:rsid w:val="118A09AF"/>
    <w:rsid w:val="11B3097A"/>
    <w:rsid w:val="11C346FF"/>
    <w:rsid w:val="11F0044E"/>
    <w:rsid w:val="12082FE5"/>
    <w:rsid w:val="129E1223"/>
    <w:rsid w:val="12B7265B"/>
    <w:rsid w:val="12F8536A"/>
    <w:rsid w:val="135107D4"/>
    <w:rsid w:val="13C723C5"/>
    <w:rsid w:val="13E75309"/>
    <w:rsid w:val="1416199A"/>
    <w:rsid w:val="14A35726"/>
    <w:rsid w:val="151F6E6D"/>
    <w:rsid w:val="153935D8"/>
    <w:rsid w:val="154F1B9F"/>
    <w:rsid w:val="15B95A59"/>
    <w:rsid w:val="15C8778C"/>
    <w:rsid w:val="16150B7E"/>
    <w:rsid w:val="16264D1F"/>
    <w:rsid w:val="16BB0A11"/>
    <w:rsid w:val="16DD1868"/>
    <w:rsid w:val="171667D3"/>
    <w:rsid w:val="17424B58"/>
    <w:rsid w:val="17910A90"/>
    <w:rsid w:val="17A125AD"/>
    <w:rsid w:val="17E34984"/>
    <w:rsid w:val="181F4C6E"/>
    <w:rsid w:val="18410DA8"/>
    <w:rsid w:val="18680801"/>
    <w:rsid w:val="187C632C"/>
    <w:rsid w:val="18C97953"/>
    <w:rsid w:val="18D8782D"/>
    <w:rsid w:val="18EB2595"/>
    <w:rsid w:val="19055D69"/>
    <w:rsid w:val="19141913"/>
    <w:rsid w:val="191750EC"/>
    <w:rsid w:val="1960119B"/>
    <w:rsid w:val="19942E61"/>
    <w:rsid w:val="19B02787"/>
    <w:rsid w:val="1A2F0955"/>
    <w:rsid w:val="1A620741"/>
    <w:rsid w:val="1AD53E01"/>
    <w:rsid w:val="1AE02592"/>
    <w:rsid w:val="1B0165C9"/>
    <w:rsid w:val="1B092C9F"/>
    <w:rsid w:val="1B332B6A"/>
    <w:rsid w:val="1B5A5061"/>
    <w:rsid w:val="1B8E63BA"/>
    <w:rsid w:val="1BC933DC"/>
    <w:rsid w:val="1C097D46"/>
    <w:rsid w:val="1C320E66"/>
    <w:rsid w:val="1C5A1287"/>
    <w:rsid w:val="1CB164B9"/>
    <w:rsid w:val="1D02380A"/>
    <w:rsid w:val="1D9A7B94"/>
    <w:rsid w:val="1E1B3D38"/>
    <w:rsid w:val="1E48774E"/>
    <w:rsid w:val="1E6B3FC4"/>
    <w:rsid w:val="1E7C7380"/>
    <w:rsid w:val="1EA123DE"/>
    <w:rsid w:val="1EA50D3B"/>
    <w:rsid w:val="1ED0381D"/>
    <w:rsid w:val="1EDE6EF7"/>
    <w:rsid w:val="1F474DE3"/>
    <w:rsid w:val="1F59183B"/>
    <w:rsid w:val="1F72323A"/>
    <w:rsid w:val="1F9E1EE8"/>
    <w:rsid w:val="1FCD5494"/>
    <w:rsid w:val="200710B0"/>
    <w:rsid w:val="201947E5"/>
    <w:rsid w:val="20455988"/>
    <w:rsid w:val="2085380F"/>
    <w:rsid w:val="20B42D9D"/>
    <w:rsid w:val="213925E9"/>
    <w:rsid w:val="21482EC5"/>
    <w:rsid w:val="21621941"/>
    <w:rsid w:val="21732A0C"/>
    <w:rsid w:val="21B01310"/>
    <w:rsid w:val="221D3069"/>
    <w:rsid w:val="2277624F"/>
    <w:rsid w:val="227F4EDE"/>
    <w:rsid w:val="22AC3736"/>
    <w:rsid w:val="231E0E86"/>
    <w:rsid w:val="23773224"/>
    <w:rsid w:val="237C370A"/>
    <w:rsid w:val="23B3277C"/>
    <w:rsid w:val="23B9674A"/>
    <w:rsid w:val="242B3817"/>
    <w:rsid w:val="246D21D5"/>
    <w:rsid w:val="24733F80"/>
    <w:rsid w:val="24BD2F2C"/>
    <w:rsid w:val="251C5F5A"/>
    <w:rsid w:val="25525D80"/>
    <w:rsid w:val="25993D1B"/>
    <w:rsid w:val="25994027"/>
    <w:rsid w:val="259B2951"/>
    <w:rsid w:val="25C13345"/>
    <w:rsid w:val="25C26257"/>
    <w:rsid w:val="26193912"/>
    <w:rsid w:val="26977E3C"/>
    <w:rsid w:val="26A3260F"/>
    <w:rsid w:val="26B16FBE"/>
    <w:rsid w:val="26CA57C0"/>
    <w:rsid w:val="26E94B19"/>
    <w:rsid w:val="27192607"/>
    <w:rsid w:val="279F1274"/>
    <w:rsid w:val="28856A2D"/>
    <w:rsid w:val="2886733F"/>
    <w:rsid w:val="28B974D7"/>
    <w:rsid w:val="28CD2EC6"/>
    <w:rsid w:val="28CE1906"/>
    <w:rsid w:val="29995172"/>
    <w:rsid w:val="29AC1283"/>
    <w:rsid w:val="29D53111"/>
    <w:rsid w:val="2AA47CD5"/>
    <w:rsid w:val="2ADC1299"/>
    <w:rsid w:val="2AE757FB"/>
    <w:rsid w:val="2BD81239"/>
    <w:rsid w:val="2BE56461"/>
    <w:rsid w:val="2BE75DCA"/>
    <w:rsid w:val="2BF85692"/>
    <w:rsid w:val="2C0256C6"/>
    <w:rsid w:val="2C522B76"/>
    <w:rsid w:val="2CE81BC0"/>
    <w:rsid w:val="2CF3789E"/>
    <w:rsid w:val="2D0D3281"/>
    <w:rsid w:val="2D0D5C2B"/>
    <w:rsid w:val="2D9A478D"/>
    <w:rsid w:val="2DCD77AA"/>
    <w:rsid w:val="2E032569"/>
    <w:rsid w:val="2E0B249C"/>
    <w:rsid w:val="2E193A2F"/>
    <w:rsid w:val="2E3738D4"/>
    <w:rsid w:val="2E803BB2"/>
    <w:rsid w:val="2EF23A77"/>
    <w:rsid w:val="2F560F80"/>
    <w:rsid w:val="2F98708D"/>
    <w:rsid w:val="301F5C98"/>
    <w:rsid w:val="30AF76EF"/>
    <w:rsid w:val="30DC78E7"/>
    <w:rsid w:val="31DB385B"/>
    <w:rsid w:val="31DD756F"/>
    <w:rsid w:val="32162B6A"/>
    <w:rsid w:val="322466F2"/>
    <w:rsid w:val="322B447F"/>
    <w:rsid w:val="32A8762A"/>
    <w:rsid w:val="33011313"/>
    <w:rsid w:val="337E2856"/>
    <w:rsid w:val="33966C57"/>
    <w:rsid w:val="33D0750F"/>
    <w:rsid w:val="33EC2CEC"/>
    <w:rsid w:val="342F5C51"/>
    <w:rsid w:val="343F1D23"/>
    <w:rsid w:val="346F2A37"/>
    <w:rsid w:val="353360CA"/>
    <w:rsid w:val="35C423A1"/>
    <w:rsid w:val="35FC1049"/>
    <w:rsid w:val="36130651"/>
    <w:rsid w:val="36256A03"/>
    <w:rsid w:val="36384582"/>
    <w:rsid w:val="366D5ED8"/>
    <w:rsid w:val="37463827"/>
    <w:rsid w:val="37624231"/>
    <w:rsid w:val="37B3535F"/>
    <w:rsid w:val="37DD7F65"/>
    <w:rsid w:val="37E345F1"/>
    <w:rsid w:val="37E52450"/>
    <w:rsid w:val="3810606A"/>
    <w:rsid w:val="385B7F48"/>
    <w:rsid w:val="394360F5"/>
    <w:rsid w:val="39D36D72"/>
    <w:rsid w:val="39F23E7D"/>
    <w:rsid w:val="39F27F2D"/>
    <w:rsid w:val="3A296DB0"/>
    <w:rsid w:val="3A6B5F94"/>
    <w:rsid w:val="3A8C3EE7"/>
    <w:rsid w:val="3B230497"/>
    <w:rsid w:val="3B3B1B9E"/>
    <w:rsid w:val="3B3B3FFE"/>
    <w:rsid w:val="3BAB75F8"/>
    <w:rsid w:val="3C3F6DEC"/>
    <w:rsid w:val="3C4D288E"/>
    <w:rsid w:val="3C9F3019"/>
    <w:rsid w:val="3CCF4230"/>
    <w:rsid w:val="3CD8486C"/>
    <w:rsid w:val="3D5247A3"/>
    <w:rsid w:val="3DB85B85"/>
    <w:rsid w:val="3DC7716C"/>
    <w:rsid w:val="3E2D6F7B"/>
    <w:rsid w:val="3E2F3824"/>
    <w:rsid w:val="3E8C59E9"/>
    <w:rsid w:val="3EA143D4"/>
    <w:rsid w:val="3EA47316"/>
    <w:rsid w:val="3EA97755"/>
    <w:rsid w:val="3F093323"/>
    <w:rsid w:val="3FAF3CF4"/>
    <w:rsid w:val="3FF352DA"/>
    <w:rsid w:val="40222777"/>
    <w:rsid w:val="40302CD6"/>
    <w:rsid w:val="40453022"/>
    <w:rsid w:val="406D7247"/>
    <w:rsid w:val="415C72B5"/>
    <w:rsid w:val="41772DBC"/>
    <w:rsid w:val="419817D0"/>
    <w:rsid w:val="41A526D8"/>
    <w:rsid w:val="41E9687E"/>
    <w:rsid w:val="41EB27B6"/>
    <w:rsid w:val="424E670D"/>
    <w:rsid w:val="42BD2DEB"/>
    <w:rsid w:val="431C5459"/>
    <w:rsid w:val="43FE04A3"/>
    <w:rsid w:val="44541F37"/>
    <w:rsid w:val="44FC03BC"/>
    <w:rsid w:val="45036889"/>
    <w:rsid w:val="45251B69"/>
    <w:rsid w:val="45332FC5"/>
    <w:rsid w:val="456152FB"/>
    <w:rsid w:val="464C4E80"/>
    <w:rsid w:val="466C4C60"/>
    <w:rsid w:val="467E4E58"/>
    <w:rsid w:val="46EF2A42"/>
    <w:rsid w:val="477A0D44"/>
    <w:rsid w:val="482439FF"/>
    <w:rsid w:val="484E10F7"/>
    <w:rsid w:val="485A4E13"/>
    <w:rsid w:val="48915554"/>
    <w:rsid w:val="490F3BE0"/>
    <w:rsid w:val="4928263A"/>
    <w:rsid w:val="49346E1F"/>
    <w:rsid w:val="494C5C3E"/>
    <w:rsid w:val="498507CF"/>
    <w:rsid w:val="49C71BF8"/>
    <w:rsid w:val="49DB1DA7"/>
    <w:rsid w:val="49EA7890"/>
    <w:rsid w:val="4A2E50B4"/>
    <w:rsid w:val="4A737AF5"/>
    <w:rsid w:val="4AFE0340"/>
    <w:rsid w:val="4B3F51E4"/>
    <w:rsid w:val="4B657062"/>
    <w:rsid w:val="4B850273"/>
    <w:rsid w:val="4C026A6E"/>
    <w:rsid w:val="4C283ECA"/>
    <w:rsid w:val="4C6858B3"/>
    <w:rsid w:val="4C6E011F"/>
    <w:rsid w:val="4CA115D6"/>
    <w:rsid w:val="4D2B0CA3"/>
    <w:rsid w:val="4D6B28A0"/>
    <w:rsid w:val="4D9A1F51"/>
    <w:rsid w:val="4DD1134A"/>
    <w:rsid w:val="4DE84C9C"/>
    <w:rsid w:val="4DFE1F86"/>
    <w:rsid w:val="4E2504EC"/>
    <w:rsid w:val="4E840476"/>
    <w:rsid w:val="4ED70661"/>
    <w:rsid w:val="4F310148"/>
    <w:rsid w:val="4F3E246B"/>
    <w:rsid w:val="4F717496"/>
    <w:rsid w:val="4F822C9D"/>
    <w:rsid w:val="4FC65972"/>
    <w:rsid w:val="50276538"/>
    <w:rsid w:val="502C52CD"/>
    <w:rsid w:val="50946C81"/>
    <w:rsid w:val="50AB6517"/>
    <w:rsid w:val="512131A2"/>
    <w:rsid w:val="51470A03"/>
    <w:rsid w:val="516A4FB3"/>
    <w:rsid w:val="51C856CC"/>
    <w:rsid w:val="51F65B1F"/>
    <w:rsid w:val="521A4417"/>
    <w:rsid w:val="52CC56D8"/>
    <w:rsid w:val="52EA27FA"/>
    <w:rsid w:val="5311421D"/>
    <w:rsid w:val="532E19FB"/>
    <w:rsid w:val="533327CB"/>
    <w:rsid w:val="534D15B8"/>
    <w:rsid w:val="537B4E7C"/>
    <w:rsid w:val="53952C3A"/>
    <w:rsid w:val="53BA12E3"/>
    <w:rsid w:val="53BC61C6"/>
    <w:rsid w:val="53DD1C7A"/>
    <w:rsid w:val="54EB503E"/>
    <w:rsid w:val="553A06B6"/>
    <w:rsid w:val="55552624"/>
    <w:rsid w:val="556671D1"/>
    <w:rsid w:val="556F3516"/>
    <w:rsid w:val="55842728"/>
    <w:rsid w:val="55AE7511"/>
    <w:rsid w:val="55C92133"/>
    <w:rsid w:val="55EE6CB4"/>
    <w:rsid w:val="562E6199"/>
    <w:rsid w:val="56623216"/>
    <w:rsid w:val="57205805"/>
    <w:rsid w:val="57221542"/>
    <w:rsid w:val="57654D9E"/>
    <w:rsid w:val="579A73D0"/>
    <w:rsid w:val="57DE5F38"/>
    <w:rsid w:val="582A051D"/>
    <w:rsid w:val="58365A33"/>
    <w:rsid w:val="58474568"/>
    <w:rsid w:val="58782A3A"/>
    <w:rsid w:val="58D041BE"/>
    <w:rsid w:val="58D7523F"/>
    <w:rsid w:val="59403102"/>
    <w:rsid w:val="5A2E77B0"/>
    <w:rsid w:val="5A680DB8"/>
    <w:rsid w:val="5A8F6603"/>
    <w:rsid w:val="5B26568A"/>
    <w:rsid w:val="5BA5743E"/>
    <w:rsid w:val="5C144EDC"/>
    <w:rsid w:val="5C41710B"/>
    <w:rsid w:val="5C56716A"/>
    <w:rsid w:val="5CBB387E"/>
    <w:rsid w:val="5D3A3A85"/>
    <w:rsid w:val="5D4E61E9"/>
    <w:rsid w:val="5D840537"/>
    <w:rsid w:val="5DFF123C"/>
    <w:rsid w:val="5E8B38D3"/>
    <w:rsid w:val="5EC657DB"/>
    <w:rsid w:val="5EC76337"/>
    <w:rsid w:val="5F6647E2"/>
    <w:rsid w:val="5FA95A4A"/>
    <w:rsid w:val="5FBD71FB"/>
    <w:rsid w:val="60406BEA"/>
    <w:rsid w:val="60CA4AE0"/>
    <w:rsid w:val="61156B4C"/>
    <w:rsid w:val="61B34AA8"/>
    <w:rsid w:val="62086EF2"/>
    <w:rsid w:val="62115B05"/>
    <w:rsid w:val="6264243B"/>
    <w:rsid w:val="6290516E"/>
    <w:rsid w:val="62B820F9"/>
    <w:rsid w:val="631B3431"/>
    <w:rsid w:val="632E70DC"/>
    <w:rsid w:val="63BE25E3"/>
    <w:rsid w:val="640B356D"/>
    <w:rsid w:val="646F76DC"/>
    <w:rsid w:val="6471725A"/>
    <w:rsid w:val="64E14BAA"/>
    <w:rsid w:val="655B2797"/>
    <w:rsid w:val="65715A32"/>
    <w:rsid w:val="65965E56"/>
    <w:rsid w:val="659F6980"/>
    <w:rsid w:val="663F4DEA"/>
    <w:rsid w:val="667A498A"/>
    <w:rsid w:val="669C57AF"/>
    <w:rsid w:val="669D4B7B"/>
    <w:rsid w:val="66C72DC6"/>
    <w:rsid w:val="66C95950"/>
    <w:rsid w:val="66DE0E97"/>
    <w:rsid w:val="674212D6"/>
    <w:rsid w:val="67456CD8"/>
    <w:rsid w:val="676D34EB"/>
    <w:rsid w:val="678B29FA"/>
    <w:rsid w:val="678D6A6D"/>
    <w:rsid w:val="67F475F0"/>
    <w:rsid w:val="682C696E"/>
    <w:rsid w:val="683C4300"/>
    <w:rsid w:val="685E2B9F"/>
    <w:rsid w:val="68CE1088"/>
    <w:rsid w:val="69381D28"/>
    <w:rsid w:val="69404562"/>
    <w:rsid w:val="694A7017"/>
    <w:rsid w:val="6959071D"/>
    <w:rsid w:val="699B7E66"/>
    <w:rsid w:val="69E353EA"/>
    <w:rsid w:val="6A280AEF"/>
    <w:rsid w:val="6A5228EE"/>
    <w:rsid w:val="6A5D4D68"/>
    <w:rsid w:val="6B0E0D59"/>
    <w:rsid w:val="6B5C3B33"/>
    <w:rsid w:val="6BE5385D"/>
    <w:rsid w:val="6BF71691"/>
    <w:rsid w:val="6C0C625C"/>
    <w:rsid w:val="6C6B29CE"/>
    <w:rsid w:val="6C944F20"/>
    <w:rsid w:val="6CC658B0"/>
    <w:rsid w:val="6D273C74"/>
    <w:rsid w:val="6D6E4A3B"/>
    <w:rsid w:val="6D9C4121"/>
    <w:rsid w:val="6DCA4784"/>
    <w:rsid w:val="6DCB1BF8"/>
    <w:rsid w:val="6DD71A20"/>
    <w:rsid w:val="6DFF6B64"/>
    <w:rsid w:val="6E536520"/>
    <w:rsid w:val="6E770F59"/>
    <w:rsid w:val="6F137CCD"/>
    <w:rsid w:val="6F2067D0"/>
    <w:rsid w:val="6F211AA0"/>
    <w:rsid w:val="6F333079"/>
    <w:rsid w:val="6F5813C5"/>
    <w:rsid w:val="6F5D54F1"/>
    <w:rsid w:val="6F883E6F"/>
    <w:rsid w:val="6FBF1A0F"/>
    <w:rsid w:val="6FDE0859"/>
    <w:rsid w:val="70717DA5"/>
    <w:rsid w:val="70E6284C"/>
    <w:rsid w:val="71381C3F"/>
    <w:rsid w:val="71501558"/>
    <w:rsid w:val="71A75E98"/>
    <w:rsid w:val="72043BFE"/>
    <w:rsid w:val="72142CEE"/>
    <w:rsid w:val="721826BF"/>
    <w:rsid w:val="729B1B20"/>
    <w:rsid w:val="72B97FAE"/>
    <w:rsid w:val="72CF38C3"/>
    <w:rsid w:val="72E557B9"/>
    <w:rsid w:val="73A500E4"/>
    <w:rsid w:val="73E41056"/>
    <w:rsid w:val="742F7DF6"/>
    <w:rsid w:val="74512ED0"/>
    <w:rsid w:val="74A27CCB"/>
    <w:rsid w:val="74F00DA8"/>
    <w:rsid w:val="7511010D"/>
    <w:rsid w:val="754F73CA"/>
    <w:rsid w:val="7569055C"/>
    <w:rsid w:val="75AB0E66"/>
    <w:rsid w:val="76423651"/>
    <w:rsid w:val="765319EE"/>
    <w:rsid w:val="767D6E87"/>
    <w:rsid w:val="76CB2469"/>
    <w:rsid w:val="76E2611D"/>
    <w:rsid w:val="772B2E52"/>
    <w:rsid w:val="7758619D"/>
    <w:rsid w:val="77B606A0"/>
    <w:rsid w:val="77D14F5D"/>
    <w:rsid w:val="77DB6EAD"/>
    <w:rsid w:val="781311E0"/>
    <w:rsid w:val="7823277B"/>
    <w:rsid w:val="786A2290"/>
    <w:rsid w:val="789720A1"/>
    <w:rsid w:val="78DF4171"/>
    <w:rsid w:val="793F1A7F"/>
    <w:rsid w:val="795B12AE"/>
    <w:rsid w:val="7A263AD8"/>
    <w:rsid w:val="7A3E4BD3"/>
    <w:rsid w:val="7A9B5F68"/>
    <w:rsid w:val="7B477902"/>
    <w:rsid w:val="7B7E7CCE"/>
    <w:rsid w:val="7BA251B9"/>
    <w:rsid w:val="7BAC2077"/>
    <w:rsid w:val="7BC05A6B"/>
    <w:rsid w:val="7BF212CD"/>
    <w:rsid w:val="7C09730A"/>
    <w:rsid w:val="7C280D5C"/>
    <w:rsid w:val="7C2A2184"/>
    <w:rsid w:val="7C3677E7"/>
    <w:rsid w:val="7C4B10B5"/>
    <w:rsid w:val="7CD37616"/>
    <w:rsid w:val="7CDD0CEE"/>
    <w:rsid w:val="7D0D23CC"/>
    <w:rsid w:val="7D460C63"/>
    <w:rsid w:val="7D6804B0"/>
    <w:rsid w:val="7DB912A3"/>
    <w:rsid w:val="7DD66F72"/>
    <w:rsid w:val="7E3967A0"/>
    <w:rsid w:val="7E3D6351"/>
    <w:rsid w:val="7EAD188A"/>
    <w:rsid w:val="7F074E4B"/>
    <w:rsid w:val="7F1B6628"/>
    <w:rsid w:val="7F4F7C8B"/>
    <w:rsid w:val="7F6A4704"/>
    <w:rsid w:val="7F953772"/>
    <w:rsid w:val="7FA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pPr>
    <w:rPr>
      <w:rFonts w:ascii="Calibri" w:hAnsi="Calibri" w:eastAsia="楷体_GB2312" w:cs="Times New Roman"/>
    </w:rPr>
  </w:style>
  <w:style w:type="paragraph" w:styleId="3">
    <w:name w:val="Body Text 3"/>
    <w:basedOn w:val="1"/>
    <w:next w:val="4"/>
    <w:qFormat/>
    <w:uiPriority w:val="0"/>
    <w:pPr>
      <w:spacing w:after="120"/>
    </w:pPr>
    <w:rPr>
      <w:rFonts w:ascii="Calibri" w:hAnsi="Calibri"/>
      <w:sz w:val="16"/>
      <w:szCs w:val="16"/>
    </w:rPr>
  </w:style>
  <w:style w:type="paragraph" w:styleId="4">
    <w:name w:val="Body Text"/>
    <w:basedOn w:val="1"/>
    <w:next w:val="1"/>
    <w:unhideWhenUsed/>
    <w:qFormat/>
    <w:uiPriority w:val="99"/>
    <w:pPr>
      <w:spacing w:after="120" w:afterLines="0"/>
    </w:pPr>
    <w:rPr>
      <w:rFonts w:ascii="Calibri" w:hAnsi="Calibri"/>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Administrator</cp:lastModifiedBy>
  <cp:lastPrinted>2023-05-09T00:38:00Z</cp:lastPrinted>
  <dcterms:modified xsi:type="dcterms:W3CDTF">2023-08-29T00:22:23Z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7CE2437D55F34FB38FFB4D42703B11D7</vt:lpwstr>
  </property>
</Properties>
</file>