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镇坪县文化馆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2023年部门预算公开说明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 w:cs="Times New Roman"/>
          <w:b/>
          <w:bCs/>
          <w:sz w:val="36"/>
          <w:szCs w:val="36"/>
          <w:highlight w:val="none"/>
          <w:lang w:eastAsia="zh-CN"/>
        </w:rPr>
      </w:pPr>
      <w:r>
        <w:rPr>
          <w:rFonts w:hint="eastAsia" w:cs="Times New Roman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一、主要职责及机构设置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二、工作任务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三、预算单位构成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四、人员情况说明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五、收支说明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六、“三公”经费及会议费、培训费情况说明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七、国有资产占有使用及资产购置情况说明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八、政府采购情况说明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九、绩效目标说明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十、机关运行经费安排说明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一、主要职责及机构设置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1．主要职能。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（一）负责全县文化宣传的业务指导，配合县委、县政府的中心工作，积极开展文化宣传活动。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（二）编制年度文化工作发展规划、目标、计划，上报各种统计报表及总结。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（三）指导基层文化工作，开展各种群众文化活动，培训基层文化骨干。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（四）组织开展群众性文化演出、比赛活动;积极开展艺术创作并推出艺术精品，参加省、市级文化艺术展。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（五）举办各种文化艺术培训班，培养文化艺术后备人才。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（六）负责全县非遗保护和管理工作。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（七）承办或协办县级以上大型文艺演出活动。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（八）完成上级交办的其它工作。配合县委、县政府的中心工作，积极开展文化宣传活动。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2．机构情况，包括当年变动情况及原因。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化馆设有综合办公室、音乐创作辅导部、舞蹈创作辅导部、戏曲（曲艺）创作辅导部、美术书法摄影辅导部、文学创作辅导部、非物质文化遗产保护中心等公共文化服务机构7个、镇级分馆4个，常年免费为群众提供公共文化服务，组织开展丰富多彩形式多样的公共文化服务活动，为满足广大人民群众精神文化需求发挥着积极作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2023年我馆群众文化工作、非遗保护传承工作将围绕以下方面开展：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（一）呈现群众文化活动亮点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、打造群众文化品牌，优化服务质量。以推进“乡村文化振兴”为载体，以推进公共文化服务高质量发展为依托，持续开展春节系列文化活动、百姓大舞台、我们的节日、戏曲进乡村、传统文化亲子手工课堂、开笔礼等特色活动，打造群众文化服务精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紧贴群众，创作精品文艺作品。围绕礼赞二十大、乡村振兴、长寿文化、盐道精神、药乡文化、创文等备受人民群众关注的社会话题，创作精品文艺作品。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（二）免费文化艺术辅导培训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镇坪县文化馆充分发挥公共文化设施免费开放服务效能，利用寒暑假、周末及错时，为留守儿童、妇女、老年人、进城务工人员、残疾人等群体免费开办舞蹈、器乐、书法、绘画、声乐、主持、智能手机操作等文化活动培训20期。针对全县镇文化站、各分馆从业人员举办业务技能培训2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（三）快速推进公共数字文化服务项目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以陕西公共文化云为平台，文化镇坪、视频号为抓手，完成直录播3场次、学才艺1000分钟、发布各文化场所活动信息120条、发布非遗文创产品60种、手机直播课堂12节，完成文化相关培训10期（300人次）。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提升总分馆服务效能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通过“线上服务”“流动服务”“点单服务”“重点帮扶”“联镇包抓”等方式，打造总分馆制服务品牌。按照每个行政村每年看1场以上的非线上的戏曲或文艺演出的目标任务，以巡、展、讲、演不同方式，开展戏曲、文艺演出进基层活动全覆盖（全县7镇58个行政村），提升群众文化获得感、幸福感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非物质文化遗产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保护工作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1、结合“文化和自然遗产日”开展非遗“三进”（进学校、进乡村、进社区）活动。同时进一步完善充实全县非遗数据库资料，通过媒体、网站、公众号等网络平台加强宣传推介。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2、非遗项目建设助推乡村振兴。2023年将依托省、市非遗就业工坊助推非遗产品市场销售拓展，就近解决当地贫困户、留守人员、残疾人就业难增收难的问题。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3、加强县级非遗名录收集整理，做好传承保护工作。积极做好市级第七批非遗保护名录项目申报。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482" w:firstLineChars="15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加大场馆对外免费开放力度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 xml:space="preserve"> 进一步加大馆内公益性文化设施免费开放力度，提高免费开放服务质量，加大公共文化服务的供给。一是努力完善软硬件设备，丰富展示形式和内容；二是加大公共文化活动宣传力度，建立满足群众多层次需求为导向的文化开放机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强化内部管理，着力提高单位效能建设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left"/>
        <w:textAlignment w:val="auto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t xml:space="preserve">认真学习党的二十大精神，以提高执行力、落实力为重点，不断加强单位作风建设，切实提高工作效率。同时强力推进文化馆综合素质提升工程，建立一支思想素质精良、业务能力过硬的公共文化服务队伍。  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三、预算单位构成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纳入本部门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年部门预算编制范围的单位共有一个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tbl>
      <w:tblPr>
        <w:tblStyle w:val="7"/>
        <w:tblpPr w:leftFromText="180" w:rightFromText="180" w:vertAnchor="text" w:horzAnchor="page" w:tblpX="2080" w:tblpY="282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镇坪县文化馆本级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四、人员情况说明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（一）单位人员。镇坪县文化馆为县文化和旅游广电局下属未定级公益一类事业单位，事业编制6名，工勤2名，在岗8人，退休8人。</w:t>
      </w:r>
    </w:p>
    <w:p>
      <w:r>
        <w:object>
          <v:shape id="_x0000_i1025" o:spt="75" type="#_x0000_t75" style="height:193.7pt;width:292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4">
            <o:LockedField>false</o:LockedField>
          </o:OLEObject>
        </w:objec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综合预算的原则，本部门所有收入和支出均纳入部门预算管理。本部门当年预算收入116.84万元，其中一般公共预算拨款收入116.84万元，较上年增加13.56万元，主要原因是人员及公务经费支出增加；本部门当年预算支出116.84万元，其中一般公共预算拨款支出116.84万元，较上年增加13.56万元，主要原因是人员及公务经费支出增加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财政拨款收入116.84万元，其中一般共预算拨款收入116.84万元，较上年增加13.56万元，主要原因是人员及公务经费支出增加；本部门当年预算支出116.84万元，其中一般公共预算拨款支出116.84万元，较上年增加13.56万元，主要原因是人员及公务经费支出增加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1、一般公共预算当年拨款规模变化情况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本部门当年一般公共预算拨款支出116.84万元，较上年增加13.56万元，主要原因是人员及公务经费支出增加。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本部门当年一般公共预算支出116.84万元，其中：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（1）群众文化（2070109），较上年增加13.56万元，原因是人员及公务经费支出增加。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（1）按照部门预算支出经济分类的类级科目说明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本部门当年一般公共预算支出116.84万元，其中：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工资福利支出（301）99.44万元，较上年增加3.56万元，原因是人员工资结构调整。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商品和服务支出（302）17.4万元，和上年保持一致。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（2）按照政府预算支出经济分类的类级科目说明。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本部门当年一般公共预算支出116.84万元，其中：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对事业单位经常性补助-工资福利支出（50501）99.44万元，较上年增加3.56万元，原因是人员工资结构调整。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对事业单位经常性补助-商品和服务支出（50502）1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7.4万元，和上年保持一致。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4、2023年结转财政资金一般公共预算拨款支出情况。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本部门无2022年结转的一般公共预算拨款资金支出。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本部门无当年国有资本经营预算收支，并已公开空表。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六、“三公”经费及会议费、培训费情况说明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本部门当年一般公共预算“三公”经费预算支出4.5万元，较上年减少0.7万元（13%）。其中：公务接待费0.3万元，较上年减少0.7万元（13%），减少的主要原因是精简开支；公务用车运行维护费4.2万元，较上年持平。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2023年会议费预算为0元，本单位无2022年结转的财政拨款会议费预算支出。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2023年培训费预算为0元，本单位无2022年结转的财政拨款培训费预算支出。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七、国有资产占有使用及资产购置情况说明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截止2022年底，本单位所属预算单位共有车辆1辆，为流动舞台车。2023年当年单位预算安排购置车辆0辆；安排购置单价20万元以上的设备0台（套）。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本单位无2022年结转的财政拨款支出资产购置。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八、政府采购情况说明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本部门当年无政府采购预算，并已公开空表。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九、绩效目标情况说明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本部门绩效目标管理全覆盖，涉及当年一般公共预算当年拨款10万元（详见公开报表中的绩效目标表）。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十、机关运行经费安排情况说明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本单位当年机关运行经费预算安排7.4万元，和上年保持一致，编制数8个，公务车一辆。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本单位无2022年结转的财政拨款机关运行经费支出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机关运行经费：指各部门的公用经费，包括办公及印刷费、邮电费、差旅费、会议费、福利费、日常维修费、专用材料及一般设备购置费、办公用房水电费、办公用房取暖费、办公用房物业管理费、公务用车维护费以及其他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8AA43"/>
    <w:multiLevelType w:val="singleLevel"/>
    <w:tmpl w:val="6368AA43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TE2NTZiM2QwZDg5YjFkNmZjY2ZhNGEzMmE0NmI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31F2043"/>
    <w:rsid w:val="04320FD9"/>
    <w:rsid w:val="049A40D7"/>
    <w:rsid w:val="04A216F1"/>
    <w:rsid w:val="04DD00BC"/>
    <w:rsid w:val="04FB7C1A"/>
    <w:rsid w:val="06F86E33"/>
    <w:rsid w:val="07C63897"/>
    <w:rsid w:val="09B770EC"/>
    <w:rsid w:val="0D930FB4"/>
    <w:rsid w:val="104E7D4B"/>
    <w:rsid w:val="13394A5B"/>
    <w:rsid w:val="176D6084"/>
    <w:rsid w:val="17E3395E"/>
    <w:rsid w:val="18696069"/>
    <w:rsid w:val="19194128"/>
    <w:rsid w:val="2AA902C1"/>
    <w:rsid w:val="2B6E114C"/>
    <w:rsid w:val="2DD21556"/>
    <w:rsid w:val="2EB57C9F"/>
    <w:rsid w:val="32383B0A"/>
    <w:rsid w:val="32DB48BA"/>
    <w:rsid w:val="334A3906"/>
    <w:rsid w:val="33707BCD"/>
    <w:rsid w:val="33801EA2"/>
    <w:rsid w:val="34B74C75"/>
    <w:rsid w:val="35457DE0"/>
    <w:rsid w:val="35555E4E"/>
    <w:rsid w:val="359252AB"/>
    <w:rsid w:val="388B0D2A"/>
    <w:rsid w:val="388F6532"/>
    <w:rsid w:val="3B975BF3"/>
    <w:rsid w:val="3DBA03C3"/>
    <w:rsid w:val="3DC7004C"/>
    <w:rsid w:val="43606DFF"/>
    <w:rsid w:val="43922513"/>
    <w:rsid w:val="44EE2C86"/>
    <w:rsid w:val="46F073D7"/>
    <w:rsid w:val="47F51DA1"/>
    <w:rsid w:val="48246A25"/>
    <w:rsid w:val="48817765"/>
    <w:rsid w:val="4974495A"/>
    <w:rsid w:val="4AFD517E"/>
    <w:rsid w:val="4E4837C9"/>
    <w:rsid w:val="4EAF467F"/>
    <w:rsid w:val="4F4E6E0F"/>
    <w:rsid w:val="51DC4954"/>
    <w:rsid w:val="52CB6777"/>
    <w:rsid w:val="52E529C6"/>
    <w:rsid w:val="537B1F4B"/>
    <w:rsid w:val="53D82CB6"/>
    <w:rsid w:val="53E97F27"/>
    <w:rsid w:val="549A0EDD"/>
    <w:rsid w:val="57295BF2"/>
    <w:rsid w:val="5900561E"/>
    <w:rsid w:val="5A7F118D"/>
    <w:rsid w:val="5C142F3C"/>
    <w:rsid w:val="5C2757BE"/>
    <w:rsid w:val="5FDD417D"/>
    <w:rsid w:val="60A76F05"/>
    <w:rsid w:val="62770932"/>
    <w:rsid w:val="62F6339C"/>
    <w:rsid w:val="63ED0CD3"/>
    <w:rsid w:val="667728BC"/>
    <w:rsid w:val="675B6F91"/>
    <w:rsid w:val="67B17BDD"/>
    <w:rsid w:val="69090D36"/>
    <w:rsid w:val="6BB7311F"/>
    <w:rsid w:val="6EF66EF9"/>
    <w:rsid w:val="6FA86D5D"/>
    <w:rsid w:val="70154C98"/>
    <w:rsid w:val="70B770B0"/>
    <w:rsid w:val="715E0A8A"/>
    <w:rsid w:val="72576549"/>
    <w:rsid w:val="74A97633"/>
    <w:rsid w:val="74EA18BC"/>
    <w:rsid w:val="766A1C7F"/>
    <w:rsid w:val="76C5247B"/>
    <w:rsid w:val="770A55ED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Plain Text"/>
    <w:basedOn w:val="1"/>
    <w:link w:val="12"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semiHidden/>
    <w:uiPriority w:val="99"/>
    <w:rPr>
      <w:rFonts w:cs="Times New Roman"/>
      <w:color w:val="800080"/>
      <w:u w:val="single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paragraph" w:customStyle="1" w:styleId="11">
    <w:name w:val="Char1"/>
    <w:basedOn w:val="1"/>
    <w:qFormat/>
    <w:uiPriority w:val="99"/>
    <w:pPr>
      <w:ind w:left="840" w:hanging="420"/>
    </w:pPr>
    <w:rPr>
      <w:rFonts w:ascii="Calibri" w:hAnsi="Calibri"/>
      <w:sz w:val="24"/>
      <w:szCs w:val="30"/>
    </w:rPr>
  </w:style>
  <w:style w:type="character" w:customStyle="1" w:styleId="12">
    <w:name w:val="Plain Text Char"/>
    <w:basedOn w:val="8"/>
    <w:link w:val="3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3081</Words>
  <Characters>3228</Characters>
  <Lines>0</Lines>
  <Paragraphs>0</Paragraphs>
  <TotalTime>1</TotalTime>
  <ScaleCrop>false</ScaleCrop>
  <LinksUpToDate>false</LinksUpToDate>
  <CharactersWithSpaces>3280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南音</cp:lastModifiedBy>
  <cp:lastPrinted>2020-04-13T01:53:00Z</cp:lastPrinted>
  <dcterms:modified xsi:type="dcterms:W3CDTF">2023-08-18T01:23:12Z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7FD7E9B27684411CA309A23739DCD1B2_13</vt:lpwstr>
  </property>
</Properties>
</file>