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附件1</w:t>
      </w:r>
    </w:p>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镇坪县畜牧兽医中心</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jc w:val="both"/>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（具体预算公开报表）</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spacing w:line="560" w:lineRule="exact"/>
        <w:ind w:firstLine="643" w:firstLineChars="200"/>
        <w:rPr>
          <w:rFonts w:eastAsia="仿宋_GB2312"/>
          <w:b/>
          <w:sz w:val="32"/>
          <w:szCs w:val="32"/>
        </w:rPr>
      </w:pPr>
      <w:r>
        <w:rPr>
          <w:rFonts w:eastAsia="仿宋_GB2312"/>
          <w:b/>
          <w:sz w:val="32"/>
          <w:szCs w:val="32"/>
        </w:rPr>
        <w:t>（一）部门主要职责</w:t>
      </w:r>
    </w:p>
    <w:p>
      <w:pPr>
        <w:widowControl/>
        <w:adjustRightInd w:val="0"/>
        <w:snapToGrid w:val="0"/>
        <w:spacing w:line="560" w:lineRule="exact"/>
        <w:ind w:firstLine="960" w:firstLineChars="300"/>
        <w:jc w:val="left"/>
        <w:rPr>
          <w:rFonts w:hint="eastAsia" w:ascii="仿宋_GB2312" w:hAnsi="宋体" w:eastAsia="仿宋_GB2312" w:cs="宋体"/>
          <w:sz w:val="32"/>
          <w:szCs w:val="32"/>
        </w:rPr>
      </w:pPr>
      <w:r>
        <w:rPr>
          <w:rFonts w:hint="eastAsia" w:ascii="仿宋_GB2312" w:hAnsi="宋体" w:eastAsia="仿宋_GB2312" w:cs="宋体"/>
          <w:bCs/>
          <w:sz w:val="32"/>
          <w:szCs w:val="32"/>
          <w:lang w:val="en-US" w:eastAsia="zh-CN"/>
        </w:rPr>
        <w:t>镇坪县畜牧兽医中心属于镇坪县农业农村水利局下设的副科级全额拨款二级预算单位。</w:t>
      </w:r>
      <w:r>
        <w:rPr>
          <w:rFonts w:hint="eastAsia" w:ascii="仿宋_GB2312" w:hAnsi="宋体" w:eastAsia="仿宋_GB2312" w:cs="宋体"/>
          <w:sz w:val="32"/>
          <w:szCs w:val="32"/>
        </w:rPr>
        <w:t>主要工作职</w:t>
      </w:r>
      <w:r>
        <w:rPr>
          <w:rFonts w:hint="eastAsia" w:ascii="仿宋_GB2312" w:hAnsi="宋体" w:eastAsia="仿宋_GB2312" w:cs="宋体"/>
          <w:sz w:val="32"/>
          <w:szCs w:val="32"/>
          <w:lang w:eastAsia="zh-CN"/>
        </w:rPr>
        <w:t>责</w:t>
      </w:r>
      <w:r>
        <w:rPr>
          <w:rFonts w:hint="eastAsia" w:ascii="仿宋_GB2312" w:hAnsi="宋体" w:eastAsia="仿宋_GB2312" w:cs="宋体"/>
          <w:sz w:val="32"/>
          <w:szCs w:val="32"/>
        </w:rPr>
        <w:t>是贯彻执行畜牧生产、动物卫生方面的法律法规、方针政策、规划和计划，完成县政府和县主管部门交办的业务工作；负责畜牧技术的研究、试验、示范推广、技术培训及新技术、新品种的开发引进工作；拟定本县畜牧业发展、重大动物疫病防治规划和计划并组织实施；监督和管理动物防疫、检疫及防疫监督工作；负责实施官方兽医制度和职业兽医制度；负责动物病原微生物实验室生物安全管理等工作。</w:t>
      </w:r>
    </w:p>
    <w:p>
      <w:pPr>
        <w:widowControl/>
        <w:numPr>
          <w:ilvl w:val="0"/>
          <w:numId w:val="1"/>
        </w:numPr>
        <w:adjustRightInd w:val="0"/>
        <w:snapToGrid w:val="0"/>
        <w:spacing w:line="56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机构设置</w:t>
      </w:r>
    </w:p>
    <w:p>
      <w:pPr>
        <w:widowControl/>
        <w:numPr>
          <w:ilvl w:val="0"/>
          <w:numId w:val="0"/>
        </w:numPr>
        <w:adjustRightInd w:val="0"/>
        <w:snapToGrid w:val="0"/>
        <w:spacing w:line="560" w:lineRule="exact"/>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畜牧兽医中心内设机构有公路动物检疫检查站、屠宰市场检疫站、动物卫生监督所、兽医实验室、工会活动室、主任副主任办公室、财务室及综合办公室。</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spacing w:line="560" w:lineRule="exact"/>
        <w:ind w:firstLine="645"/>
        <w:rPr>
          <w:rFonts w:hint="eastAsia" w:ascii="仿宋_GB2312" w:hAnsi="楷体" w:eastAsia="仿宋_GB2312"/>
          <w:b/>
          <w:sz w:val="32"/>
          <w:szCs w:val="32"/>
        </w:rPr>
      </w:pPr>
      <w:r>
        <w:rPr>
          <w:rFonts w:hint="eastAsia" w:ascii="仿宋_GB2312" w:hAnsi="楷体" w:eastAsia="仿宋_GB2312"/>
          <w:b/>
          <w:sz w:val="32"/>
          <w:szCs w:val="32"/>
        </w:rPr>
        <w:t>1、两场建设工作</w:t>
      </w:r>
    </w:p>
    <w:p>
      <w:pPr>
        <w:spacing w:line="560" w:lineRule="exact"/>
        <w:ind w:firstLine="645"/>
        <w:rPr>
          <w:rFonts w:hint="eastAsia" w:ascii="仿宋_GB2312" w:hAnsi="仿宋" w:eastAsia="仿宋_GB2312"/>
          <w:sz w:val="32"/>
          <w:szCs w:val="32"/>
        </w:rPr>
      </w:pPr>
      <w:r>
        <w:rPr>
          <w:rFonts w:hint="eastAsia" w:ascii="仿宋_GB2312" w:eastAsia="仿宋_GB2312"/>
          <w:sz w:val="32"/>
          <w:szCs w:val="32"/>
        </w:rPr>
        <w:t>采取引进和扩繁相结合的办法，积极抓好生猪良种繁育基地和生猪人工授精体系建设，大力推广长白、大约克、杜洛克瘦肉型良种猪种，适度引进太湖、关中黑猪等繁殖能力强的母猪。</w:t>
      </w:r>
      <w:r>
        <w:rPr>
          <w:rFonts w:hint="eastAsia" w:ascii="仿宋_GB2312" w:hAnsi="仿宋" w:eastAsia="仿宋_GB2312"/>
          <w:sz w:val="32"/>
          <w:szCs w:val="32"/>
        </w:rPr>
        <w:t>以我县钟宝镇、华坪镇、城关镇为重点，大力发展生猪良种繁育村和良种自繁自育大户；以城关镇联盟村松上生猪养殖专业合作社为重点，积极引导农村散养户饲养能繁母猪，全面提升我县良种仔猪供给能力</w:t>
      </w:r>
      <w:r>
        <w:rPr>
          <w:rFonts w:hint="eastAsia" w:ascii="仿宋_GB2312" w:eastAsia="仿宋_GB2312"/>
          <w:sz w:val="32"/>
          <w:szCs w:val="32"/>
        </w:rPr>
        <w:t>。坚持以基地和园区为载体，以生态养殖为抓手，大力推广“猪+沼+园”种养结合模式，</w:t>
      </w:r>
      <w:r>
        <w:rPr>
          <w:rFonts w:hint="eastAsia" w:ascii="仿宋_GB2312" w:hAnsi="仿宋" w:eastAsia="仿宋_GB2312"/>
          <w:sz w:val="32"/>
          <w:szCs w:val="32"/>
        </w:rPr>
        <w:t>积极引导支持生猪养殖向规模化、标准化发展。</w:t>
      </w:r>
    </w:p>
    <w:p>
      <w:pPr>
        <w:spacing w:line="560" w:lineRule="exact"/>
        <w:ind w:firstLine="626" w:firstLineChars="195"/>
        <w:rPr>
          <w:rFonts w:hint="eastAsia" w:ascii="仿宋_GB2312" w:hAnsi="楷体" w:eastAsia="仿宋_GB2312"/>
          <w:b/>
          <w:sz w:val="32"/>
          <w:szCs w:val="32"/>
        </w:rPr>
      </w:pPr>
      <w:r>
        <w:rPr>
          <w:rFonts w:hint="eastAsia" w:ascii="仿宋_GB2312" w:hAnsi="楷体" w:eastAsia="仿宋_GB2312"/>
          <w:b/>
          <w:sz w:val="32"/>
          <w:szCs w:val="32"/>
        </w:rPr>
        <w:t>2、技术服务工作</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继续落实畜牧兽医中心干部“一对一”、“一对多”养殖场包联机制，积极到场开展动物疫病防控、粪污资源化利用、标准化养殖等方面的技术指导。在全县范围内组织开展产业技术培训，同时中心定期组织单位干部职工就业务知识进行轮流授课，相互交流学习，进一步提高职工的业务综合能力。</w:t>
      </w:r>
    </w:p>
    <w:p>
      <w:pPr>
        <w:spacing w:line="56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3、动物防疫工作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落实防疫员待遇，稳定防疫队伍，加强培训，提高业务水平，积极配合各镇政府组织开展动物防疫工作，抓好春秋两季动物强制免疫和规模养殖场程序化免疫工作，猪瘟免疫密度达到98%以上，禽流感免疫密度达到100%，口蹄疫牲畜应免密度达到100%，动物免疫抗体抽检合格率保持在70%以上。</w:t>
      </w:r>
    </w:p>
    <w:p>
      <w:pPr>
        <w:spacing w:line="560" w:lineRule="exact"/>
        <w:ind w:firstLine="630" w:firstLineChars="196"/>
        <w:rPr>
          <w:rFonts w:hint="eastAsia" w:ascii="仿宋_GB2312" w:hAnsi="楷体" w:eastAsia="仿宋_GB2312"/>
          <w:b/>
          <w:sz w:val="32"/>
          <w:szCs w:val="32"/>
        </w:rPr>
      </w:pPr>
      <w:r>
        <w:rPr>
          <w:rFonts w:hint="eastAsia" w:ascii="仿宋_GB2312" w:hAnsi="楷体" w:eastAsia="仿宋_GB2312"/>
          <w:b/>
          <w:sz w:val="32"/>
          <w:szCs w:val="32"/>
        </w:rPr>
        <w:t>4、动物检疫工作</w:t>
      </w:r>
    </w:p>
    <w:p>
      <w:pPr>
        <w:spacing w:line="560" w:lineRule="exact"/>
        <w:ind w:firstLine="648"/>
        <w:rPr>
          <w:rFonts w:hint="eastAsia" w:ascii="仿宋_GB2312" w:eastAsia="仿宋_GB2312"/>
          <w:sz w:val="32"/>
          <w:szCs w:val="32"/>
        </w:rPr>
      </w:pPr>
      <w:r>
        <w:rPr>
          <w:rFonts w:hint="eastAsia" w:ascii="仿宋_GB2312" w:hAnsi="仿宋" w:eastAsia="仿宋_GB2312"/>
          <w:sz w:val="32"/>
          <w:szCs w:val="32"/>
        </w:rPr>
        <w:t>认真开展产地检疫工作。做好电子出证业务工作，完善各项检疫制度，公示动物产地检疫报检程序、报检电话、上岗检疫员名单等。进一步规范定点屠宰厂的程序监管，强化人员的管理。重点做好了非洲猪瘟检测、“瘦肉精”及有毒有害物质添加检测工作，搞好病害猪无害化处理监管工作。动物及动物产品指定通道监督检查站</w:t>
      </w:r>
      <w:r>
        <w:rPr>
          <w:rFonts w:hint="eastAsia" w:ascii="仿宋_GB2312" w:eastAsia="仿宋_GB2312"/>
          <w:sz w:val="32"/>
          <w:szCs w:val="32"/>
        </w:rPr>
        <w:t>落实3名工作人员24小时值班，开展查证验物和消毒等工作。</w:t>
      </w:r>
    </w:p>
    <w:p>
      <w:pPr>
        <w:spacing w:line="560" w:lineRule="exact"/>
        <w:ind w:firstLine="648"/>
        <w:rPr>
          <w:rFonts w:hint="eastAsia" w:ascii="仿宋_GB2312" w:hAnsi="楷体" w:eastAsia="仿宋_GB2312"/>
          <w:b/>
          <w:sz w:val="32"/>
          <w:szCs w:val="32"/>
        </w:rPr>
      </w:pPr>
      <w:r>
        <w:rPr>
          <w:rFonts w:hint="eastAsia" w:ascii="仿宋_GB2312" w:hAnsi="楷体" w:eastAsia="仿宋_GB2312"/>
          <w:b/>
          <w:sz w:val="32"/>
          <w:szCs w:val="32"/>
        </w:rPr>
        <w:t>5、动物卫生监督工作</w:t>
      </w:r>
    </w:p>
    <w:p>
      <w:pPr>
        <w:spacing w:line="560" w:lineRule="exact"/>
        <w:ind w:firstLine="645"/>
        <w:rPr>
          <w:rFonts w:hint="eastAsia" w:ascii="仿宋_GB2312" w:hAnsi="仿宋" w:eastAsia="仿宋_GB2312"/>
          <w:sz w:val="32"/>
          <w:szCs w:val="32"/>
        </w:rPr>
      </w:pPr>
      <w:r>
        <w:rPr>
          <w:rFonts w:hint="eastAsia" w:ascii="仿宋_GB2312" w:eastAsia="仿宋_GB2312"/>
          <w:sz w:val="32"/>
          <w:szCs w:val="32"/>
        </w:rPr>
        <w:t>严格按照国家、省、市关于生猪调运监管的相关规定，切实加强调运监管。对规模养殖场调运种猪严格落实申报审批制，实行“点对点”调运，对三无贩运业主实行严查严处。</w:t>
      </w:r>
      <w:r>
        <w:rPr>
          <w:rFonts w:hint="eastAsia" w:ascii="仿宋_GB2312" w:hAnsi="仿宋" w:eastAsia="仿宋_GB2312"/>
          <w:sz w:val="32"/>
          <w:szCs w:val="32"/>
        </w:rPr>
        <w:t>在全县落实了8名无害化处理协管员。专职负责各规模养殖场病死猪无害化处理工作。积极开展私屠滥宰专项整治活动，</w:t>
      </w:r>
      <w:r>
        <w:rPr>
          <w:rFonts w:hint="eastAsia" w:ascii="仿宋_GB2312" w:hAnsi="仿宋" w:eastAsia="仿宋_GB2312" w:cs="仿宋_GB2312"/>
          <w:kern w:val="0"/>
          <w:sz w:val="32"/>
          <w:szCs w:val="32"/>
        </w:rPr>
        <w:t>与食品药品、公安部门的人员联合执法巡查，通过重点整治，有效地规范屠宰经营秩序。</w:t>
      </w:r>
      <w:r>
        <w:rPr>
          <w:rFonts w:hint="eastAsia" w:ascii="仿宋_GB2312" w:hAnsi="仿宋" w:eastAsia="仿宋_GB2312"/>
          <w:sz w:val="32"/>
          <w:szCs w:val="32"/>
        </w:rPr>
        <w:t>对全县38个（生猪规模养殖场28个，规模养鸡场4个，规模养牛场3个,规模羊场3个）畜禽规模养殖场进行污染整治，针对各规模场制订污染治理方案，并落实一名技术干部具体包抓。中心每月对畜禽规模养殖场进行一次督查、指导，对发现的问题及时进行整改。</w:t>
      </w:r>
    </w:p>
    <w:p>
      <w:pPr>
        <w:widowControl/>
        <w:shd w:val="clear" w:color="auto" w:fill="FFFFFF"/>
        <w:spacing w:line="560" w:lineRule="exact"/>
        <w:ind w:firstLine="643" w:firstLineChars="200"/>
        <w:jc w:val="left"/>
        <w:rPr>
          <w:rFonts w:hint="eastAsia" w:ascii="仿宋_GB2312" w:hAnsi="仿宋" w:eastAsia="仿宋_GB2312"/>
          <w:b/>
          <w:color w:val="313131"/>
          <w:sz w:val="32"/>
          <w:szCs w:val="32"/>
          <w:shd w:val="clear" w:color="auto" w:fill="FFFFFF"/>
        </w:rPr>
      </w:pPr>
      <w:r>
        <w:rPr>
          <w:rFonts w:hint="eastAsia" w:ascii="仿宋_GB2312" w:hAnsi="楷体" w:eastAsia="仿宋_GB2312"/>
          <w:b/>
          <w:sz w:val="32"/>
          <w:szCs w:val="32"/>
        </w:rPr>
        <w:t>6、非洲猪瘟等重大动物疫病防控工作</w:t>
      </w:r>
    </w:p>
    <w:p>
      <w:pPr>
        <w:pStyle w:val="2"/>
        <w:spacing w:line="560" w:lineRule="exact"/>
        <w:ind w:firstLine="640" w:firstLineChars="200"/>
        <w:rPr>
          <w:rFonts w:hint="eastAsia" w:ascii="仿宋_GB2312" w:hAnsi="仿宋_GB2312" w:cs="仿宋_GB2312"/>
          <w:bCs/>
          <w:szCs w:val="32"/>
        </w:rPr>
      </w:pPr>
      <w:r>
        <w:rPr>
          <w:rFonts w:hint="eastAsia" w:ascii="仿宋_GB2312" w:hAnsi="仿宋"/>
          <w:szCs w:val="32"/>
        </w:rPr>
        <w:t>强化疫情排查和监测工作，中心技术干部实行“一对一”、“一对多”包联排查机制，对规模生猪养殖场和定点屠宰场实施排查监测，落实中心中级以上技术干部每人联系一个镇，负责各镇排查监测的指导工作。在</w:t>
      </w:r>
      <w:r>
        <w:rPr>
          <w:rFonts w:hint="eastAsia" w:ascii="仿宋_GB2312"/>
          <w:szCs w:val="32"/>
        </w:rPr>
        <w:t>全县范围内开展防控非洲猪瘟等动物疫病集中大消毒活动,安排部署由畜牧技术人员组成的技术指导队，分别深入到各镇、各养殖场进行督促指导消毒工作。</w:t>
      </w:r>
      <w:r>
        <w:rPr>
          <w:rFonts w:hint="eastAsia" w:ascii="仿宋_GB2312" w:hAnsi="仿宋"/>
          <w:szCs w:val="32"/>
        </w:rPr>
        <w:t>加强调运监管，</w:t>
      </w:r>
      <w:r>
        <w:rPr>
          <w:rFonts w:hint="eastAsia" w:ascii="仿宋_GB2312" w:hAnsi="仿宋_GB2312" w:cs="仿宋_GB2312"/>
          <w:bCs/>
          <w:szCs w:val="32"/>
        </w:rPr>
        <w:t>严防疫区生猪及其产品入境。开展违法违规调运生猪专项整治行动及私屠滥宰专项整治行动，严厉打击违法违规行为。</w:t>
      </w:r>
    </w:p>
    <w:p>
      <w:pPr>
        <w:spacing w:line="560" w:lineRule="exact"/>
        <w:ind w:firstLine="645"/>
        <w:rPr>
          <w:rFonts w:hint="eastAsia" w:ascii="仿宋_GB2312" w:hAnsi="楷体" w:eastAsia="仿宋_GB2312"/>
          <w:b/>
          <w:sz w:val="32"/>
          <w:szCs w:val="32"/>
        </w:rPr>
      </w:pPr>
      <w:r>
        <w:rPr>
          <w:rFonts w:hint="eastAsia" w:ascii="仿宋_GB2312" w:hAnsi="楷体" w:eastAsia="仿宋_GB2312"/>
          <w:b/>
          <w:sz w:val="32"/>
          <w:szCs w:val="32"/>
        </w:rPr>
        <w:t>7、生猪统计监测工作</w:t>
      </w:r>
    </w:p>
    <w:p>
      <w:pPr>
        <w:spacing w:line="560" w:lineRule="exact"/>
        <w:ind w:firstLine="645"/>
        <w:rPr>
          <w:rFonts w:hint="eastAsia" w:ascii="仿宋_GB2312" w:hAnsi="仿宋" w:eastAsia="仿宋_GB2312"/>
          <w:sz w:val="32"/>
          <w:szCs w:val="32"/>
        </w:rPr>
      </w:pPr>
      <w:r>
        <w:rPr>
          <w:rFonts w:hint="eastAsia" w:ascii="仿宋_GB2312" w:hAnsi="仿宋" w:eastAsia="仿宋_GB2312"/>
          <w:sz w:val="32"/>
          <w:szCs w:val="32"/>
        </w:rPr>
        <w:t>制定《镇坪县生猪生产监测工作实施方案》及《畜牧中心生猪监测考评管理办法》，组织召开信息员业务培训会，强化信息员的业务水平，扎实有效的开展畜牧业统计监测工作。</w:t>
      </w:r>
    </w:p>
    <w:p>
      <w:pPr>
        <w:spacing w:line="560" w:lineRule="exact"/>
        <w:ind w:left="630"/>
        <w:rPr>
          <w:rFonts w:hint="eastAsia" w:ascii="仿宋_GB2312" w:eastAsia="仿宋_GB2312"/>
          <w:b/>
          <w:bCs/>
          <w:sz w:val="32"/>
          <w:szCs w:val="32"/>
        </w:rPr>
      </w:pPr>
      <w:r>
        <w:rPr>
          <w:rFonts w:hint="eastAsia" w:ascii="仿宋_GB2312" w:eastAsia="仿宋_GB2312"/>
          <w:b/>
          <w:bCs/>
          <w:sz w:val="32"/>
          <w:szCs w:val="32"/>
        </w:rPr>
        <w:t>8、生态养殖抓点示范工作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大力推广“一、二、一”模式，积极引导农村散养户饲养能繁母猪，全面提升我县三元仔猪供给能力；抓好1-2个生态养猪示范场建设，抓好镇坪乌鸡林下养殖示范点建设；抓好一批规模标准化养羊场和2-3个标准化牛场建设工作；抓好中蜂养殖，提高养殖技术。</w:t>
      </w:r>
    </w:p>
    <w:p>
      <w:pPr>
        <w:spacing w:line="560" w:lineRule="exact"/>
        <w:ind w:left="630"/>
        <w:rPr>
          <w:rFonts w:hint="eastAsia" w:ascii="仿宋_GB2312" w:hAnsi="楷体" w:eastAsia="仿宋_GB2312"/>
          <w:b/>
          <w:sz w:val="32"/>
          <w:szCs w:val="32"/>
        </w:rPr>
      </w:pPr>
      <w:r>
        <w:rPr>
          <w:rFonts w:hint="eastAsia" w:ascii="仿宋_GB2312" w:hAnsi="楷体" w:eastAsia="仿宋_GB2312"/>
          <w:b/>
          <w:sz w:val="32"/>
          <w:szCs w:val="32"/>
        </w:rPr>
        <w:t>9、项目建设工作</w:t>
      </w:r>
    </w:p>
    <w:p>
      <w:pPr>
        <w:spacing w:line="560" w:lineRule="exact"/>
        <w:ind w:firstLine="645"/>
        <w:rPr>
          <w:rFonts w:hint="eastAsia" w:ascii="仿宋_GB2312" w:hAnsi="仿宋" w:eastAsia="仿宋_GB2312"/>
          <w:sz w:val="32"/>
          <w:szCs w:val="32"/>
        </w:rPr>
      </w:pPr>
      <w:r>
        <w:rPr>
          <w:rFonts w:hint="eastAsia" w:ascii="仿宋_GB2312" w:hAnsi="楷体" w:eastAsia="仿宋_GB2312"/>
          <w:bCs/>
          <w:sz w:val="32"/>
          <w:szCs w:val="32"/>
        </w:rPr>
        <w:t>努力争取将“镇坪乌鸡”作为新发现的遗传资源品种列入国家畜禽品种名录，实施好镇坪乌鸡保种选育项目；积极争取生态养殖项目，做好生态养殖抓点示范工作；积极争取镇坪特色腊肉制作研究与示范项目，</w:t>
      </w:r>
      <w:r>
        <w:rPr>
          <w:rFonts w:hint="eastAsia" w:ascii="仿宋_GB2312" w:eastAsia="仿宋_GB2312"/>
          <w:sz w:val="32"/>
          <w:szCs w:val="32"/>
        </w:rPr>
        <w:t>建设特色生猪生产基地，研究镇坪特色腊肉薰制工艺，提高镇坪特色腊肉产品的品质。</w:t>
      </w:r>
    </w:p>
    <w:p>
      <w:pPr>
        <w:pStyle w:val="2"/>
        <w:spacing w:line="560" w:lineRule="exact"/>
        <w:ind w:firstLine="643" w:firstLineChars="200"/>
        <w:rPr>
          <w:rFonts w:hint="eastAsia" w:ascii="仿宋_GB2312" w:hAnsi="仿宋_GB2312" w:cs="仿宋_GB2312"/>
          <w:b/>
          <w:bCs/>
          <w:szCs w:val="32"/>
        </w:rPr>
      </w:pPr>
      <w:r>
        <w:rPr>
          <w:rFonts w:hint="eastAsia" w:ascii="仿宋_GB2312" w:hAnsi="楷体" w:cs="仿宋_GB2312"/>
          <w:b/>
          <w:bCs/>
          <w:szCs w:val="32"/>
        </w:rPr>
        <w:t>10、党建工作</w:t>
      </w:r>
    </w:p>
    <w:p>
      <w:pPr>
        <w:pStyle w:val="2"/>
        <w:spacing w:line="560" w:lineRule="exact"/>
        <w:ind w:firstLine="640" w:firstLineChars="200"/>
        <w:rPr>
          <w:rFonts w:hint="eastAsia" w:ascii="仿宋_GB2312" w:cs="Arial"/>
          <w:szCs w:val="32"/>
        </w:rPr>
      </w:pPr>
      <w:r>
        <w:rPr>
          <w:rFonts w:hint="eastAsia" w:ascii="仿宋_GB2312"/>
        </w:rPr>
        <w:t>按照局党委的统一部署和要求，认真落实“三会一课”、党员活动日、组织生活会、民主评议等党建工作任务，进一步加强干部作风建设工作。</w:t>
      </w:r>
    </w:p>
    <w:p>
      <w:pPr>
        <w:spacing w:line="560" w:lineRule="exact"/>
        <w:ind w:firstLine="643" w:firstLineChars="200"/>
        <w:rPr>
          <w:rFonts w:hint="eastAsia" w:ascii="仿宋_GB2312" w:hAnsi="楷体" w:eastAsia="仿宋_GB2312"/>
          <w:b/>
          <w:sz w:val="32"/>
          <w:szCs w:val="32"/>
        </w:rPr>
      </w:pPr>
      <w:r>
        <w:rPr>
          <w:rFonts w:hint="eastAsia" w:ascii="仿宋_GB2312" w:hAnsi="楷体" w:eastAsia="仿宋_GB2312"/>
          <w:b/>
          <w:sz w:val="32"/>
          <w:szCs w:val="32"/>
        </w:rPr>
        <w:t>11、“创文”工作</w:t>
      </w:r>
    </w:p>
    <w:p>
      <w:pPr>
        <w:spacing w:line="560" w:lineRule="exact"/>
        <w:ind w:firstLine="636"/>
        <w:rPr>
          <w:rFonts w:hint="eastAsia" w:ascii="仿宋_GB2312" w:eastAsia="仿宋_GB2312"/>
          <w:sz w:val="32"/>
          <w:szCs w:val="32"/>
        </w:rPr>
      </w:pPr>
      <w:r>
        <w:rPr>
          <w:rFonts w:hint="eastAsia" w:ascii="仿宋_GB2312" w:eastAsia="仿宋_GB2312"/>
          <w:sz w:val="32"/>
          <w:szCs w:val="32"/>
        </w:rPr>
        <w:t>建立健全</w:t>
      </w:r>
      <w:r>
        <w:rPr>
          <w:rFonts w:hint="eastAsia" w:ascii="仿宋_GB2312" w:hAnsi="楷体" w:eastAsia="仿宋_GB2312"/>
          <w:sz w:val="32"/>
          <w:szCs w:val="32"/>
        </w:rPr>
        <w:t>“创文”</w:t>
      </w:r>
      <w:r>
        <w:rPr>
          <w:rFonts w:hint="eastAsia" w:ascii="仿宋_GB2312" w:eastAsia="仿宋_GB2312"/>
          <w:sz w:val="32"/>
          <w:szCs w:val="32"/>
        </w:rPr>
        <w:t>日常监督检查工作机制，查漏补缺，建立健全</w:t>
      </w:r>
      <w:r>
        <w:rPr>
          <w:rFonts w:hint="eastAsia" w:ascii="仿宋_GB2312" w:hAnsi="楷体" w:eastAsia="仿宋_GB2312"/>
          <w:sz w:val="32"/>
          <w:szCs w:val="32"/>
        </w:rPr>
        <w:t>“创文”</w:t>
      </w:r>
      <w:r>
        <w:rPr>
          <w:rFonts w:hint="eastAsia" w:ascii="仿宋_GB2312" w:eastAsia="仿宋_GB2312"/>
          <w:sz w:val="32"/>
          <w:szCs w:val="32"/>
        </w:rPr>
        <w:t>工作档案，做到</w:t>
      </w:r>
      <w:r>
        <w:rPr>
          <w:rFonts w:hint="eastAsia" w:ascii="仿宋_GB2312" w:hAnsi="楷体" w:eastAsia="仿宋_GB2312"/>
          <w:sz w:val="32"/>
          <w:szCs w:val="32"/>
        </w:rPr>
        <w:t>“创文”</w:t>
      </w:r>
      <w:r>
        <w:rPr>
          <w:rFonts w:hint="eastAsia" w:ascii="仿宋_GB2312" w:eastAsia="仿宋_GB2312"/>
          <w:sz w:val="32"/>
          <w:szCs w:val="32"/>
        </w:rPr>
        <w:t>各项工作资料齐全。切实做好经常性的环境整治工作，不断巩固提高</w:t>
      </w:r>
      <w:r>
        <w:rPr>
          <w:rFonts w:hint="eastAsia" w:ascii="仿宋_GB2312" w:hAnsi="楷体" w:eastAsia="仿宋_GB2312"/>
          <w:sz w:val="32"/>
          <w:szCs w:val="32"/>
        </w:rPr>
        <w:t>“创文”</w:t>
      </w:r>
      <w:r>
        <w:rPr>
          <w:rFonts w:hint="eastAsia" w:ascii="仿宋_GB2312" w:eastAsia="仿宋_GB2312"/>
          <w:sz w:val="32"/>
          <w:szCs w:val="32"/>
        </w:rPr>
        <w:t>成果。认真落实清洁区“四自一包”责任，坚持每周五义务打扫责任区环境卫生。</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spacing w:line="560" w:lineRule="exact"/>
        <w:ind w:firstLine="640" w:firstLineChars="200"/>
        <w:rPr>
          <w:rFonts w:eastAsia="仿宋_GB2312"/>
          <w:sz w:val="32"/>
          <w:szCs w:val="32"/>
        </w:rPr>
      </w:pPr>
      <w:r>
        <w:rPr>
          <w:rFonts w:eastAsia="仿宋_GB2312"/>
          <w:sz w:val="32"/>
          <w:szCs w:val="32"/>
        </w:rPr>
        <w:t>从预算单位构成看，本部门的部门预算包括本级（事业）预算。</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2857"/>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0"/>
            <w:vAlign w:val="top"/>
          </w:tcPr>
          <w:p>
            <w:pPr>
              <w:spacing w:line="560" w:lineRule="exact"/>
              <w:rPr>
                <w:rFonts w:eastAsia="仿宋_GB2312"/>
                <w:sz w:val="32"/>
                <w:szCs w:val="32"/>
              </w:rPr>
            </w:pPr>
            <w:r>
              <w:rPr>
                <w:rFonts w:eastAsia="仿宋_GB2312"/>
                <w:sz w:val="32"/>
                <w:szCs w:val="32"/>
              </w:rPr>
              <w:t>序号</w:t>
            </w:r>
          </w:p>
        </w:tc>
        <w:tc>
          <w:tcPr>
            <w:tcW w:w="3020" w:type="dxa"/>
            <w:noWrap w:val="0"/>
            <w:vAlign w:val="top"/>
          </w:tcPr>
          <w:p>
            <w:pPr>
              <w:spacing w:line="560" w:lineRule="exact"/>
              <w:rPr>
                <w:rFonts w:eastAsia="仿宋_GB2312"/>
                <w:sz w:val="32"/>
                <w:szCs w:val="32"/>
              </w:rPr>
            </w:pPr>
            <w:r>
              <w:rPr>
                <w:rFonts w:eastAsia="仿宋_GB2312"/>
                <w:sz w:val="32"/>
                <w:szCs w:val="32"/>
              </w:rPr>
              <w:t>单位名称</w:t>
            </w:r>
          </w:p>
        </w:tc>
        <w:tc>
          <w:tcPr>
            <w:tcW w:w="3020" w:type="dxa"/>
            <w:noWrap w:val="0"/>
            <w:vAlign w:val="top"/>
          </w:tcPr>
          <w:p>
            <w:pPr>
              <w:spacing w:line="560" w:lineRule="exact"/>
              <w:rPr>
                <w:rFonts w:eastAsia="仿宋_GB2312"/>
                <w:sz w:val="32"/>
                <w:szCs w:val="32"/>
              </w:rPr>
            </w:pPr>
            <w:r>
              <w:rPr>
                <w:rFonts w:eastAsia="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noWrap w:val="0"/>
            <w:vAlign w:val="center"/>
          </w:tcPr>
          <w:p>
            <w:pPr>
              <w:spacing w:line="560" w:lineRule="exact"/>
              <w:jc w:val="center"/>
              <w:rPr>
                <w:rFonts w:eastAsia="仿宋_GB2312"/>
                <w:sz w:val="32"/>
                <w:szCs w:val="32"/>
              </w:rPr>
            </w:pPr>
            <w:r>
              <w:rPr>
                <w:rFonts w:eastAsia="仿宋_GB2312"/>
                <w:sz w:val="32"/>
                <w:szCs w:val="32"/>
              </w:rPr>
              <w:t>1</w:t>
            </w:r>
          </w:p>
        </w:tc>
        <w:tc>
          <w:tcPr>
            <w:tcW w:w="3020" w:type="dxa"/>
            <w:noWrap w:val="0"/>
            <w:vAlign w:val="center"/>
          </w:tcPr>
          <w:p>
            <w:pPr>
              <w:spacing w:line="560" w:lineRule="exact"/>
              <w:jc w:val="center"/>
              <w:rPr>
                <w:rFonts w:eastAsia="仿宋_GB2312"/>
                <w:sz w:val="32"/>
                <w:szCs w:val="32"/>
              </w:rPr>
            </w:pPr>
            <w:r>
              <w:rPr>
                <w:rFonts w:eastAsia="仿宋_GB2312"/>
                <w:sz w:val="32"/>
                <w:szCs w:val="32"/>
              </w:rPr>
              <w:t>镇坪县</w:t>
            </w:r>
            <w:r>
              <w:rPr>
                <w:rFonts w:hint="eastAsia" w:eastAsia="仿宋_GB2312"/>
                <w:sz w:val="32"/>
                <w:szCs w:val="32"/>
                <w:lang w:eastAsia="zh-CN"/>
              </w:rPr>
              <w:t>畜牧兽医</w:t>
            </w:r>
            <w:r>
              <w:rPr>
                <w:rFonts w:eastAsia="仿宋_GB2312"/>
                <w:sz w:val="32"/>
                <w:szCs w:val="32"/>
              </w:rPr>
              <w:t>中心本级（事业）</w:t>
            </w:r>
          </w:p>
        </w:tc>
        <w:tc>
          <w:tcPr>
            <w:tcW w:w="3020" w:type="dxa"/>
            <w:noWrap w:val="0"/>
            <w:vAlign w:val="center"/>
          </w:tcPr>
          <w:p>
            <w:pPr>
              <w:spacing w:line="560" w:lineRule="exact"/>
              <w:jc w:val="center"/>
              <w:rPr>
                <w:rFonts w:eastAsia="仿宋_GB2312"/>
                <w:sz w:val="32"/>
                <w:szCs w:val="32"/>
              </w:rPr>
            </w:pPr>
            <w:r>
              <w:rPr>
                <w:rFonts w:eastAsia="仿宋_GB2312"/>
                <w:sz w:val="32"/>
                <w:szCs w:val="32"/>
              </w:rPr>
              <w:t>无</w:t>
            </w:r>
          </w:p>
        </w:tc>
      </w:tr>
    </w:tbl>
    <w:p>
      <w:pPr>
        <w:spacing w:line="560" w:lineRule="exact"/>
        <w:rPr>
          <w:rFonts w:eastAsia="仿宋_GB2312"/>
          <w:sz w:val="32"/>
          <w:szCs w:val="32"/>
        </w:rPr>
      </w:pPr>
    </w:p>
    <w:p>
      <w:pPr>
        <w:numPr>
          <w:ilvl w:val="0"/>
          <w:numId w:val="2"/>
        </w:num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人员情况说明</w:t>
      </w:r>
    </w:p>
    <w:p>
      <w:pPr>
        <w:numPr>
          <w:ilvl w:val="0"/>
          <w:numId w:val="0"/>
        </w:numPr>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w:t>
      </w:r>
      <w:r>
        <w:rPr>
          <w:rFonts w:eastAsia="仿宋_GB2312"/>
          <w:sz w:val="32"/>
          <w:szCs w:val="32"/>
        </w:rPr>
        <w:t>截止20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年底，本部门人员编制</w:t>
      </w:r>
      <w:r>
        <w:rPr>
          <w:rFonts w:hint="eastAsia" w:eastAsia="仿宋_GB2312"/>
          <w:sz w:val="32"/>
          <w:szCs w:val="32"/>
        </w:rPr>
        <w:t>2</w:t>
      </w:r>
      <w:r>
        <w:rPr>
          <w:rFonts w:hint="eastAsia" w:eastAsia="仿宋_GB2312"/>
          <w:sz w:val="32"/>
          <w:szCs w:val="32"/>
          <w:lang w:val="en-US" w:eastAsia="zh-CN"/>
        </w:rPr>
        <w:t>3</w:t>
      </w:r>
      <w:r>
        <w:rPr>
          <w:rFonts w:eastAsia="仿宋_GB2312"/>
          <w:sz w:val="32"/>
          <w:szCs w:val="32"/>
        </w:rPr>
        <w:t>人，实有人员</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人。其中专业技术人员</w:t>
      </w:r>
      <w:r>
        <w:rPr>
          <w:rFonts w:hint="eastAsia" w:eastAsia="仿宋_GB2312"/>
          <w:sz w:val="32"/>
          <w:szCs w:val="32"/>
          <w:lang w:val="en-US" w:eastAsia="zh-CN"/>
        </w:rPr>
        <w:t>21</w:t>
      </w:r>
      <w:r>
        <w:rPr>
          <w:rFonts w:eastAsia="仿宋_GB2312"/>
          <w:sz w:val="32"/>
          <w:szCs w:val="32"/>
        </w:rPr>
        <w:t>人、工勤人员</w:t>
      </w:r>
      <w:r>
        <w:rPr>
          <w:rFonts w:hint="eastAsia" w:eastAsia="仿宋_GB2312"/>
          <w:sz w:val="32"/>
          <w:szCs w:val="32"/>
          <w:lang w:val="en-US" w:eastAsia="zh-CN"/>
        </w:rPr>
        <w:t>3</w:t>
      </w:r>
      <w:r>
        <w:rPr>
          <w:rFonts w:eastAsia="仿宋_GB2312"/>
          <w:sz w:val="32"/>
          <w:szCs w:val="32"/>
        </w:rPr>
        <w:t>人。 单位管理的离退休人员</w:t>
      </w:r>
      <w:r>
        <w:rPr>
          <w:rFonts w:hint="eastAsia" w:eastAsia="仿宋_GB2312"/>
          <w:sz w:val="32"/>
          <w:szCs w:val="32"/>
          <w:lang w:val="en-US" w:eastAsia="zh-CN"/>
        </w:rPr>
        <w:t>11</w:t>
      </w:r>
      <w:r>
        <w:rPr>
          <w:rFonts w:eastAsia="仿宋_GB2312"/>
          <w:sz w:val="32"/>
          <w:szCs w:val="32"/>
        </w:rPr>
        <w:t>人。</w:t>
      </w:r>
    </w:p>
    <w:p>
      <w:pPr>
        <w:ind w:firstLine="640"/>
        <w:rPr>
          <w:rFonts w:hint="eastAsia" w:ascii="仿宋_GB2312" w:hAnsi="仿宋_GB2312" w:eastAsia="仿宋_GB2312" w:cs="仿宋_GB2312"/>
          <w:sz w:val="32"/>
          <w:szCs w:val="32"/>
          <w:highlight w:val="none"/>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"d:\\My Documents\\Tencent Files\\510715641\\Image\\C2C\\A[P`R_(DFB{UK2TSYL7ZJQQ.png" \* MERGEFORMATINET </w:instrText>
      </w:r>
      <w:r>
        <w:rPr>
          <w:rFonts w:ascii="宋体" w:hAnsi="宋体" w:eastAsia="宋体" w:cs="宋体"/>
          <w:sz w:val="24"/>
          <w:szCs w:val="24"/>
        </w:rPr>
        <w:fldChar w:fldCharType="separate"/>
      </w:r>
      <w:r>
        <w:rPr>
          <w:rFonts w:ascii="宋体" w:hAnsi="宋体" w:eastAsia="宋体" w:cs="宋体"/>
          <w:sz w:val="24"/>
          <w:szCs w:val="24"/>
        </w:rPr>
        <w:pict>
          <v:shape id="_x0000_i1025" o:spt="75" alt="IMG_256" type="#_x0000_t75" style="height:211.85pt;width:294.8pt;" filled="f" o:preferrelative="t" stroked="f" coordsize="21600,21600">
            <v:path/>
            <v:fill on="f" focussize="0,0"/>
            <v:stroke on="f"/>
            <v:imagedata r:id="rId4" o:title="IMG_256"/>
            <o:lock v:ext="edit" aspectratio="t"/>
            <w10:wrap type="none"/>
            <w10:anchorlock/>
          </v:shape>
        </w:pict>
      </w:r>
      <w:r>
        <w:rPr>
          <w:rFonts w:ascii="宋体" w:hAnsi="宋体" w:eastAsia="宋体" w:cs="宋体"/>
          <w:sz w:val="24"/>
          <w:szCs w:val="24"/>
        </w:rPr>
        <w:fldChar w:fldCharType="end"/>
      </w:r>
    </w:p>
    <w:p>
      <w:pPr>
        <w:ind w:firstLine="640"/>
        <w:rPr>
          <w:rFonts w:hint="eastAsia" w:ascii="仿宋_GB2312" w:hAnsi="仿宋_GB2312" w:eastAsia="仿宋_GB2312" w:cs="仿宋_GB2312"/>
          <w:sz w:val="32"/>
          <w:szCs w:val="32"/>
          <w:highlight w:val="none"/>
          <w:lang w:val="en-US" w:eastAsia="zh-CN"/>
        </w:rPr>
      </w:pP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numPr>
          <w:ilvl w:val="0"/>
          <w:numId w:val="0"/>
        </w:numPr>
        <w:spacing w:line="560"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按照综合预算的原则，本部门所有的收入和支出均纳入部门预算管理。 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年度本部门预算收入</w:t>
      </w:r>
      <w:r>
        <w:rPr>
          <w:rFonts w:hint="eastAsia" w:ascii="Times New Roman" w:hAnsi="Times New Roman" w:eastAsia="仿宋_GB2312" w:cs="Times New Roman"/>
          <w:sz w:val="32"/>
          <w:szCs w:val="32"/>
          <w:lang w:val="en-US" w:eastAsia="zh-CN"/>
        </w:rPr>
        <w:t>314.79</w:t>
      </w:r>
      <w:r>
        <w:rPr>
          <w:rFonts w:ascii="Times New Roman" w:hAnsi="Times New Roman" w:eastAsia="仿宋_GB2312" w:cs="Times New Roman"/>
          <w:sz w:val="32"/>
          <w:szCs w:val="32"/>
        </w:rPr>
        <w:t>万元，其中一般公共预算财政拨款收入</w:t>
      </w:r>
      <w:r>
        <w:rPr>
          <w:rFonts w:hint="eastAsia" w:ascii="Times New Roman" w:hAnsi="Times New Roman" w:eastAsia="仿宋_GB2312" w:cs="Times New Roman"/>
          <w:sz w:val="32"/>
          <w:szCs w:val="32"/>
          <w:lang w:val="en-US" w:eastAsia="zh-CN"/>
        </w:rPr>
        <w:t>314.79</w:t>
      </w:r>
      <w:r>
        <w:rPr>
          <w:rFonts w:ascii="Times New Roman" w:hAnsi="Times New Roman" w:eastAsia="仿宋_GB2312" w:cs="Times New Roman"/>
          <w:sz w:val="32"/>
          <w:szCs w:val="32"/>
        </w:rPr>
        <w:t>万元，202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年本部门预算收入较上年</w:t>
      </w:r>
      <w:r>
        <w:rPr>
          <w:rFonts w:hint="eastAsia" w:ascii="Times New Roman" w:hAnsi="Times New Roman" w:eastAsia="仿宋_GB2312" w:cs="Times New Roman"/>
          <w:sz w:val="32"/>
          <w:szCs w:val="32"/>
          <w:lang w:val="en-US" w:eastAsia="zh-CN"/>
        </w:rPr>
        <w:t>增加25.55</w:t>
      </w:r>
      <w:r>
        <w:rPr>
          <w:rFonts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人员增资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年本部门预算支出</w:t>
      </w:r>
      <w:r>
        <w:rPr>
          <w:rFonts w:hint="eastAsia" w:ascii="Times New Roman" w:hAnsi="Times New Roman" w:eastAsia="仿宋_GB2312" w:cs="Times New Roman"/>
          <w:sz w:val="32"/>
          <w:szCs w:val="32"/>
          <w:lang w:val="en-US" w:eastAsia="zh-CN"/>
        </w:rPr>
        <w:t>314.79</w:t>
      </w:r>
      <w:r>
        <w:rPr>
          <w:rFonts w:ascii="Times New Roman" w:hAnsi="Times New Roman" w:eastAsia="仿宋_GB2312" w:cs="Times New Roman"/>
          <w:sz w:val="32"/>
          <w:szCs w:val="32"/>
        </w:rPr>
        <w:t>万元，其中一般公共预算拨款支出</w:t>
      </w:r>
      <w:r>
        <w:rPr>
          <w:rFonts w:hint="eastAsia" w:ascii="Times New Roman" w:hAnsi="Times New Roman" w:eastAsia="仿宋_GB2312" w:cs="Times New Roman"/>
          <w:sz w:val="32"/>
          <w:szCs w:val="32"/>
          <w:lang w:val="en-US" w:eastAsia="zh-CN"/>
        </w:rPr>
        <w:t>314.79</w:t>
      </w:r>
      <w:r>
        <w:rPr>
          <w:rFonts w:ascii="Times New Roman" w:hAnsi="Times New Roman" w:eastAsia="仿宋_GB2312" w:cs="Times New Roman"/>
          <w:sz w:val="32"/>
          <w:szCs w:val="32"/>
        </w:rPr>
        <w:t>万元、政府性基金拨款支出0万元，202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年本部门预算收入较上年</w:t>
      </w:r>
      <w:r>
        <w:rPr>
          <w:rFonts w:hint="eastAsia" w:ascii="Times New Roman" w:hAnsi="Times New Roman" w:eastAsia="仿宋_GB2312" w:cs="Times New Roman"/>
          <w:sz w:val="32"/>
          <w:szCs w:val="32"/>
          <w:lang w:val="en-US" w:eastAsia="zh-CN"/>
        </w:rPr>
        <w:t>增加25.55</w:t>
      </w:r>
      <w:r>
        <w:rPr>
          <w:rFonts w:ascii="Times New Roman" w:hAnsi="Times New Roman" w:eastAsia="仿宋_GB2312" w:cs="Times New Roman"/>
          <w:sz w:val="32"/>
          <w:szCs w:val="32"/>
        </w:rPr>
        <w:t>万元，主要原因</w:t>
      </w:r>
      <w:r>
        <w:rPr>
          <w:rFonts w:hint="eastAsia" w:ascii="Times New Roman" w:hAnsi="Times New Roman" w:eastAsia="仿宋_GB2312" w:cs="Times New Roman"/>
          <w:sz w:val="32"/>
          <w:szCs w:val="32"/>
        </w:rPr>
        <w:t>是</w:t>
      </w:r>
      <w:r>
        <w:rPr>
          <w:rFonts w:hint="eastAsia" w:ascii="Times New Roman" w:hAnsi="Times New Roman" w:eastAsia="仿宋_GB2312" w:cs="Times New Roman"/>
          <w:sz w:val="32"/>
          <w:szCs w:val="32"/>
          <w:lang w:eastAsia="zh-CN"/>
        </w:rPr>
        <w:t>人员增资</w:t>
      </w:r>
      <w:r>
        <w:rPr>
          <w:rFonts w:ascii="Times New Roman" w:hAnsi="Times New Roman" w:eastAsia="仿宋_GB2312" w:cs="Times New Roman"/>
          <w:sz w:val="32"/>
          <w:szCs w:val="32"/>
        </w:rPr>
        <w:t>。</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年财政拨款收入</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eastAsia="zh-CN"/>
        </w:rPr>
        <w:t>万元，其中一般共预算拨款收入</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25.55</w:t>
      </w:r>
      <w:r>
        <w:rPr>
          <w:rFonts w:hint="eastAsia" w:ascii="仿宋_GB2312" w:hAnsi="仿宋_GB2312" w:eastAsia="仿宋_GB2312" w:cs="仿宋_GB2312"/>
          <w:sz w:val="32"/>
          <w:szCs w:val="32"/>
          <w:highlight w:val="none"/>
          <w:lang w:eastAsia="zh-CN"/>
        </w:rPr>
        <w:t>万元，主要原因是人员增资；本部门</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年财政拨款支出</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eastAsia="zh-CN"/>
        </w:rPr>
        <w:t>万元，其中一般公共预算拨款支出</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25.55</w:t>
      </w:r>
      <w:r>
        <w:rPr>
          <w:rFonts w:hint="eastAsia" w:ascii="仿宋_GB2312" w:hAnsi="仿宋_GB2312" w:eastAsia="仿宋_GB2312" w:cs="仿宋_GB2312"/>
          <w:sz w:val="32"/>
          <w:szCs w:val="32"/>
          <w:highlight w:val="none"/>
          <w:lang w:eastAsia="zh-CN"/>
        </w:rPr>
        <w:t>万元，主要原因是人员增资。</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lang w:eastAsia="zh-CN"/>
        </w:rPr>
        <w:t>年本部门一般公共预算拨款支出</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25.55</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lang w:val="en-US" w:eastAsia="zh-CN"/>
        </w:rPr>
        <w:t>主要原因是：2023年本部门预算收入包含了县本级专项资金预算，上年度仅含部门预算以及人员经费的正常增加。</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2023年一般公共预算支出</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val="en-US" w:eastAsia="zh-CN"/>
        </w:rPr>
        <w:t>万元，其中：</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（1）农林水（213）314.79万元，较上年增加了25.55万元，主要原因是：2023年本部门预算收入包含了县本级专项资金预算，上年度仅含部门预算以及人员经费的正常增加。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（2）农业农村（21301）314.79.</w:t>
      </w:r>
      <w:r>
        <w:rPr>
          <w:rFonts w:hint="eastAsia" w:ascii="仿宋_GB2312" w:hAnsi="仿宋_GB2312" w:eastAsia="仿宋_GB2312" w:cs="仿宋_GB2312"/>
          <w:sz w:val="32"/>
          <w:szCs w:val="32"/>
          <w:lang w:val="en-US" w:eastAsia="zh-CN"/>
        </w:rPr>
        <w:t>较上年增加了25.55万元，主要原因是：2023年本部门预算收入包含了县本级专项资金预算，上年度仅含部门预算以及人员经费的正常增加。</w:t>
      </w:r>
    </w:p>
    <w:p>
      <w:pPr>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（3）病虫害控制（2130108）309.34万元，较上年增加了48.1万元，</w:t>
      </w:r>
      <w:r>
        <w:rPr>
          <w:rFonts w:hint="eastAsia" w:ascii="仿宋_GB2312" w:hAnsi="仿宋_GB2312" w:eastAsia="仿宋_GB2312" w:cs="仿宋_GB2312"/>
          <w:sz w:val="32"/>
          <w:szCs w:val="32"/>
          <w:lang w:val="en-US" w:eastAsia="zh-CN"/>
        </w:rPr>
        <w:t>主要原因是：2023年本部门预算收入包含了县本级专项资金预算，上年度仅含部门预算以及人员经费的正常增加。</w:t>
      </w:r>
    </w:p>
    <w:p>
      <w:pPr>
        <w:numPr>
          <w:ilvl w:val="0"/>
          <w:numId w:val="0"/>
        </w:num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（4）行业业务管理（2130112）</w:t>
      </w:r>
      <w:bookmarkStart w:id="0" w:name="_GoBack"/>
      <w:bookmarkEnd w:id="0"/>
      <w:r>
        <w:rPr>
          <w:rFonts w:hint="eastAsia" w:ascii="仿宋_GB2312" w:hAnsi="仿宋_GB2312" w:eastAsia="仿宋_GB2312" w:cs="仿宋_GB2312"/>
          <w:sz w:val="32"/>
          <w:szCs w:val="32"/>
          <w:lang w:val="en-US" w:eastAsia="zh-CN"/>
        </w:rPr>
        <w:t>10.45万元，主要是专项业务经费的预算，上年度此项没有纳入部门预算。</w:t>
      </w:r>
    </w:p>
    <w:p>
      <w:pPr>
        <w:ind w:firstLine="960" w:firstLineChars="3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3、支出按经济科目分类的明细情况</w:t>
      </w:r>
    </w:p>
    <w:p>
      <w:pPr>
        <w:ind w:firstLine="640"/>
        <w:rPr>
          <w:rFonts w:eastAsia="仿宋_GB2312"/>
          <w:sz w:val="32"/>
          <w:szCs w:val="32"/>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w:t>
      </w:r>
      <w:r>
        <w:rPr>
          <w:rFonts w:eastAsia="仿宋_GB2312"/>
          <w:sz w:val="32"/>
          <w:szCs w:val="32"/>
        </w:rPr>
        <w:t>按照部门预算支出经济分类的类级科目说明。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本部门2023年一般公共预算支出</w:t>
      </w:r>
      <w:r>
        <w:rPr>
          <w:rFonts w:hint="eastAsia" w:ascii="Times New Roman" w:hAnsi="Times New Roman" w:eastAsia="仿宋_GB2312" w:cs="Times New Roman"/>
          <w:sz w:val="32"/>
          <w:szCs w:val="32"/>
          <w:lang w:val="en-US" w:eastAsia="zh-CN"/>
        </w:rPr>
        <w:t>314.79</w:t>
      </w:r>
      <w:r>
        <w:rPr>
          <w:rFonts w:hint="eastAsia" w:ascii="仿宋_GB2312" w:hAnsi="仿宋_GB2312" w:eastAsia="仿宋_GB2312" w:cs="仿宋_GB2312"/>
          <w:sz w:val="32"/>
          <w:szCs w:val="32"/>
          <w:highlight w:val="none"/>
          <w:lang w:val="en-US" w:eastAsia="zh-CN"/>
        </w:rPr>
        <w:t>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292.19万元，较上年增加48.55</w:t>
      </w:r>
      <w:r>
        <w:rPr>
          <w:rFonts w:hint="eastAsia" w:ascii="仿宋_GB2312" w:hAnsi="仿宋_GB2312" w:eastAsia="仿宋_GB2312" w:cs="仿宋_GB2312"/>
          <w:sz w:val="32"/>
          <w:szCs w:val="32"/>
          <w:highlight w:val="none"/>
          <w:lang w:eastAsia="zh-CN"/>
        </w:rPr>
        <w:t>万元，原因是人员增资；</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17.6万元，与上年相比无增减。</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对个人和家庭的补助支出（303）16.6万元，较上年增加3.6</w:t>
      </w:r>
      <w:r>
        <w:rPr>
          <w:rFonts w:hint="eastAsia" w:ascii="仿宋_GB2312" w:hAnsi="仿宋_GB2312" w:eastAsia="仿宋_GB2312" w:cs="仿宋_GB2312"/>
          <w:sz w:val="32"/>
          <w:szCs w:val="32"/>
          <w:highlight w:val="none"/>
          <w:lang w:eastAsia="zh-CN"/>
        </w:rPr>
        <w:t>万元，原因是老兽医的生活补助增加。</w:t>
      </w:r>
    </w:p>
    <w:p>
      <w:pPr>
        <w:numPr>
          <w:ilvl w:val="0"/>
          <w:numId w:val="3"/>
        </w:num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本部门2023年一般公共预算支出314.7万元，其中：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292.19万元，较上年增加48.55</w:t>
      </w:r>
      <w:r>
        <w:rPr>
          <w:rFonts w:hint="eastAsia" w:ascii="仿宋_GB2312" w:hAnsi="仿宋_GB2312" w:eastAsia="仿宋_GB2312" w:cs="仿宋_GB2312"/>
          <w:sz w:val="32"/>
          <w:szCs w:val="32"/>
          <w:highlight w:val="none"/>
          <w:lang w:eastAsia="zh-CN"/>
        </w:rPr>
        <w:t>万元，原因是人员工资的正常增资；</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17.6万元，与上年相比无增减。</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对个人和家庭的补助支出（303）16.6万元，较上年增加3.6</w:t>
      </w:r>
      <w:r>
        <w:rPr>
          <w:rFonts w:hint="eastAsia" w:ascii="仿宋_GB2312" w:hAnsi="仿宋_GB2312" w:eastAsia="仿宋_GB2312" w:cs="仿宋_GB2312"/>
          <w:sz w:val="32"/>
          <w:szCs w:val="32"/>
          <w:highlight w:val="none"/>
          <w:lang w:eastAsia="zh-CN"/>
        </w:rPr>
        <w:t>万元，原因是老兽医的生活补助增加。</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spacing w:line="560" w:lineRule="exact"/>
        <w:ind w:firstLine="640" w:firstLineChars="200"/>
        <w:rPr>
          <w:rFonts w:eastAsia="仿宋_GB2312"/>
          <w:sz w:val="32"/>
          <w:szCs w:val="32"/>
        </w:rPr>
      </w:pPr>
      <w:r>
        <w:rPr>
          <w:rFonts w:eastAsia="仿宋_GB2312"/>
          <w:sz w:val="32"/>
          <w:szCs w:val="32"/>
        </w:rPr>
        <w:t xml:space="preserve">1.当年政府性基金预算支出情况。 </w:t>
      </w:r>
    </w:p>
    <w:p>
      <w:pPr>
        <w:spacing w:line="560" w:lineRule="exact"/>
        <w:ind w:firstLine="640" w:firstLineChars="200"/>
        <w:rPr>
          <w:rFonts w:eastAsia="仿宋_GB2312"/>
          <w:sz w:val="32"/>
          <w:szCs w:val="32"/>
        </w:rPr>
      </w:pPr>
      <w:r>
        <w:rPr>
          <w:rFonts w:eastAsia="仿宋_GB2312"/>
          <w:sz w:val="32"/>
          <w:szCs w:val="32"/>
        </w:rPr>
        <w:t xml:space="preserve">本部门无当年政府性基金预算收支，并已公开空表。 </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spacing w:line="560" w:lineRule="exact"/>
        <w:ind w:firstLine="640" w:firstLineChars="200"/>
        <w:rPr>
          <w:rFonts w:eastAsia="仿宋_GB2312"/>
          <w:sz w:val="32"/>
          <w:szCs w:val="32"/>
        </w:rPr>
      </w:pPr>
      <w:r>
        <w:rPr>
          <w:rFonts w:eastAsia="仿宋_GB2312"/>
          <w:sz w:val="32"/>
          <w:szCs w:val="32"/>
        </w:rPr>
        <w:t>1、本部门无</w:t>
      </w:r>
      <w:r>
        <w:rPr>
          <w:rFonts w:hint="eastAsia" w:eastAsia="仿宋_GB2312"/>
          <w:sz w:val="32"/>
          <w:szCs w:val="32"/>
          <w:lang w:val="en-US" w:eastAsia="zh-CN"/>
        </w:rPr>
        <w:t>2023年</w:t>
      </w:r>
      <w:r>
        <w:rPr>
          <w:rFonts w:eastAsia="仿宋_GB2312"/>
          <w:sz w:val="32"/>
          <w:szCs w:val="32"/>
        </w:rPr>
        <w:t>国有资本经营预算拨款收支，并</w:t>
      </w:r>
      <w:r>
        <w:rPr>
          <w:rFonts w:hint="eastAsia" w:eastAsia="仿宋_GB2312"/>
          <w:sz w:val="32"/>
          <w:szCs w:val="32"/>
          <w:lang w:eastAsia="zh-CN"/>
        </w:rPr>
        <w:t>已公开空表</w:t>
      </w:r>
      <w:r>
        <w:rPr>
          <w:rFonts w:eastAsia="仿宋_GB2312"/>
          <w:sz w:val="32"/>
          <w:szCs w:val="32"/>
        </w:rPr>
        <w:t xml:space="preserve">。 </w:t>
      </w:r>
    </w:p>
    <w:p>
      <w:pPr>
        <w:ind w:firstLine="640"/>
        <w:rPr>
          <w:rFonts w:hint="eastAsia" w:ascii="仿宋_GB2312" w:hAnsi="仿宋_GB2312" w:eastAsia="仿宋_GB2312" w:cs="仿宋_GB2312"/>
          <w:sz w:val="32"/>
          <w:szCs w:val="32"/>
          <w:highlight w:val="none"/>
          <w:lang w:val="en-US" w:eastAsia="zh-CN"/>
        </w:rPr>
      </w:pPr>
      <w:r>
        <w:rPr>
          <w:rFonts w:eastAsia="仿宋_GB2312"/>
          <w:sz w:val="32"/>
          <w:szCs w:val="32"/>
        </w:rPr>
        <w:t>2、本部门无</w:t>
      </w:r>
      <w:r>
        <w:rPr>
          <w:rFonts w:hint="eastAsia" w:eastAsia="仿宋_GB2312"/>
          <w:sz w:val="32"/>
          <w:szCs w:val="32"/>
        </w:rPr>
        <w:t>202</w:t>
      </w:r>
      <w:r>
        <w:rPr>
          <w:rFonts w:hint="eastAsia" w:eastAsia="仿宋_GB2312"/>
          <w:sz w:val="32"/>
          <w:szCs w:val="32"/>
          <w:lang w:val="en-US" w:eastAsia="zh-CN"/>
        </w:rPr>
        <w:t>2</w:t>
      </w:r>
      <w:r>
        <w:rPr>
          <w:rFonts w:eastAsia="仿宋_GB2312"/>
          <w:sz w:val="32"/>
          <w:szCs w:val="32"/>
        </w:rPr>
        <w:t>年结转的国有资本经营预算拨款支出</w:t>
      </w:r>
      <w:r>
        <w:rPr>
          <w:rFonts w:hint="eastAsia" w:eastAsia="仿宋_GB2312"/>
          <w:sz w:val="32"/>
          <w:szCs w:val="32"/>
          <w:lang w:eastAsia="zh-CN"/>
        </w:rPr>
        <w:t>，</w:t>
      </w:r>
      <w:r>
        <w:rPr>
          <w:rFonts w:eastAsia="仿宋_GB2312"/>
          <w:sz w:val="32"/>
          <w:szCs w:val="32"/>
        </w:rPr>
        <w:t xml:space="preserve"> 并</w:t>
      </w:r>
      <w:r>
        <w:rPr>
          <w:rFonts w:hint="eastAsia" w:eastAsia="仿宋_GB2312"/>
          <w:sz w:val="32"/>
          <w:szCs w:val="32"/>
          <w:lang w:eastAsia="zh-CN"/>
        </w:rPr>
        <w:t>已公开空表。</w:t>
      </w: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本部门2023年一般公共预算“三公”经费预算支出9.7万元，</w:t>
      </w:r>
      <w:r>
        <w:rPr>
          <w:rFonts w:hint="eastAsia" w:ascii="仿宋_GB2312" w:hAnsi="仿宋_GB2312" w:eastAsia="仿宋_GB2312" w:cs="仿宋_GB2312"/>
          <w:sz w:val="32"/>
          <w:szCs w:val="32"/>
          <w:lang w:val="en-US" w:eastAsia="zh-CN"/>
        </w:rPr>
        <w:t>上年一般公共预算“三公”经费预算支出8.9万元，</w:t>
      </w:r>
      <w:r>
        <w:rPr>
          <w:rFonts w:hint="eastAsia" w:ascii="仿宋_GB2312" w:hAnsi="仿宋_GB2312" w:eastAsia="仿宋_GB2312" w:cs="仿宋_GB2312"/>
          <w:sz w:val="32"/>
          <w:szCs w:val="32"/>
          <w:highlight w:val="none"/>
          <w:lang w:val="en-US" w:eastAsia="zh-CN"/>
        </w:rPr>
        <w:t>较上年增加0.8万元，增加的主要原因是本年度预算安排的公务接待费增加了0.8万元。其中：因公出国（境）经费0万元，</w:t>
      </w:r>
      <w:r>
        <w:rPr>
          <w:rFonts w:hint="eastAsia" w:ascii="仿宋_GB2312" w:hAnsi="仿宋_GB2312" w:eastAsia="仿宋_GB2312" w:cs="仿宋_GB2312"/>
          <w:sz w:val="32"/>
          <w:szCs w:val="32"/>
          <w:lang w:val="en-US" w:eastAsia="zh-CN"/>
        </w:rPr>
        <w:t>2022年和2023年，本部门均无因公出国（境）经费预算</w:t>
      </w:r>
      <w:r>
        <w:rPr>
          <w:rFonts w:hint="eastAsia" w:ascii="仿宋_GB2312" w:hAnsi="仿宋_GB2312" w:eastAsia="仿宋_GB2312" w:cs="仿宋_GB2312"/>
          <w:sz w:val="32"/>
          <w:szCs w:val="32"/>
          <w:highlight w:val="none"/>
          <w:lang w:val="en-US" w:eastAsia="zh-CN"/>
        </w:rPr>
        <w:t>；公务接待费1.3万元，2022年公务接待费预算为0.5 万元，较上年增加0.8万元，增加的主要原因是本年度全省畜牧产业调研工作次数增加，因此预算接待费用增加了；公务用车运行维护费8.4万元，与上年一样；公务用车购置费0万元，与上年相同。</w:t>
      </w:r>
      <w:r>
        <w:rPr>
          <w:rFonts w:hint="eastAsia" w:ascii="仿宋_GB2312" w:hAnsi="仿宋_GB2312" w:eastAsia="仿宋_GB2312" w:cs="仿宋_GB2312"/>
          <w:sz w:val="32"/>
          <w:szCs w:val="32"/>
          <w:highlight w:val="none"/>
          <w:u w:val="none"/>
          <w:lang w:val="en-US" w:eastAsia="zh-CN"/>
        </w:rPr>
        <w:t xml:space="preserve">本部门当年一般公共预算会议费预算支出0万元，与上年相同。本部门当年一般公共预算培训费预算支出0万元，与上年相同。 </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lang w:val="en-US" w:eastAsia="zh-CN"/>
        </w:rPr>
        <w:t>本部门无2022年结转的财政拨款‘三公’经费支出。</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2022年底，本部门所属预算单位共有车辆2辆，单价20万元以上的设备0台（套）。当年部门预算安排购置车辆0辆；安排购置单价20万元以上的设备0台（套）。</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本部门绩效目标管理全覆盖，涉及当年一般公共预算当年拨款314.79万元,当年政府性基金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ind w:firstLine="643"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当年机关运行经费预算安排17.6万元，与上年相同。</w:t>
      </w:r>
    </w:p>
    <w:p>
      <w:pPr>
        <w:ind w:firstLine="643"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highlight w:val="none"/>
        </w:rPr>
        <w:t>2.</w:t>
      </w:r>
      <w:r>
        <w:rPr>
          <w:rFonts w:hint="eastAsia" w:ascii="仿宋_GB2312" w:eastAsia="仿宋_GB2312"/>
          <w:sz w:val="32"/>
          <w:szCs w:val="32"/>
        </w:rPr>
        <w:t xml:space="preserve">“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 </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EBD2A"/>
    <w:multiLevelType w:val="singleLevel"/>
    <w:tmpl w:val="AECEBD2A"/>
    <w:lvl w:ilvl="0" w:tentative="0">
      <w:start w:val="2"/>
      <w:numFmt w:val="chineseCounting"/>
      <w:suff w:val="nothing"/>
      <w:lvlText w:val="(%1）"/>
      <w:lvlJc w:val="left"/>
      <w:rPr>
        <w:rFonts w:hint="eastAsia"/>
      </w:rPr>
    </w:lvl>
  </w:abstractNum>
  <w:abstractNum w:abstractNumId="1">
    <w:nsid w:val="28F28F15"/>
    <w:multiLevelType w:val="singleLevel"/>
    <w:tmpl w:val="28F28F15"/>
    <w:lvl w:ilvl="0" w:tentative="0">
      <w:start w:val="4"/>
      <w:numFmt w:val="chineseCounting"/>
      <w:suff w:val="nothing"/>
      <w:lvlText w:val="%1、"/>
      <w:lvlJc w:val="left"/>
      <w:rPr>
        <w:rFonts w:hint="eastAsia"/>
      </w:rPr>
    </w:lvl>
  </w:abstractNum>
  <w:abstractNum w:abstractNumId="2">
    <w:nsid w:val="4E93F293"/>
    <w:multiLevelType w:val="singleLevel"/>
    <w:tmpl w:val="4E93F293"/>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UyMjVkZmQ1OWEyZWFhMDMwZWNkMDQwZWZhNzcyNzMifQ=="/>
  </w:docVars>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A2072"/>
    <w:rsid w:val="04320FD9"/>
    <w:rsid w:val="049A40D7"/>
    <w:rsid w:val="04A216F1"/>
    <w:rsid w:val="04DD00BC"/>
    <w:rsid w:val="04FB7C1A"/>
    <w:rsid w:val="07C63897"/>
    <w:rsid w:val="09B770EC"/>
    <w:rsid w:val="0D930FB4"/>
    <w:rsid w:val="104E7D4B"/>
    <w:rsid w:val="176D6084"/>
    <w:rsid w:val="17E3395E"/>
    <w:rsid w:val="18696069"/>
    <w:rsid w:val="2B646F61"/>
    <w:rsid w:val="2B6E114C"/>
    <w:rsid w:val="2DD21556"/>
    <w:rsid w:val="2E0D7CF3"/>
    <w:rsid w:val="2EB57C9F"/>
    <w:rsid w:val="31E2270F"/>
    <w:rsid w:val="32383B0A"/>
    <w:rsid w:val="32DB48BA"/>
    <w:rsid w:val="33801EA2"/>
    <w:rsid w:val="34B74C75"/>
    <w:rsid w:val="35457DE0"/>
    <w:rsid w:val="35555E4E"/>
    <w:rsid w:val="359252AB"/>
    <w:rsid w:val="388B0D2A"/>
    <w:rsid w:val="388F6532"/>
    <w:rsid w:val="3B975BF3"/>
    <w:rsid w:val="3DC7004C"/>
    <w:rsid w:val="43606DFF"/>
    <w:rsid w:val="43922513"/>
    <w:rsid w:val="44EE2C86"/>
    <w:rsid w:val="46F073D7"/>
    <w:rsid w:val="47F51DA1"/>
    <w:rsid w:val="48246A25"/>
    <w:rsid w:val="4974495A"/>
    <w:rsid w:val="4AFD517E"/>
    <w:rsid w:val="4EAF467F"/>
    <w:rsid w:val="4F4E6E0F"/>
    <w:rsid w:val="53D82CB6"/>
    <w:rsid w:val="549A0EDD"/>
    <w:rsid w:val="563F64D7"/>
    <w:rsid w:val="5900561E"/>
    <w:rsid w:val="5A7F118D"/>
    <w:rsid w:val="5C2757BE"/>
    <w:rsid w:val="5FDD417D"/>
    <w:rsid w:val="607D207E"/>
    <w:rsid w:val="60A76F05"/>
    <w:rsid w:val="62770932"/>
    <w:rsid w:val="63ED0CD3"/>
    <w:rsid w:val="667728BC"/>
    <w:rsid w:val="675B6F91"/>
    <w:rsid w:val="67B17BDD"/>
    <w:rsid w:val="69090D36"/>
    <w:rsid w:val="6EF66EF9"/>
    <w:rsid w:val="6FA86D5D"/>
    <w:rsid w:val="70154C98"/>
    <w:rsid w:val="72576549"/>
    <w:rsid w:val="74A97633"/>
    <w:rsid w:val="74EA18BC"/>
    <w:rsid w:val="76C5247B"/>
    <w:rsid w:val="770A55ED"/>
    <w:rsid w:val="78B06DDB"/>
    <w:rsid w:val="7CB67331"/>
    <w:rsid w:val="7E30253F"/>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Calibri" w:hAnsi="Calibri" w:eastAsia="仿宋_GB2312"/>
      <w:sz w:val="32"/>
    </w:rPr>
  </w:style>
  <w:style w:type="paragraph" w:styleId="3">
    <w:name w:val="Plain Text"/>
    <w:basedOn w:val="1"/>
    <w:link w:val="12"/>
    <w:qFormat/>
    <w:uiPriority w:val="99"/>
    <w:rPr>
      <w:rFonts w:ascii="宋体" w:hAnsi="Courier New" w:cs="Courier New"/>
      <w:szCs w:val="21"/>
    </w:rPr>
  </w:style>
  <w:style w:type="paragraph" w:styleId="4">
    <w:name w:val="footer"/>
    <w:basedOn w:val="1"/>
    <w:link w:val="13"/>
    <w:semiHidden/>
    <w:qFormat/>
    <w:uiPriority w:val="99"/>
    <w:pPr>
      <w:tabs>
        <w:tab w:val="center" w:pos="4153"/>
        <w:tab w:val="right" w:pos="8306"/>
      </w:tabs>
      <w:snapToGrid w:val="0"/>
      <w:jc w:val="left"/>
    </w:pPr>
    <w:rPr>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Autospacing="1" w:afterAutospacing="1"/>
      <w:jc w:val="left"/>
    </w:pPr>
    <w:rPr>
      <w:rFonts w:ascii="宋体" w:hAnsi="宋体" w:cs="宋体"/>
      <w:kern w:val="0"/>
      <w:sz w:val="24"/>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2">
    <w:name w:val="Plain Text Char"/>
    <w:basedOn w:val="9"/>
    <w:link w:val="3"/>
    <w:qFormat/>
    <w:locked/>
    <w:uiPriority w:val="99"/>
    <w:rPr>
      <w:rFonts w:ascii="宋体" w:hAnsi="Courier New" w:eastAsia="宋体" w:cs="Courier New"/>
      <w:sz w:val="21"/>
      <w:szCs w:val="21"/>
    </w:rPr>
  </w:style>
  <w:style w:type="character" w:customStyle="1" w:styleId="13">
    <w:name w:val="Footer Char"/>
    <w:basedOn w:val="9"/>
    <w:link w:val="4"/>
    <w:semiHidden/>
    <w:qFormat/>
    <w:locked/>
    <w:uiPriority w:val="99"/>
    <w:rPr>
      <w:rFonts w:cs="Times New Roman"/>
      <w:sz w:val="18"/>
      <w:szCs w:val="18"/>
    </w:rPr>
  </w:style>
  <w:style w:type="character" w:customStyle="1" w:styleId="14">
    <w:name w:val="Header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13</Pages>
  <Words>5113</Words>
  <Characters>5316</Characters>
  <Lines>0</Lines>
  <Paragraphs>0</Paragraphs>
  <TotalTime>3</TotalTime>
  <ScaleCrop>false</ScaleCrop>
  <LinksUpToDate>false</LinksUpToDate>
  <CharactersWithSpaces>5364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嫣然</cp:lastModifiedBy>
  <cp:lastPrinted>2020-04-13T01:53:00Z</cp:lastPrinted>
  <dcterms:modified xsi:type="dcterms:W3CDTF">2023-08-30T03:03:43Z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A379E8450819489E8047BB65D4B4355C_12</vt:lpwstr>
  </property>
</Properties>
</file>