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附件1</w:t>
      </w:r>
    </w:p>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镇坪县行政审批服务局</w:t>
      </w:r>
    </w:p>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lang w:val="en-US" w:eastAsia="zh-CN"/>
        </w:rPr>
      </w:pPr>
      <w:r>
        <w:rPr>
          <w:rFonts w:hint="eastAsia" w:ascii="方正小标宋_GBK" w:hAnsi="方正小标宋_GBK" w:eastAsia="方正小标宋_GBK" w:cs="方正小标宋_GBK"/>
          <w:sz w:val="44"/>
          <w:szCs w:val="44"/>
          <w:highlight w:val="none"/>
        </w:rPr>
        <w:t>20</w:t>
      </w:r>
      <w:r>
        <w:rPr>
          <w:rFonts w:hint="eastAsia" w:ascii="方正小标宋_GBK" w:hAnsi="方正小标宋_GBK" w:eastAsia="方正小标宋_GBK" w:cs="方正小标宋_GBK"/>
          <w:sz w:val="44"/>
          <w:szCs w:val="44"/>
          <w:highlight w:val="none"/>
          <w:lang w:val="en-US" w:eastAsia="zh-CN"/>
        </w:rPr>
        <w:t>23</w:t>
      </w:r>
      <w:r>
        <w:rPr>
          <w:rFonts w:hint="eastAsia" w:ascii="方正小标宋_GBK" w:hAnsi="方正小标宋_GBK" w:eastAsia="方正小标宋_GBK" w:cs="方正小标宋_GBK"/>
          <w:sz w:val="44"/>
          <w:szCs w:val="44"/>
          <w:highlight w:val="none"/>
        </w:rPr>
        <w:t>年部门</w:t>
      </w:r>
      <w:r>
        <w:rPr>
          <w:rFonts w:hint="eastAsia" w:ascii="方正小标宋_GBK" w:hAnsi="方正小标宋_GBK" w:eastAsia="方正小标宋_GBK" w:cs="方正小标宋_GBK"/>
          <w:sz w:val="44"/>
          <w:szCs w:val="44"/>
          <w:highlight w:val="none"/>
          <w:lang w:eastAsia="zh-CN"/>
        </w:rPr>
        <w:t>预算公开说明</w:t>
      </w:r>
    </w:p>
    <w:p>
      <w:pPr>
        <w:keepNext w:val="0"/>
        <w:keepLines w:val="0"/>
        <w:pageBreakBefore w:val="0"/>
        <w:widowControl w:val="0"/>
        <w:kinsoku/>
        <w:wordWrap/>
        <w:topLinePunct w:val="0"/>
        <w:autoSpaceDE/>
        <w:autoSpaceDN/>
        <w:bidi w:val="0"/>
        <w:adjustRightInd/>
        <w:snapToGrid/>
        <w:spacing w:line="560" w:lineRule="exact"/>
        <w:jc w:val="both"/>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sz w:val="32"/>
          <w:szCs w:val="32"/>
          <w:highlight w:val="none"/>
          <w:lang w:eastAsia="zh-CN"/>
        </w:rPr>
      </w:pPr>
      <w:r>
        <w:rPr>
          <w:rFonts w:hint="eastAsia" w:ascii="黑体" w:hAnsi="黑体" w:eastAsia="黑体" w:cs="黑体"/>
          <w:b/>
          <w:bCs/>
          <w:sz w:val="32"/>
          <w:szCs w:val="32"/>
          <w:highlight w:val="none"/>
          <w:lang w:eastAsia="zh-CN"/>
        </w:rPr>
        <w:t>目</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lang w:eastAsia="zh-CN"/>
        </w:rPr>
        <w:t>录</w:t>
      </w:r>
    </w:p>
    <w:p>
      <w:pPr>
        <w:keepNext w:val="0"/>
        <w:keepLines w:val="0"/>
        <w:pageBreakBefore w:val="0"/>
        <w:widowControl w:val="0"/>
        <w:kinsoku/>
        <w:wordWrap/>
        <w:topLinePunct w:val="0"/>
        <w:autoSpaceDE/>
        <w:autoSpaceDN/>
        <w:bidi w:val="0"/>
        <w:adjustRightInd/>
        <w:snapToGrid/>
        <w:spacing w:line="560" w:lineRule="exact"/>
        <w:jc w:val="left"/>
        <w:rPr>
          <w:rFonts w:hint="eastAsia" w:ascii="黑体" w:hAnsi="黑体" w:eastAsia="黑体" w:cs="黑体"/>
          <w:b/>
          <w:bCs/>
          <w:sz w:val="32"/>
          <w:szCs w:val="32"/>
          <w:highlight w:val="none"/>
          <w:lang w:eastAsia="zh-CN"/>
        </w:rPr>
      </w:pPr>
    </w:p>
    <w:p>
      <w:pPr>
        <w:keepNext w:val="0"/>
        <w:keepLines w:val="0"/>
        <w:pageBreakBefore w:val="0"/>
        <w:widowControl w:val="0"/>
        <w:kinsoku/>
        <w:wordWrap/>
        <w:topLinePunct w:val="0"/>
        <w:autoSpaceDE/>
        <w:autoSpaceDN/>
        <w:bidi w:val="0"/>
        <w:adjustRightInd/>
        <w:snapToGrid/>
        <w:spacing w:line="560" w:lineRule="exact"/>
        <w:jc w:val="left"/>
        <w:rPr>
          <w:rFonts w:hint="eastAsia" w:ascii="黑体" w:hAnsi="黑体" w:eastAsia="黑体" w:cs="黑体"/>
          <w:sz w:val="32"/>
          <w:szCs w:val="32"/>
          <w:highlight w:val="none"/>
          <w:lang w:val="en-US" w:eastAsia="zh-CN"/>
        </w:rPr>
      </w:pPr>
      <w:r>
        <w:rPr>
          <w:rFonts w:hint="eastAsia" w:ascii="黑体" w:hAnsi="黑体" w:eastAsia="黑体" w:cs="黑体"/>
          <w:b/>
          <w:bCs/>
          <w:sz w:val="32"/>
          <w:szCs w:val="32"/>
          <w:highlight w:val="none"/>
          <w:lang w:eastAsia="zh-CN"/>
        </w:rPr>
        <w:t>第一部分</w:t>
      </w:r>
      <w:r>
        <w:rPr>
          <w:rFonts w:hint="eastAsia" w:ascii="黑体" w:hAnsi="黑体" w:eastAsia="黑体" w:cs="黑体"/>
          <w:b/>
          <w:bCs/>
          <w:sz w:val="32"/>
          <w:szCs w:val="32"/>
          <w:highlight w:val="none"/>
          <w:lang w:val="en-US" w:eastAsia="zh-CN"/>
        </w:rPr>
        <w:t xml:space="preserve"> 部门概况</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及机构设置</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二、工作任务</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三、预算单位构成</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四、人员情况说明</w:t>
      </w:r>
    </w:p>
    <w:p>
      <w:pPr>
        <w:keepNext w:val="0"/>
        <w:keepLines w:val="0"/>
        <w:pageBreakBefore w:val="0"/>
        <w:widowControl w:val="0"/>
        <w:kinsoku/>
        <w:wordWrap/>
        <w:topLinePunct w:val="0"/>
        <w:autoSpaceDE/>
        <w:autoSpaceDN/>
        <w:bidi w:val="0"/>
        <w:adjustRightInd/>
        <w:snapToGrid/>
        <w:spacing w:line="560" w:lineRule="exact"/>
        <w:rPr>
          <w:rFonts w:hint="eastAsia" w:ascii="黑体" w:hAnsi="黑体" w:eastAsia="黑体" w:cs="黑体"/>
          <w:sz w:val="32"/>
          <w:szCs w:val="32"/>
          <w:highlight w:val="none"/>
          <w:lang w:val="en-US" w:eastAsia="zh-CN"/>
        </w:rPr>
      </w:pPr>
      <w:r>
        <w:rPr>
          <w:rFonts w:hint="eastAsia" w:ascii="黑体" w:hAnsi="黑体" w:eastAsia="黑体" w:cs="黑体"/>
          <w:b/>
          <w:bCs/>
          <w:sz w:val="32"/>
          <w:szCs w:val="32"/>
          <w:highlight w:val="none"/>
          <w:lang w:eastAsia="zh-CN"/>
        </w:rPr>
        <w:t>第二部分</w:t>
      </w:r>
      <w:r>
        <w:rPr>
          <w:rFonts w:hint="eastAsia" w:ascii="黑体" w:hAnsi="黑体" w:eastAsia="黑体" w:cs="黑体"/>
          <w:b/>
          <w:bCs/>
          <w:sz w:val="32"/>
          <w:szCs w:val="32"/>
          <w:highlight w:val="none"/>
          <w:lang w:val="en-US" w:eastAsia="zh-CN"/>
        </w:rPr>
        <w:t xml:space="preserve"> 收支情况</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收支说明</w:t>
      </w:r>
    </w:p>
    <w:p>
      <w:pPr>
        <w:keepNext w:val="0"/>
        <w:keepLines w:val="0"/>
        <w:pageBreakBefore w:val="0"/>
        <w:widowControl w:val="0"/>
        <w:kinsoku/>
        <w:wordWrap/>
        <w:topLinePunct w:val="0"/>
        <w:autoSpaceDE/>
        <w:autoSpaceDN/>
        <w:bidi w:val="0"/>
        <w:adjustRightInd/>
        <w:snapToGrid/>
        <w:spacing w:line="560" w:lineRule="exact"/>
        <w:rPr>
          <w:rFonts w:hint="eastAsia" w:ascii="黑体" w:hAnsi="黑体" w:eastAsia="黑体" w:cs="黑体"/>
          <w:sz w:val="32"/>
          <w:szCs w:val="32"/>
          <w:highlight w:val="none"/>
          <w:lang w:val="en-US" w:eastAsia="zh-CN"/>
        </w:rPr>
      </w:pPr>
      <w:r>
        <w:rPr>
          <w:rFonts w:hint="eastAsia" w:ascii="黑体" w:hAnsi="黑体" w:eastAsia="黑体" w:cs="黑体"/>
          <w:b/>
          <w:bCs/>
          <w:sz w:val="32"/>
          <w:szCs w:val="32"/>
          <w:highlight w:val="none"/>
          <w:lang w:eastAsia="zh-CN"/>
        </w:rPr>
        <w:t>第三部分</w:t>
      </w:r>
      <w:r>
        <w:rPr>
          <w:rFonts w:hint="eastAsia" w:ascii="黑体" w:hAnsi="黑体" w:eastAsia="黑体" w:cs="黑体"/>
          <w:b/>
          <w:bCs/>
          <w:sz w:val="32"/>
          <w:szCs w:val="32"/>
          <w:highlight w:val="none"/>
          <w:lang w:val="en-US" w:eastAsia="zh-CN"/>
        </w:rPr>
        <w:t xml:space="preserve"> 其他情况</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六、“三公”经费及会议费、培训费情况说明</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七、国有资产占有使用及资产购置情况说明</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八、政府采购情况说明</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九、绩效目标说明</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十、机关运行经费安排说明</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专业名词解释</w:t>
      </w:r>
    </w:p>
    <w:p>
      <w:pPr>
        <w:keepNext w:val="0"/>
        <w:keepLines w:val="0"/>
        <w:pageBreakBefore w:val="0"/>
        <w:widowControl w:val="0"/>
        <w:kinsoku/>
        <w:wordWrap/>
        <w:topLinePunct w:val="0"/>
        <w:autoSpaceDE/>
        <w:autoSpaceDN/>
        <w:bidi w:val="0"/>
        <w:adjustRightInd/>
        <w:snapToGrid/>
        <w:spacing w:line="560" w:lineRule="exact"/>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eastAsia="zh-CN"/>
        </w:rPr>
        <w:t>第四部分</w:t>
      </w:r>
      <w:r>
        <w:rPr>
          <w:rFonts w:hint="eastAsia" w:ascii="黑体" w:hAnsi="黑体" w:eastAsia="黑体" w:cs="黑体"/>
          <w:b/>
          <w:bCs/>
          <w:sz w:val="32"/>
          <w:szCs w:val="32"/>
          <w:highlight w:val="none"/>
          <w:lang w:val="en-US" w:eastAsia="zh-CN"/>
        </w:rPr>
        <w:t xml:space="preserve"> 公开报表</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（具体预算公开报表）</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第一部分</w:t>
      </w:r>
      <w:r>
        <w:rPr>
          <w:rFonts w:hint="eastAsia" w:ascii="黑体" w:hAnsi="黑体" w:eastAsia="黑体" w:cs="黑体"/>
          <w:b w:val="0"/>
          <w:bCs w:val="0"/>
          <w:sz w:val="32"/>
          <w:szCs w:val="32"/>
          <w:highlight w:val="none"/>
          <w:lang w:val="en-US" w:eastAsia="zh-CN"/>
        </w:rPr>
        <w:t xml:space="preserve">  部门概况</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一、主要职责及机构设置</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（一）部门主要职责</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镇坪</w:t>
      </w:r>
      <w:r>
        <w:rPr>
          <w:rFonts w:hint="eastAsia" w:ascii="仿宋_GB2312" w:hAnsi="仿宋_GB2312" w:eastAsia="仿宋_GB2312" w:cs="仿宋_GB2312"/>
          <w:sz w:val="32"/>
          <w:szCs w:val="32"/>
        </w:rPr>
        <w:t>县行政审批服务局</w:t>
      </w:r>
      <w:r>
        <w:rPr>
          <w:rFonts w:hint="eastAsia" w:ascii="仿宋_GB2312" w:hAnsi="仿宋_GB2312" w:eastAsia="仿宋_GB2312" w:cs="仿宋_GB2312"/>
          <w:sz w:val="32"/>
          <w:szCs w:val="32"/>
          <w:lang w:val="en-US" w:eastAsia="zh-CN"/>
        </w:rPr>
        <w:t>是县政府工作部门，为正科级，</w:t>
      </w:r>
      <w:r>
        <w:rPr>
          <w:rFonts w:hint="eastAsia" w:ascii="仿宋_GB2312" w:hAnsi="仿宋_GB2312" w:eastAsia="仿宋_GB2312" w:cs="仿宋_GB2312"/>
          <w:sz w:val="32"/>
          <w:szCs w:val="32"/>
        </w:rPr>
        <w:t>主要职</w:t>
      </w:r>
      <w:r>
        <w:rPr>
          <w:rFonts w:hint="eastAsia" w:ascii="仿宋_GB2312" w:hAnsi="仿宋_GB2312" w:eastAsia="仿宋_GB2312" w:cs="仿宋_GB2312"/>
          <w:sz w:val="32"/>
          <w:szCs w:val="32"/>
          <w:lang w:val="en-US" w:eastAsia="zh-CN"/>
        </w:rPr>
        <w:t>责是</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rPr>
        <w:t>负责全县行政审批、政务服务、12345服务热线、公共资源交易服务等工作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全县行政审批制度改革工作，推进审批服务便民化。组织落实中、省、市、县行政审批事项承接、取消和下放工作；负责对县级行政许可事项、中介服务事项、公共服务事项进行清理规范，编制事项清单、对外发布并监督检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组织推进相对集中行政许可权改革。建立和完善相对集中行政许可权改革工作机制；依法履行划转的行政审批和政务服务事项审批职责，并对行政审批行为承担相应的法律责任。优化审批流程、简化审批环节、压缩审批时限，提高办事效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负责政务服务管理职责。指导全县政务服务体系建设，完善实施服务标准规范；深化“互联网+政务服务”，推进政务服务改革，推进审批服务“马上办、网上办、就近办、一次办”，优化提升营商环境。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负责县政务大厅、县政务服务网、公共资源交易和12345便民服务平台的建设、运行、管理工作。</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负责全县政务服务、12345服务热线、公共资源交易以及县级划转审批服务事项投诉举报的承办、转办、督办和问效工作，配合有关部门查处违法、违规、违纪问题。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负责划转的行政审批事项的审批和涉及到现场的踏勘、联合图审、技术论证、社会听证、行政性收费等工作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负责对未划转行政审批事项部门和中省垂直管理部门进驻行政审批服务中心的规范、管理和监督。负责对赋予镇人民政府县级管理事项的指导、管理和监督。</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负责行政审批平台、信息化建设，协调指导镇、村（社区）便民服务大厅建设。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负责本部门工作人员的教育、培训、检查、绩效考核以及日常管理工作。</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管理县政务服务中心。</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负责承办县委、县政府交办的其他事项。</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（二）机构设置</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中共镇坪县委办公室 镇坪县人民政府办公室关于印发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镇坪县行政审批服务局职能配置内设机构和人员编制规定</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(镇办发〔2019〕37号），</w:t>
      </w:r>
      <w:r>
        <w:rPr>
          <w:rFonts w:hint="eastAsia" w:ascii="仿宋_GB2312" w:hAnsi="仿宋_GB2312" w:eastAsia="仿宋_GB2312" w:cs="仿宋_GB2312"/>
          <w:sz w:val="32"/>
          <w:szCs w:val="32"/>
        </w:rPr>
        <w:t>镇坪县行政审批</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局是一级预算部门，内设政办股、政务服务管理股、审批股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镇坪县政务服务中心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二、工作任务</w:t>
      </w:r>
    </w:p>
    <w:p>
      <w:pPr>
        <w:keepNext w:val="0"/>
        <w:keepLines w:val="0"/>
        <w:pageBreakBefore w:val="0"/>
        <w:widowControl w:val="0"/>
        <w:pBdr>
          <w:bottom w:val="single" w:color="FFFFFF" w:sz="4" w:space="15"/>
        </w:pBdr>
        <w:tabs>
          <w:tab w:val="left" w:pos="7380"/>
        </w:tabs>
        <w:kinsoku/>
        <w:wordWrap/>
        <w:overflowPunct w:val="0"/>
        <w:topLinePunct w:val="0"/>
        <w:autoSpaceDE/>
        <w:autoSpaceDN/>
        <w:bidi w:val="0"/>
        <w:adjustRightInd/>
        <w:snapToGrid/>
        <w:spacing w:line="560" w:lineRule="exact"/>
        <w:ind w:left="0" w:leftChars="0" w:right="0" w:firstLine="643" w:firstLineChars="200"/>
        <w:jc w:val="both"/>
        <w:textAlignment w:val="top"/>
        <w:outlineLvl w:val="9"/>
        <w:rPr>
          <w:rFonts w:hint="eastAsia" w:ascii="仿宋_GB2312" w:hAnsi="仿宋_GB2312" w:eastAsia="仿宋_GB2312" w:cs="仿宋_GB2312"/>
          <w:b w:val="0"/>
          <w:bCs w:val="0"/>
          <w:color w:val="auto"/>
          <w:spacing w:val="5"/>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深化改革创新。</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创新推行符合县情实际的“小切口”自主创新改革，持续深化行政审批制度改革。</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rPr>
        <w:t>聚焦产业发展全链条、企业发展全生命周期、群众办事全方位，</w:t>
      </w:r>
      <w:r>
        <w:rPr>
          <w:rFonts w:hint="eastAsia" w:ascii="仿宋_GB2312" w:hAnsi="仿宋_GB2312" w:eastAsia="仿宋_GB2312" w:cs="仿宋_GB2312"/>
          <w:b w:val="0"/>
          <w:bCs w:val="0"/>
          <w:color w:val="auto"/>
          <w:spacing w:val="5"/>
          <w:sz w:val="32"/>
          <w:szCs w:val="32"/>
        </w:rPr>
        <w:t>推进“一件事一次办”集成改革。</w:t>
      </w:r>
    </w:p>
    <w:p>
      <w:pPr>
        <w:keepNext w:val="0"/>
        <w:keepLines w:val="0"/>
        <w:pageBreakBefore w:val="0"/>
        <w:widowControl w:val="0"/>
        <w:pBdr>
          <w:bottom w:val="single" w:color="FFFFFF" w:sz="4" w:space="15"/>
        </w:pBdr>
        <w:tabs>
          <w:tab w:val="left" w:pos="7380"/>
        </w:tabs>
        <w:kinsoku/>
        <w:wordWrap/>
        <w:overflowPunct w:val="0"/>
        <w:topLinePunct w:val="0"/>
        <w:autoSpaceDE/>
        <w:autoSpaceDN/>
        <w:bidi w:val="0"/>
        <w:adjustRightInd/>
        <w:snapToGrid/>
        <w:spacing w:line="560" w:lineRule="exact"/>
        <w:ind w:left="0" w:leftChars="0" w:right="0" w:firstLine="640" w:firstLineChars="200"/>
        <w:jc w:val="both"/>
        <w:textAlignment w:val="top"/>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二）优化审批服务。</w:t>
      </w:r>
      <w:r>
        <w:rPr>
          <w:rFonts w:hint="eastAsia" w:ascii="仿宋_GB2312" w:hAnsi="仿宋_GB2312" w:eastAsia="仿宋_GB2312" w:cs="仿宋_GB2312"/>
          <w:b/>
          <w:bCs/>
          <w:color w:val="auto"/>
          <w:spacing w:val="-8"/>
          <w:sz w:val="32"/>
          <w:szCs w:val="32"/>
          <w:u w:val="none"/>
          <w:lang w:val="en-US" w:eastAsia="zh-CN"/>
        </w:rPr>
        <w:t>一是</w:t>
      </w:r>
      <w:r>
        <w:rPr>
          <w:rFonts w:hint="eastAsia" w:ascii="仿宋_GB2312" w:hAnsi="仿宋_GB2312" w:eastAsia="仿宋_GB2312" w:cs="仿宋_GB2312"/>
          <w:b w:val="0"/>
          <w:bCs w:val="0"/>
          <w:color w:val="auto"/>
          <w:spacing w:val="-8"/>
          <w:sz w:val="32"/>
          <w:szCs w:val="32"/>
          <w:u w:val="none"/>
          <w:lang w:val="en-US" w:eastAsia="zh-CN"/>
        </w:rPr>
        <w:t>全面实施行政许可事项清单管理，持续推进“三减”，健全分级授权审批服务，深化相对集中行政许可权改革。</w:t>
      </w:r>
      <w:r>
        <w:rPr>
          <w:rFonts w:hint="eastAsia" w:ascii="仿宋_GB2312" w:hAnsi="仿宋_GB2312" w:eastAsia="仿宋_GB2312" w:cs="仿宋_GB2312"/>
          <w:b/>
          <w:bCs/>
          <w:color w:val="auto"/>
          <w:spacing w:val="-8"/>
          <w:sz w:val="32"/>
          <w:szCs w:val="32"/>
          <w:u w:val="none"/>
          <w:lang w:val="en-US" w:eastAsia="zh-CN"/>
        </w:rPr>
        <w:t>二是</w:t>
      </w:r>
      <w:r>
        <w:rPr>
          <w:rFonts w:hint="eastAsia" w:ascii="仿宋_GB2312" w:hAnsi="仿宋_GB2312" w:eastAsia="仿宋_GB2312" w:cs="仿宋_GB2312"/>
          <w:b w:val="0"/>
          <w:bCs w:val="0"/>
          <w:color w:val="auto"/>
          <w:sz w:val="32"/>
          <w:szCs w:val="32"/>
          <w:u w:val="none"/>
          <w:lang w:val="en-US" w:eastAsia="zh-CN"/>
        </w:rPr>
        <w:t>推行涉企营业许可告知承诺制，持续</w:t>
      </w:r>
      <w:r>
        <w:rPr>
          <w:rFonts w:hint="eastAsia" w:ascii="仿宋_GB2312" w:hAnsi="仿宋_GB2312" w:eastAsia="仿宋_GB2312" w:cs="仿宋_GB2312"/>
          <w:b w:val="0"/>
          <w:bCs w:val="0"/>
          <w:color w:val="auto"/>
          <w:sz w:val="32"/>
          <w:szCs w:val="32"/>
          <w:u w:val="none"/>
        </w:rPr>
        <w:t>深化“证照分离”改革</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三是</w:t>
      </w:r>
      <w:r>
        <w:rPr>
          <w:rFonts w:hint="eastAsia" w:ascii="仿宋_GB2312" w:hAnsi="仿宋_GB2312" w:eastAsia="仿宋_GB2312" w:cs="仿宋_GB2312"/>
          <w:b w:val="0"/>
          <w:bCs w:val="0"/>
          <w:color w:val="auto"/>
          <w:sz w:val="32"/>
          <w:szCs w:val="32"/>
          <w:u w:val="none"/>
          <w:lang w:val="en-US" w:eastAsia="zh-CN"/>
        </w:rPr>
        <w:t>全面推行“六统一”标准化企业开办服务，</w:t>
      </w:r>
      <w:r>
        <w:rPr>
          <w:rFonts w:hint="eastAsia" w:ascii="仿宋_GB2312" w:hAnsi="仿宋_GB2312" w:eastAsia="仿宋_GB2312" w:cs="仿宋_GB2312"/>
          <w:b w:val="0"/>
          <w:bCs w:val="0"/>
          <w:color w:val="auto"/>
          <w:sz w:val="32"/>
          <w:szCs w:val="32"/>
          <w:lang w:val="en-US" w:eastAsia="zh-CN"/>
        </w:rPr>
        <w:t>推进企业开办标准化便利化</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pBdr>
          <w:bottom w:val="single" w:color="FFFFFF" w:sz="4" w:space="15"/>
        </w:pBdr>
        <w:tabs>
          <w:tab w:val="left" w:pos="7380"/>
        </w:tabs>
        <w:kinsoku/>
        <w:wordWrap/>
        <w:overflowPunct w:val="0"/>
        <w:topLinePunct w:val="0"/>
        <w:autoSpaceDE/>
        <w:autoSpaceDN/>
        <w:bidi w:val="0"/>
        <w:adjustRightInd/>
        <w:snapToGrid/>
        <w:spacing w:line="560" w:lineRule="exact"/>
        <w:ind w:left="0" w:leftChars="0" w:right="0" w:firstLine="643" w:firstLineChars="200"/>
        <w:jc w:val="both"/>
        <w:textAlignment w:val="top"/>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sz w:val="32"/>
          <w:szCs w:val="32"/>
          <w:lang w:val="en-US" w:eastAsia="zh-CN"/>
        </w:rPr>
        <w:t>（三）提升政务服务。</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持续开展“春风服务”行动，创新“帮办代办+”“零见面+”等模式，提升帮代服务。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开展常态化“走流程、坐窗口、优服务”活动，推进“全程网办”“一网通办”，推进县政务大厅迁建等，巩固政务服务。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持续</w:t>
      </w:r>
      <w:r>
        <w:rPr>
          <w:rFonts w:hint="eastAsia" w:ascii="仿宋_GB2312" w:hAnsi="仿宋_GB2312" w:eastAsia="仿宋_GB2312" w:cs="仿宋_GB2312"/>
          <w:b w:val="0"/>
          <w:bCs w:val="0"/>
          <w:color w:val="auto"/>
          <w:sz w:val="32"/>
          <w:szCs w:val="32"/>
        </w:rPr>
        <w:t>推进镇村（社区）便民服务</w:t>
      </w:r>
      <w:r>
        <w:rPr>
          <w:rFonts w:hint="eastAsia" w:ascii="仿宋_GB2312" w:hAnsi="仿宋_GB2312" w:eastAsia="仿宋_GB2312" w:cs="仿宋_GB2312"/>
          <w:b w:val="0"/>
          <w:bCs w:val="0"/>
          <w:color w:val="auto"/>
          <w:sz w:val="32"/>
          <w:szCs w:val="32"/>
          <w:lang w:val="en-US" w:eastAsia="zh-CN"/>
        </w:rPr>
        <w:t>标准化。</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完善12345热线服务，实现</w:t>
      </w:r>
      <w:r>
        <w:rPr>
          <w:rFonts w:hint="eastAsia" w:ascii="仿宋_GB2312" w:hAnsi="仿宋_GB2312" w:eastAsia="仿宋_GB2312" w:cs="仿宋_GB2312"/>
          <w:b w:val="0"/>
          <w:bCs w:val="0"/>
          <w:color w:val="auto"/>
          <w:sz w:val="32"/>
          <w:szCs w:val="32"/>
          <w:u w:val="none"/>
        </w:rPr>
        <w:t>按期办结率</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服务满意率两个“百分百”</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1"/>
        </w:numPr>
        <w:pBdr>
          <w:bottom w:val="single" w:color="FFFFFF" w:sz="4" w:space="15"/>
        </w:pBdr>
        <w:tabs>
          <w:tab w:val="left" w:pos="7380"/>
        </w:tabs>
        <w:kinsoku/>
        <w:wordWrap/>
        <w:overflowPunct w:val="0"/>
        <w:topLinePunct w:val="0"/>
        <w:autoSpaceDE/>
        <w:autoSpaceDN/>
        <w:bidi w:val="0"/>
        <w:adjustRightInd/>
        <w:snapToGrid/>
        <w:spacing w:line="560" w:lineRule="exact"/>
        <w:ind w:left="0" w:leftChars="0" w:right="0" w:firstLine="643" w:firstLineChars="200"/>
        <w:jc w:val="both"/>
        <w:textAlignment w:val="top"/>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sz w:val="32"/>
          <w:szCs w:val="32"/>
          <w:lang w:val="en-US" w:eastAsia="zh-CN"/>
        </w:rPr>
        <w:t>稳定</w:t>
      </w:r>
      <w:r>
        <w:rPr>
          <w:rFonts w:hint="eastAsia" w:ascii="仿宋_GB2312" w:hAnsi="仿宋_GB2312" w:eastAsia="仿宋_GB2312" w:cs="仿宋_GB2312"/>
          <w:b/>
          <w:bCs/>
          <w:sz w:val="32"/>
          <w:szCs w:val="32"/>
        </w:rPr>
        <w:t>市场主体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继续落实稳定市场主体20措施，加强惠企纾困政策宣传落实，</w:t>
      </w:r>
      <w:r>
        <w:rPr>
          <w:rFonts w:hint="eastAsia" w:ascii="仿宋_GB2312" w:hAnsi="仿宋_GB2312" w:eastAsia="仿宋_GB2312" w:cs="仿宋_GB2312"/>
          <w:sz w:val="32"/>
          <w:szCs w:val="32"/>
        </w:rPr>
        <w:t>优化企业开办服务，降低市场准入门槛，优化</w:t>
      </w:r>
      <w:r>
        <w:rPr>
          <w:rFonts w:hint="eastAsia" w:ascii="仿宋_GB2312" w:hAnsi="仿宋_GB2312" w:eastAsia="仿宋_GB2312" w:cs="仿宋_GB2312"/>
          <w:sz w:val="32"/>
          <w:szCs w:val="32"/>
          <w:lang w:val="en-US" w:eastAsia="zh-CN"/>
        </w:rPr>
        <w:t>县域</w:t>
      </w:r>
      <w:r>
        <w:rPr>
          <w:rFonts w:hint="eastAsia" w:ascii="仿宋_GB2312" w:hAnsi="仿宋_GB2312" w:eastAsia="仿宋_GB2312" w:cs="仿宋_GB2312"/>
          <w:sz w:val="32"/>
          <w:szCs w:val="32"/>
        </w:rPr>
        <w:t>营商环境，持续激发市场主体活力。</w:t>
      </w:r>
      <w:r>
        <w:rPr>
          <w:rFonts w:hint="eastAsia" w:ascii="仿宋_GB2312" w:hAnsi="仿宋_GB2312" w:eastAsia="仿宋_GB2312" w:cs="仿宋_GB2312"/>
          <w:b w:val="0"/>
          <w:bCs w:val="0"/>
          <w:color w:val="auto"/>
          <w:sz w:val="32"/>
          <w:szCs w:val="32"/>
          <w:u w:val="none"/>
          <w:lang w:val="en-US" w:eastAsia="zh-CN"/>
        </w:rPr>
        <w:t>2023年，力争完成市场主体</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新增800户</w:t>
      </w:r>
      <w:r>
        <w:rPr>
          <w:rFonts w:hint="eastAsia" w:ascii="仿宋_GB2312" w:hAnsi="仿宋_GB2312" w:eastAsia="仿宋_GB2312" w:cs="仿宋_GB2312"/>
          <w:b w:val="0"/>
          <w:bCs w:val="0"/>
          <w:color w:val="auto"/>
          <w:sz w:val="32"/>
          <w:szCs w:val="32"/>
          <w:u w:val="none"/>
          <w:lang w:val="en-US" w:eastAsia="zh-CN"/>
        </w:rPr>
        <w:t>以上。</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三、预算单位构成</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从预算单位构成看，本部门的部门预算包括部门本级（机关）预算。</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纳入本部门</w:t>
      </w:r>
      <w:r>
        <w:rPr>
          <w:rFonts w:hint="eastAsia" w:ascii="仿宋_GB2312" w:hAnsi="仿宋_GB2312" w:eastAsia="仿宋_GB2312" w:cs="仿宋_GB2312"/>
          <w:sz w:val="32"/>
          <w:szCs w:val="32"/>
          <w:highlight w:val="none"/>
          <w:lang w:val="en-US" w:eastAsia="zh-CN"/>
        </w:rPr>
        <w:t>当年预算编制范围的二级预算单位</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lang w:val="en-US" w:eastAsia="zh-CN"/>
        </w:rPr>
        <w:t>1个，包括：</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rPr>
              <w:t>1</w:t>
            </w:r>
          </w:p>
        </w:tc>
        <w:tc>
          <w:tcPr>
            <w:tcW w:w="4912"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镇坪县行政审批服务局（机关）</w:t>
            </w:r>
          </w:p>
        </w:tc>
        <w:tc>
          <w:tcPr>
            <w:tcW w:w="2011" w:type="dxa"/>
            <w:vAlign w:val="top"/>
          </w:tcPr>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无</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四、人员情况说明</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26人，其中行政编制6人、事业编制20人；实有人员23人，其中行政4人、事业19人。</w:t>
      </w:r>
    </w:p>
    <w:p>
      <w:pPr>
        <w:pStyle w:val="2"/>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shape id="_x0000_s1028" o:spid="_x0000_s1028" o:spt="75" type="#_x0000_t75" style="position:absolute;left:0pt;margin-left:36.45pt;margin-top:12.75pt;height:203.55pt;width:307.45pt;mso-wrap-distance-bottom:0pt;mso-wrap-distance-left:9pt;mso-wrap-distance-right:9pt;mso-wrap-distance-top:0pt;z-index:251660288;mso-width-relative:page;mso-height-relative:page;" o:ole="t" fillcolor="#FFFFFF" filled="t" o:preferrelative="t" stroked="f" coordsize="21600,21600">
            <v:path/>
            <v:fill on="t" focussize="0,0"/>
            <v:stroke on="f"/>
            <v:imagedata r:id="rId6" o:title=""/>
            <o:lock v:ext="edit" aspectratio="t"/>
            <w10:wrap type="square"/>
          </v:shape>
          <o:OLEObject Type="Embed" ProgID="Excel.Chart.8" ShapeID="_x0000_s1028" DrawAspect="Content" ObjectID="_1468075725" r:id="rId5">
            <o:LockedField>false</o:LockedField>
          </o:OLEObject>
        </w:pict>
      </w: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3159"/>
        </w:tabs>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40"/>
        <w:jc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第二部分</w:t>
      </w:r>
      <w:r>
        <w:rPr>
          <w:rFonts w:hint="eastAsia" w:ascii="仿宋_GB2312" w:hAnsi="仿宋_GB2312" w:eastAsia="仿宋_GB2312" w:cs="仿宋_GB2312"/>
          <w:b w:val="0"/>
          <w:bCs w:val="0"/>
          <w:sz w:val="32"/>
          <w:szCs w:val="32"/>
          <w:highlight w:val="none"/>
          <w:lang w:val="en-US" w:eastAsia="zh-CN"/>
        </w:rPr>
        <w:t xml:space="preserve">  收支情况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b/>
          <w:bCs/>
          <w:sz w:val="32"/>
          <w:szCs w:val="32"/>
          <w:highlight w:val="none"/>
          <w:lang w:eastAsia="zh-CN"/>
        </w:rPr>
      </w:pPr>
    </w:p>
    <w:p>
      <w:pPr>
        <w:keepNext w:val="0"/>
        <w:keepLines w:val="0"/>
        <w:pageBreakBefore w:val="0"/>
        <w:widowControl w:val="0"/>
        <w:numPr>
          <w:ilvl w:val="0"/>
          <w:numId w:val="2"/>
        </w:numPr>
        <w:kinsoku/>
        <w:wordWrap/>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收支说明</w:t>
      </w:r>
    </w:p>
    <w:p>
      <w:pPr>
        <w:keepNext w:val="0"/>
        <w:keepLines w:val="0"/>
        <w:pageBreakBefore w:val="0"/>
        <w:widowControl w:val="0"/>
        <w:numPr>
          <w:ilvl w:val="0"/>
          <w:numId w:val="0"/>
        </w:numPr>
        <w:kinsoku/>
        <w:wordWrap/>
        <w:topLinePunct w:val="0"/>
        <w:autoSpaceDE/>
        <w:autoSpaceDN/>
        <w:bidi w:val="0"/>
        <w:adjustRightInd/>
        <w:snapToGrid/>
        <w:spacing w:line="560" w:lineRule="exact"/>
        <w:jc w:val="both"/>
        <w:rPr>
          <w:rFonts w:hint="eastAsia" w:ascii="楷体_GB2312" w:hAnsi="楷体_GB2312" w:eastAsia="楷体_GB2312" w:cs="楷体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rPr>
        <w:t>收支预算总体情况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373.48万元，其中一般公共预算拨款收入373.48万元、政府性基金拨款收入0万元，较上年增加10.41万元，主要原因是根据相关规定提高了在职人员基本工资标准及增加了项目专项；本部门当年预算支出373.48万元，其中一般公共预算拨款支出373.48万元、政府性基金拨款支出0万元，较上年增加10.41万元，主要原因是根据相关规定提高了在职人员基本工资标准及增加了项目专项。</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（二）财政拨款收支情况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373.48</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373.48</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10.41</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根据相关规定提高了在职人员基本工资标准及增加了项目专项</w:t>
      </w:r>
      <w:r>
        <w:rPr>
          <w:rFonts w:hint="eastAsia" w:ascii="仿宋_GB2312" w:hAnsi="仿宋_GB2312" w:eastAsia="仿宋_GB2312" w:cs="仿宋_GB2312"/>
          <w:sz w:val="32"/>
          <w:szCs w:val="32"/>
          <w:highlight w:val="none"/>
          <w:lang w:eastAsia="zh-CN"/>
        </w:rPr>
        <w:t>；本部门当年财政拨款支出</w:t>
      </w:r>
      <w:r>
        <w:rPr>
          <w:rFonts w:hint="eastAsia" w:ascii="仿宋_GB2312" w:hAnsi="仿宋_GB2312" w:eastAsia="仿宋_GB2312" w:cs="仿宋_GB2312"/>
          <w:sz w:val="32"/>
          <w:szCs w:val="32"/>
          <w:highlight w:val="none"/>
          <w:lang w:val="en-US" w:eastAsia="zh-CN"/>
        </w:rPr>
        <w:t>373.48</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373.48</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10.41</w:t>
      </w:r>
      <w:r>
        <w:rPr>
          <w:rFonts w:hint="eastAsia" w:ascii="仿宋_GB2312" w:hAnsi="仿宋_GB2312" w:eastAsia="仿宋_GB2312" w:cs="仿宋_GB2312"/>
          <w:sz w:val="32"/>
          <w:szCs w:val="32"/>
          <w:highlight w:val="none"/>
          <w:lang w:eastAsia="zh-CN"/>
        </w:rPr>
        <w:t>万元，主要</w:t>
      </w:r>
      <w:r>
        <w:rPr>
          <w:rFonts w:hint="eastAsia" w:ascii="仿宋_GB2312" w:hAnsi="仿宋_GB2312" w:eastAsia="仿宋_GB2312" w:cs="仿宋_GB2312"/>
          <w:sz w:val="32"/>
          <w:szCs w:val="32"/>
          <w:highlight w:val="none"/>
          <w:lang w:val="en-US" w:eastAsia="zh-CN"/>
        </w:rPr>
        <w:t>根据相关规定提高了在职人员基本工资标准及增加了项目专项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（三）一般</w:t>
      </w:r>
      <w:r>
        <w:rPr>
          <w:rFonts w:hint="eastAsia" w:ascii="楷体_GB2312" w:hAnsi="楷体_GB2312" w:eastAsia="楷体_GB2312" w:cs="楷体_GB2312"/>
          <w:b w:val="0"/>
          <w:bCs w:val="0"/>
          <w:sz w:val="32"/>
          <w:szCs w:val="32"/>
          <w:highlight w:val="none"/>
        </w:rPr>
        <w:t>公共预算拨款支出明细情况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一般</w:t>
      </w:r>
      <w:r>
        <w:rPr>
          <w:rFonts w:hint="eastAsia" w:ascii="仿宋_GB2312" w:hAnsi="仿宋_GB2312" w:eastAsia="仿宋_GB2312" w:cs="仿宋_GB2312"/>
          <w:b/>
          <w:bCs/>
          <w:sz w:val="32"/>
          <w:szCs w:val="32"/>
          <w:highlight w:val="none"/>
        </w:rPr>
        <w:t>公共预算</w:t>
      </w:r>
      <w:r>
        <w:rPr>
          <w:rFonts w:hint="eastAsia" w:ascii="仿宋_GB2312" w:hAnsi="仿宋_GB2312" w:eastAsia="仿宋_GB2312" w:cs="仿宋_GB2312"/>
          <w:b/>
          <w:bCs/>
          <w:sz w:val="32"/>
          <w:szCs w:val="32"/>
          <w:highlight w:val="none"/>
          <w:lang w:eastAsia="zh-CN"/>
        </w:rPr>
        <w:t>当年拨款规模变化情况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373.48</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10.41</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根据相关规定提高了在职人员基本工资标准及增加了项目专项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2.支出按功能科目分类的明细情况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当年一般公共预算支出373.48万元，其中：</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2010301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373.48万元，较上年增加10.41</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根据相关规定提高了在职人员基本工资标准及增加了项目专项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3.支出按经济分类科目的明细情况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highlight w:val="none"/>
          <w:lang w:val="en-US" w:eastAsia="zh-CN"/>
        </w:rPr>
        <w:t>本部门当年一般公共预算支出373.48万元，其中：</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239.84万元，较上年增加4.89</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根据相关规定提高了在职人员基本工资标准及增加了项目专项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133.64万元，较上年增加8.52</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增加了其他交通费用4.08万元，划转出一个编，减少了公用经费0.56万元，减少了免费刻制公章专项5万元，增加了政务中心报酬及保险10万元，建立内控制度，加强内部管理，提高资金使用效率</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3"/>
        </w:numPr>
        <w:kinsoku/>
        <w:wordWrap/>
        <w:topLinePunct w:val="0"/>
        <w:autoSpaceDE/>
        <w:autoSpaceDN/>
        <w:bidi w:val="0"/>
        <w:adjustRightInd/>
        <w:snapToGrid/>
        <w:spacing w:line="560" w:lineRule="exact"/>
        <w:ind w:left="640" w:leftChars="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按照政府预算支出经济分类的类级科目说明</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本部门当年一般公共预算支出373.48万元，其中：</w:t>
      </w: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239.84万元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较上年增加4.89</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根据相关规定提高了在职人员基本工资标准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18.64万元，较上年增加3.52</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划转出一个编，由编制数27名减至26名，减少了公用经费0.56万元，增加了4.08万元公务员交通补贴。</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专项业</w:t>
      </w:r>
      <w:bookmarkStart w:id="0" w:name="_GoBack"/>
      <w:bookmarkEnd w:id="0"/>
      <w:r>
        <w:rPr>
          <w:rFonts w:hint="eastAsia" w:ascii="仿宋_GB2312" w:hAnsi="仿宋_GB2312" w:eastAsia="仿宋_GB2312" w:cs="仿宋_GB2312"/>
          <w:sz w:val="32"/>
          <w:szCs w:val="32"/>
          <w:lang w:val="en-US" w:eastAsia="zh-CN"/>
        </w:rPr>
        <w:t>务支出115万元，较上年增加2万元，主要原因是减少了审批服务工作人员激励考核3万元，</w:t>
      </w:r>
      <w:r>
        <w:rPr>
          <w:rFonts w:hint="eastAsia" w:ascii="仿宋_GB2312" w:hAnsi="仿宋_GB2312" w:eastAsia="仿宋_GB2312" w:cs="仿宋_GB2312"/>
          <w:sz w:val="32"/>
          <w:szCs w:val="32"/>
          <w:highlight w:val="none"/>
          <w:lang w:val="en-US" w:eastAsia="zh-CN"/>
        </w:rPr>
        <w:t>减少了免费刻制公章专项5万元，增加了政务中心报酬及保险10万元。</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5、</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年结转财政资金一般公共预算拨款支出情况。</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本部门无2022年结转的一般公共预算拨款资金支出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eastAsia="zh-CN"/>
        </w:rPr>
        <w:t>（四）</w:t>
      </w:r>
      <w:r>
        <w:rPr>
          <w:rFonts w:hint="eastAsia" w:ascii="楷体_GB2312" w:hAnsi="楷体_GB2312" w:eastAsia="楷体_GB2312" w:cs="楷体_GB2312"/>
          <w:b w:val="0"/>
          <w:bCs w:val="0"/>
          <w:sz w:val="32"/>
          <w:szCs w:val="32"/>
          <w:highlight w:val="none"/>
        </w:rPr>
        <w:t>政府性基金预算支出情况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1.当年政府性基金预算支出情况。</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本部门当年无政府性基金预算支出，并已公开空表。</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2.上年结转政府性基金预算支出情况。 </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结转的</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val="en-US" w:eastAsia="zh-CN"/>
        </w:rPr>
        <w:t>拨款</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adjustRightInd/>
        <w:snapToGrid/>
        <w:spacing w:line="560" w:lineRule="exac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国有资本经营预算拨款收支情况</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pStyle w:val="2"/>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topLinePunct w:val="0"/>
        <w:autoSpaceDE/>
        <w:autoSpaceDN/>
        <w:bidi w:val="0"/>
        <w:adjustRightInd/>
        <w:snapToGrid/>
        <w:spacing w:line="56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其他情况</w:t>
      </w:r>
    </w:p>
    <w:p>
      <w:pPr>
        <w:pStyle w:val="2"/>
        <w:numPr>
          <w:ilvl w:val="0"/>
          <w:numId w:val="0"/>
        </w:numPr>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六、“三公”经费及会议费、培训费情况说明</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本部门当年一般公共预算“三公”经费预算支出2.8万元，较上年减少3.7万元（减少56.92%），减少的主要原因是为了厉行节俭，压缩三公经费，</w:t>
      </w:r>
      <w:r>
        <w:rPr>
          <w:rFonts w:hint="eastAsia" w:ascii="仿宋_GB2312" w:hAnsi="仿宋_GB2312" w:eastAsia="仿宋_GB2312" w:cs="仿宋_GB2312"/>
          <w:sz w:val="32"/>
          <w:szCs w:val="32"/>
          <w:lang w:val="en-US" w:eastAsia="zh-CN"/>
        </w:rPr>
        <w:t>提高财政资金使用效率</w:t>
      </w:r>
      <w:r>
        <w:rPr>
          <w:rFonts w:hint="eastAsia" w:ascii="仿宋_GB2312" w:hAnsi="仿宋_GB2312" w:eastAsia="仿宋_GB2312" w:cs="仿宋_GB2312"/>
          <w:sz w:val="32"/>
          <w:szCs w:val="32"/>
          <w:highlight w:val="none"/>
          <w:lang w:val="en-US" w:eastAsia="zh-CN"/>
        </w:rPr>
        <w:t>。其中：公务接待费2万元，较上年减少2万元（减少50%），减少的主要原因是厉行节俭，压缩三公经费，</w:t>
      </w:r>
      <w:r>
        <w:rPr>
          <w:rFonts w:hint="eastAsia" w:ascii="仿宋_GB2312" w:hAnsi="仿宋_GB2312" w:eastAsia="仿宋_GB2312" w:cs="仿宋_GB2312"/>
          <w:sz w:val="32"/>
          <w:szCs w:val="32"/>
          <w:lang w:val="en-US" w:eastAsia="zh-CN"/>
        </w:rPr>
        <w:t>提高财政资金使用效率</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none"/>
          <w:lang w:val="en-US" w:eastAsia="zh-CN"/>
        </w:rPr>
        <w:t>本部门当年一般公共预算会议费预算支出0万元，较上年减少0.5万元（减少100%），减少的主要原因是</w:t>
      </w:r>
      <w:r>
        <w:rPr>
          <w:rFonts w:hint="eastAsia" w:ascii="仿宋_GB2312" w:hAnsi="仿宋_GB2312" w:eastAsia="仿宋_GB2312" w:cs="仿宋_GB2312"/>
          <w:sz w:val="32"/>
          <w:szCs w:val="32"/>
          <w:highlight w:val="none"/>
          <w:lang w:val="en-US" w:eastAsia="zh-CN"/>
        </w:rPr>
        <w:t>厉行节俭，压缩三公经费，</w:t>
      </w:r>
      <w:r>
        <w:rPr>
          <w:rFonts w:hint="eastAsia" w:ascii="仿宋_GB2312" w:hAnsi="仿宋_GB2312" w:eastAsia="仿宋_GB2312" w:cs="仿宋_GB2312"/>
          <w:sz w:val="32"/>
          <w:szCs w:val="32"/>
          <w:lang w:val="en-US" w:eastAsia="zh-CN"/>
        </w:rPr>
        <w:t>提高财政资金使用效率</w:t>
      </w:r>
      <w:r>
        <w:rPr>
          <w:rFonts w:hint="eastAsia" w:ascii="仿宋_GB2312" w:hAnsi="仿宋_GB2312" w:eastAsia="仿宋_GB2312" w:cs="仿宋_GB2312"/>
          <w:sz w:val="32"/>
          <w:szCs w:val="32"/>
          <w:highlight w:val="none"/>
          <w:u w:val="none"/>
          <w:lang w:val="en-US" w:eastAsia="zh-CN"/>
        </w:rPr>
        <w:t>。本部门当年一般公共预算培训费预算支出0.8万元，较上年减少1.2万元（减少60%），减少的主要原因是</w:t>
      </w:r>
      <w:r>
        <w:rPr>
          <w:rFonts w:hint="eastAsia" w:ascii="仿宋_GB2312" w:hAnsi="仿宋_GB2312" w:eastAsia="仿宋_GB2312" w:cs="仿宋_GB2312"/>
          <w:sz w:val="32"/>
          <w:szCs w:val="32"/>
          <w:highlight w:val="none"/>
          <w:lang w:val="en-US" w:eastAsia="zh-CN"/>
        </w:rPr>
        <w:t>厉行节俭，压缩三公经费，</w:t>
      </w:r>
      <w:r>
        <w:rPr>
          <w:rFonts w:hint="eastAsia" w:ascii="仿宋_GB2312" w:hAnsi="仿宋_GB2312" w:eastAsia="仿宋_GB2312" w:cs="仿宋_GB2312"/>
          <w:sz w:val="32"/>
          <w:szCs w:val="32"/>
          <w:lang w:val="en-US" w:eastAsia="zh-CN"/>
        </w:rPr>
        <w:t>提高财政资金使用效率</w:t>
      </w:r>
      <w:r>
        <w:rPr>
          <w:rFonts w:hint="eastAsia" w:ascii="仿宋_GB2312" w:hAnsi="仿宋_GB2312" w:eastAsia="仿宋_GB2312" w:cs="仿宋_GB2312"/>
          <w:sz w:val="32"/>
          <w:szCs w:val="32"/>
          <w:highlight w:val="none"/>
          <w:u w:val="none"/>
          <w:lang w:val="en-US" w:eastAsia="zh-CN"/>
        </w:rPr>
        <w:t xml:space="preserve">。 </w:t>
      </w:r>
    </w:p>
    <w:p>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培训费明细 </w:t>
      </w:r>
    </w:p>
    <w:p>
      <w:pPr>
        <w:keepNext w:val="0"/>
        <w:keepLines w:val="0"/>
        <w:pageBreakBefore w:val="0"/>
        <w:widowControl w:val="0"/>
        <w:kinsoku/>
        <w:wordWrap/>
        <w:topLinePunct w:val="0"/>
        <w:autoSpaceDE/>
        <w:autoSpaceDN/>
        <w:bidi w:val="0"/>
        <w:adjustRightInd/>
        <w:snapToGrid/>
        <w:spacing w:line="560" w:lineRule="exact"/>
        <w:ind w:firstLine="640"/>
        <w:jc w:val="righ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单位：万元</w:t>
      </w:r>
    </w:p>
    <w:tbl>
      <w:tblPr>
        <w:tblStyle w:val="1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50"/>
        <w:gridCol w:w="2693"/>
        <w:gridCol w:w="870"/>
        <w:gridCol w:w="9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225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会议</w:t>
            </w:r>
            <w:r>
              <w:rPr>
                <w:rFonts w:hint="eastAsia" w:ascii="仿宋_GB2312" w:hAnsi="仿宋_GB2312" w:eastAsia="仿宋_GB2312" w:cs="仿宋_GB2312"/>
                <w:sz w:val="32"/>
                <w:szCs w:val="32"/>
                <w:highlight w:val="none"/>
                <w:vertAlign w:val="baseline"/>
                <w:lang w:val="en-US" w:eastAsia="zh-CN"/>
              </w:rPr>
              <w:t>/培训</w:t>
            </w:r>
            <w:r>
              <w:rPr>
                <w:rFonts w:hint="eastAsia" w:ascii="仿宋_GB2312" w:hAnsi="仿宋_GB2312" w:eastAsia="仿宋_GB2312" w:cs="仿宋_GB2312"/>
                <w:sz w:val="32"/>
                <w:szCs w:val="32"/>
                <w:highlight w:val="none"/>
                <w:vertAlign w:val="baseline"/>
                <w:lang w:eastAsia="zh-CN"/>
              </w:rPr>
              <w:t>名称</w:t>
            </w:r>
          </w:p>
        </w:tc>
        <w:tc>
          <w:tcPr>
            <w:tcW w:w="2693"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时间</w:t>
            </w:r>
          </w:p>
        </w:tc>
        <w:tc>
          <w:tcPr>
            <w:tcW w:w="87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人数</w:t>
            </w:r>
          </w:p>
        </w:tc>
        <w:tc>
          <w:tcPr>
            <w:tcW w:w="99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金额</w:t>
            </w:r>
          </w:p>
        </w:tc>
        <w:tc>
          <w:tcPr>
            <w:tcW w:w="88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41"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25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政务服务中心业务培训</w:t>
            </w:r>
          </w:p>
        </w:tc>
        <w:tc>
          <w:tcPr>
            <w:tcW w:w="2693"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2023年8月20日-8月21日</w:t>
            </w:r>
          </w:p>
        </w:tc>
        <w:tc>
          <w:tcPr>
            <w:tcW w:w="87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50人</w:t>
            </w:r>
          </w:p>
        </w:tc>
        <w:tc>
          <w:tcPr>
            <w:tcW w:w="99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0.65元</w:t>
            </w:r>
          </w:p>
        </w:tc>
        <w:tc>
          <w:tcPr>
            <w:tcW w:w="88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25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专业技术培训</w:t>
            </w:r>
          </w:p>
        </w:tc>
        <w:tc>
          <w:tcPr>
            <w:tcW w:w="2693"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2023年度</w:t>
            </w:r>
          </w:p>
        </w:tc>
        <w:tc>
          <w:tcPr>
            <w:tcW w:w="87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9人</w:t>
            </w:r>
          </w:p>
        </w:tc>
        <w:tc>
          <w:tcPr>
            <w:tcW w:w="990"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0.15元</w:t>
            </w:r>
          </w:p>
        </w:tc>
        <w:tc>
          <w:tcPr>
            <w:tcW w:w="88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p>
        </w:tc>
        <w:tc>
          <w:tcPr>
            <w:tcW w:w="225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rPr>
            </w:pPr>
          </w:p>
        </w:tc>
        <w:tc>
          <w:tcPr>
            <w:tcW w:w="2693"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87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99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88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vertAlign w:val="baseline"/>
                <w:lang w:val="en-US" w:eastAsia="zh-CN"/>
              </w:rPr>
            </w:pPr>
          </w:p>
        </w:tc>
        <w:tc>
          <w:tcPr>
            <w:tcW w:w="225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2693"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87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99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c>
          <w:tcPr>
            <w:tcW w:w="880" w:type="dxa"/>
            <w:vAlign w:val="top"/>
          </w:tcPr>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vertAlign w:val="baseline"/>
                <w:lang w:eastAsia="zh-CN"/>
              </w:rPr>
            </w:pPr>
          </w:p>
        </w:tc>
      </w:tr>
    </w:tbl>
    <w:p>
      <w:pPr>
        <w:keepNext w:val="0"/>
        <w:keepLines w:val="0"/>
        <w:pageBreakBefore w:val="0"/>
        <w:widowControl w:val="0"/>
        <w:kinsoku/>
        <w:wordWrap/>
        <w:topLinePunct w:val="0"/>
        <w:autoSpaceDE/>
        <w:autoSpaceDN/>
        <w:bidi w:val="0"/>
        <w:adjustRightInd/>
        <w:snapToGrid/>
        <w:spacing w:line="560" w:lineRule="exact"/>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eastAsia="zh-CN"/>
        </w:rPr>
        <w:t>七、国有资产占有使用及资产购置情况说明</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上年底，本部门所属预算单位共有车辆0辆，单价20万元以上的设备0台（套）。当年部门预算安排购置车辆0辆；安排购置单价20万元以上的设备0台（套）。</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年结转的财政拨款支出资产购置。</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八、政府采购情况说明</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九、绩效目标情况说明</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本部门绩效目标管理全覆盖，涉及当年一般公共预算当年拨款373.84万元,其中专项3个，分别是政务服务中心日常运行经费100万元；免费刻制公章经费5万元；政务中心聘用人员报酬及保险10万元。当年政府性基金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年结转的财政拨款支出涉及的绩效目标管理。</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十、机关运行经费安排情况说明</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133.64万元，较上年增加8.52万元，主要原因是增加了其他交通费用4.08万元，划转出一个编，减少了公用经费0.56万元，减少了免费刻制公章专项5万元，增加了政务中心报酬及保险10万元，建立内控制度，加强内部管理，提高资金使用效率。</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年结转的财政拨款机关运行经费支出。</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十一、专业名词解释</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1.机关运行经费：</w:t>
      </w:r>
      <w:r>
        <w:rPr>
          <w:rFonts w:hint="eastAsia" w:ascii="仿宋_GB2312" w:hAnsi="仿宋_GB2312" w:eastAsia="仿宋_GB2312" w:cs="仿宋_GB2312"/>
          <w:sz w:val="32"/>
          <w:szCs w:val="32"/>
          <w:highlight w:val="none"/>
          <w:lang w:val="en-US" w:eastAsia="zh-CN"/>
        </w:rPr>
        <w:t>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2.“三公”经费：</w:t>
      </w:r>
      <w:r>
        <w:rPr>
          <w:rFonts w:hint="eastAsia" w:ascii="仿宋_GB2312" w:hAnsi="仿宋_GB2312" w:eastAsia="仿宋_GB2312" w:cs="仿宋_GB2312"/>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3.免费刻制公章及证照费：</w:t>
      </w:r>
      <w:r>
        <w:rPr>
          <w:rFonts w:hint="eastAsia" w:ascii="仿宋_GB2312" w:hAnsi="仿宋_GB2312" w:eastAsia="仿宋_GB2312" w:cs="仿宋_GB2312"/>
          <w:sz w:val="32"/>
          <w:szCs w:val="32"/>
          <w:lang w:val="en-US" w:eastAsia="zh-CN"/>
        </w:rPr>
        <w:t>免费为新注册登记企业刻制首套公章及采购证照费用，降低企业成本。</w:t>
      </w:r>
    </w:p>
    <w:p>
      <w:pPr>
        <w:pStyle w:val="2"/>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4.政务服务中心日常运行经费：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年度政务服务大厅日常</w:t>
      </w:r>
      <w:r>
        <w:rPr>
          <w:rFonts w:hint="eastAsia" w:ascii="仿宋_GB2312" w:hAnsi="仿宋_GB2312" w:eastAsia="仿宋_GB2312" w:cs="仿宋_GB2312"/>
          <w:sz w:val="32"/>
          <w:szCs w:val="32"/>
          <w:lang w:val="en-US" w:eastAsia="zh-CN"/>
        </w:rPr>
        <w:t>运行</w:t>
      </w:r>
      <w:r>
        <w:rPr>
          <w:rFonts w:hint="eastAsia" w:ascii="仿宋_GB2312" w:hAnsi="仿宋_GB2312" w:eastAsia="仿宋_GB2312" w:cs="仿宋_GB2312"/>
          <w:sz w:val="32"/>
          <w:szCs w:val="32"/>
        </w:rPr>
        <w:t>经费。</w:t>
      </w:r>
    </w:p>
    <w:p>
      <w:pPr>
        <w:pStyle w:val="2"/>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5.政务中心聘用人员报酬及保险：</w:t>
      </w:r>
      <w:r>
        <w:rPr>
          <w:rFonts w:hint="eastAsia" w:ascii="仿宋_GB2312" w:hAnsi="仿宋_GB2312" w:eastAsia="仿宋_GB2312" w:cs="仿宋_GB2312"/>
          <w:sz w:val="32"/>
          <w:szCs w:val="32"/>
          <w:lang w:val="en-US" w:eastAsia="zh-CN"/>
        </w:rPr>
        <w:t>4名临聘人员的工资及保险支出。</w:t>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第四部分</w:t>
      </w:r>
      <w:r>
        <w:rPr>
          <w:rFonts w:hint="eastAsia" w:ascii="黑体" w:hAnsi="黑体" w:eastAsia="黑体" w:cs="黑体"/>
          <w:b w:val="0"/>
          <w:bCs w:val="0"/>
          <w:sz w:val="32"/>
          <w:szCs w:val="32"/>
          <w:highlight w:val="none"/>
          <w:lang w:val="en-US" w:eastAsia="zh-CN"/>
        </w:rPr>
        <w:t xml:space="preserve">  公开报表</w:t>
      </w:r>
    </w:p>
    <w:p>
      <w:pPr>
        <w:keepNext w:val="0"/>
        <w:keepLines w:val="0"/>
        <w:pageBreakBefore w:val="0"/>
        <w:widowControl w:val="0"/>
        <w:kinsoku/>
        <w:wordWrap/>
        <w:topLinePunct w:val="0"/>
        <w:autoSpaceDE/>
        <w:autoSpaceDN/>
        <w:bidi w:val="0"/>
        <w:adjustRightInd/>
        <w:snapToGrid/>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见附件2内容）</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BBA9"/>
    <w:multiLevelType w:val="singleLevel"/>
    <w:tmpl w:val="039ABBA9"/>
    <w:lvl w:ilvl="0" w:tentative="0">
      <w:start w:val="2"/>
      <w:numFmt w:val="decimal"/>
      <w:suff w:val="nothing"/>
      <w:lvlText w:val="（%1）"/>
      <w:lvlJc w:val="left"/>
    </w:lvl>
  </w:abstractNum>
  <w:abstractNum w:abstractNumId="1">
    <w:nsid w:val="4077E22A"/>
    <w:multiLevelType w:val="singleLevel"/>
    <w:tmpl w:val="4077E22A"/>
    <w:lvl w:ilvl="0" w:tentative="0">
      <w:start w:val="3"/>
      <w:numFmt w:val="chineseCounting"/>
      <w:suff w:val="space"/>
      <w:lvlText w:val="第%1部分"/>
      <w:lvlJc w:val="left"/>
      <w:rPr>
        <w:rFonts w:hint="eastAsia"/>
      </w:rPr>
    </w:lvl>
  </w:abstractNum>
  <w:abstractNum w:abstractNumId="2">
    <w:nsid w:val="6455A811"/>
    <w:multiLevelType w:val="singleLevel"/>
    <w:tmpl w:val="6455A811"/>
    <w:lvl w:ilvl="0" w:tentative="0">
      <w:start w:val="4"/>
      <w:numFmt w:val="chineseCounting"/>
      <w:suff w:val="nothing"/>
      <w:lvlText w:val="（%1）"/>
      <w:lvlJc w:val="left"/>
    </w:lvl>
  </w:abstractNum>
  <w:abstractNum w:abstractNumId="3">
    <w:nsid w:val="6455A864"/>
    <w:multiLevelType w:val="singleLevel"/>
    <w:tmpl w:val="6455A864"/>
    <w:lvl w:ilvl="0" w:tentative="0">
      <w:start w:val="5"/>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173A88"/>
    <w:rsid w:val="014A2072"/>
    <w:rsid w:val="026A0ED1"/>
    <w:rsid w:val="02A0232D"/>
    <w:rsid w:val="03606A4D"/>
    <w:rsid w:val="03864B37"/>
    <w:rsid w:val="03F11A6E"/>
    <w:rsid w:val="04320FD9"/>
    <w:rsid w:val="04647DF3"/>
    <w:rsid w:val="049A40D7"/>
    <w:rsid w:val="04A216F1"/>
    <w:rsid w:val="04DD00BC"/>
    <w:rsid w:val="04FB7C1A"/>
    <w:rsid w:val="07C63897"/>
    <w:rsid w:val="08A50266"/>
    <w:rsid w:val="09B770EC"/>
    <w:rsid w:val="0B230665"/>
    <w:rsid w:val="0D930FB4"/>
    <w:rsid w:val="104E7D4B"/>
    <w:rsid w:val="105364EA"/>
    <w:rsid w:val="10651497"/>
    <w:rsid w:val="10B43D53"/>
    <w:rsid w:val="13C8797C"/>
    <w:rsid w:val="142C77CD"/>
    <w:rsid w:val="14E46EC6"/>
    <w:rsid w:val="14F14F80"/>
    <w:rsid w:val="152B7C53"/>
    <w:rsid w:val="17071200"/>
    <w:rsid w:val="176D6084"/>
    <w:rsid w:val="17E3395E"/>
    <w:rsid w:val="185E4F34"/>
    <w:rsid w:val="18696069"/>
    <w:rsid w:val="199132D1"/>
    <w:rsid w:val="1ABF33AE"/>
    <w:rsid w:val="1B3A69F2"/>
    <w:rsid w:val="1B6150B2"/>
    <w:rsid w:val="1C291E17"/>
    <w:rsid w:val="1D5F5C10"/>
    <w:rsid w:val="1D655629"/>
    <w:rsid w:val="20C47B8A"/>
    <w:rsid w:val="22573F57"/>
    <w:rsid w:val="22A40597"/>
    <w:rsid w:val="22B23879"/>
    <w:rsid w:val="23182E5C"/>
    <w:rsid w:val="23A80153"/>
    <w:rsid w:val="25A9744B"/>
    <w:rsid w:val="263931F5"/>
    <w:rsid w:val="26615276"/>
    <w:rsid w:val="27670031"/>
    <w:rsid w:val="27796F9D"/>
    <w:rsid w:val="2B6E114C"/>
    <w:rsid w:val="2B844492"/>
    <w:rsid w:val="2CFE7165"/>
    <w:rsid w:val="2DD21556"/>
    <w:rsid w:val="2EB57C9F"/>
    <w:rsid w:val="30960823"/>
    <w:rsid w:val="310057AD"/>
    <w:rsid w:val="32383B0A"/>
    <w:rsid w:val="32710145"/>
    <w:rsid w:val="32AB4C80"/>
    <w:rsid w:val="32DB48BA"/>
    <w:rsid w:val="33801EA2"/>
    <w:rsid w:val="34B74C75"/>
    <w:rsid w:val="35457DE0"/>
    <w:rsid w:val="35555E4E"/>
    <w:rsid w:val="359252AB"/>
    <w:rsid w:val="35D31007"/>
    <w:rsid w:val="36542A12"/>
    <w:rsid w:val="38011E27"/>
    <w:rsid w:val="388B0D2A"/>
    <w:rsid w:val="388F6532"/>
    <w:rsid w:val="38E53A7B"/>
    <w:rsid w:val="39F34612"/>
    <w:rsid w:val="3B975BF3"/>
    <w:rsid w:val="3BF353E2"/>
    <w:rsid w:val="3C1871B5"/>
    <w:rsid w:val="3C5F0DE2"/>
    <w:rsid w:val="3CE82A73"/>
    <w:rsid w:val="3D3E7C79"/>
    <w:rsid w:val="3DC7004C"/>
    <w:rsid w:val="3E8970C9"/>
    <w:rsid w:val="3EBB7B89"/>
    <w:rsid w:val="41857B62"/>
    <w:rsid w:val="43606DFF"/>
    <w:rsid w:val="43922513"/>
    <w:rsid w:val="43D84281"/>
    <w:rsid w:val="44EE2C86"/>
    <w:rsid w:val="46746E30"/>
    <w:rsid w:val="46DA221C"/>
    <w:rsid w:val="46F073D7"/>
    <w:rsid w:val="476A7740"/>
    <w:rsid w:val="47780178"/>
    <w:rsid w:val="47A266E8"/>
    <w:rsid w:val="47DB142F"/>
    <w:rsid w:val="47F17A4C"/>
    <w:rsid w:val="47F51DA1"/>
    <w:rsid w:val="48246A25"/>
    <w:rsid w:val="48E47E91"/>
    <w:rsid w:val="4974495A"/>
    <w:rsid w:val="49A24D90"/>
    <w:rsid w:val="49A62BA4"/>
    <w:rsid w:val="4AFD517E"/>
    <w:rsid w:val="4CAD42AE"/>
    <w:rsid w:val="4CF50103"/>
    <w:rsid w:val="4EAF467F"/>
    <w:rsid w:val="4F4E6E0F"/>
    <w:rsid w:val="505445E6"/>
    <w:rsid w:val="51C230CC"/>
    <w:rsid w:val="521637DB"/>
    <w:rsid w:val="527845CA"/>
    <w:rsid w:val="53112649"/>
    <w:rsid w:val="53954CED"/>
    <w:rsid w:val="53CE049A"/>
    <w:rsid w:val="53D82CB6"/>
    <w:rsid w:val="54465B90"/>
    <w:rsid w:val="549A0EDD"/>
    <w:rsid w:val="54C15380"/>
    <w:rsid w:val="5569227A"/>
    <w:rsid w:val="5631108E"/>
    <w:rsid w:val="570F41E0"/>
    <w:rsid w:val="573D5E4D"/>
    <w:rsid w:val="58D2253D"/>
    <w:rsid w:val="5900561E"/>
    <w:rsid w:val="5A7F118D"/>
    <w:rsid w:val="5C055B66"/>
    <w:rsid w:val="5C2757BE"/>
    <w:rsid w:val="5CD63215"/>
    <w:rsid w:val="5D721BD4"/>
    <w:rsid w:val="5E092CD0"/>
    <w:rsid w:val="5E47660E"/>
    <w:rsid w:val="5EDC7973"/>
    <w:rsid w:val="5F551A3F"/>
    <w:rsid w:val="5FDD417D"/>
    <w:rsid w:val="602C5139"/>
    <w:rsid w:val="60A76F05"/>
    <w:rsid w:val="60FD67A0"/>
    <w:rsid w:val="6174473A"/>
    <w:rsid w:val="62770932"/>
    <w:rsid w:val="63ED0CD3"/>
    <w:rsid w:val="64141E2A"/>
    <w:rsid w:val="643F7FF7"/>
    <w:rsid w:val="65453238"/>
    <w:rsid w:val="667728BC"/>
    <w:rsid w:val="675B6F91"/>
    <w:rsid w:val="67B17BDD"/>
    <w:rsid w:val="69090D36"/>
    <w:rsid w:val="6A10406D"/>
    <w:rsid w:val="6A7D200D"/>
    <w:rsid w:val="6AB611F4"/>
    <w:rsid w:val="6AC72CEE"/>
    <w:rsid w:val="6E6F30A2"/>
    <w:rsid w:val="6E9E457D"/>
    <w:rsid w:val="6EE75DFC"/>
    <w:rsid w:val="6EF66EF9"/>
    <w:rsid w:val="6F630E2C"/>
    <w:rsid w:val="6F7830DE"/>
    <w:rsid w:val="6FA86D5D"/>
    <w:rsid w:val="70154C98"/>
    <w:rsid w:val="70BA7951"/>
    <w:rsid w:val="70F53A4F"/>
    <w:rsid w:val="72576549"/>
    <w:rsid w:val="74A97633"/>
    <w:rsid w:val="74EA18BC"/>
    <w:rsid w:val="76B867A7"/>
    <w:rsid w:val="76C5247B"/>
    <w:rsid w:val="770A55ED"/>
    <w:rsid w:val="772903CF"/>
    <w:rsid w:val="775D3DF3"/>
    <w:rsid w:val="77911A16"/>
    <w:rsid w:val="78B06DDB"/>
    <w:rsid w:val="79746FED"/>
    <w:rsid w:val="79B4195F"/>
    <w:rsid w:val="7BB0252E"/>
    <w:rsid w:val="7CB67331"/>
    <w:rsid w:val="7E105FE5"/>
    <w:rsid w:val="7E30253F"/>
    <w:rsid w:val="7ECF5F29"/>
    <w:rsid w:val="7F584A4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szCs w:val="22"/>
    </w:rPr>
  </w:style>
  <w:style w:type="paragraph" w:styleId="3">
    <w:name w:val="Body Text 3"/>
    <w:basedOn w:val="1"/>
    <w:next w:val="4"/>
    <w:qFormat/>
    <w:uiPriority w:val="99"/>
    <w:pPr>
      <w:spacing w:after="120"/>
    </w:pPr>
    <w:rPr>
      <w:sz w:val="16"/>
      <w:szCs w:val="16"/>
    </w:rPr>
  </w:style>
  <w:style w:type="paragraph" w:styleId="4">
    <w:name w:val="Body Text"/>
    <w:basedOn w:val="1"/>
    <w:next w:val="1"/>
    <w:qFormat/>
    <w:uiPriority w:val="0"/>
    <w:pPr>
      <w:spacing w:before="0" w:after="140" w:line="276" w:lineRule="auto"/>
    </w:pPr>
  </w:style>
  <w:style w:type="paragraph" w:styleId="5">
    <w:name w:val="Plain Text"/>
    <w:basedOn w:val="1"/>
    <w:link w:val="13"/>
    <w:qFormat/>
    <w:uiPriority w:val="99"/>
    <w:rPr>
      <w:rFonts w:ascii="宋体" w:hAnsi="Courier New" w:cs="Courier New"/>
      <w:szCs w:val="21"/>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3">
    <w:name w:val="Plain Text Char"/>
    <w:basedOn w:val="9"/>
    <w:link w:val="5"/>
    <w:qFormat/>
    <w:locked/>
    <w:uiPriority w:val="99"/>
    <w:rPr>
      <w:rFonts w:ascii="宋体" w:hAnsi="Courier New" w:eastAsia="宋体" w:cs="Courier New"/>
      <w:sz w:val="21"/>
      <w:szCs w:val="21"/>
    </w:rPr>
  </w:style>
  <w:style w:type="character" w:customStyle="1" w:styleId="14">
    <w:name w:val="Footer Char"/>
    <w:basedOn w:val="9"/>
    <w:link w:val="6"/>
    <w:semiHidden/>
    <w:qFormat/>
    <w:locked/>
    <w:uiPriority w:val="99"/>
    <w:rPr>
      <w:rFonts w:cs="Times New Roman"/>
      <w:sz w:val="18"/>
      <w:szCs w:val="18"/>
    </w:rPr>
  </w:style>
  <w:style w:type="character" w:customStyle="1" w:styleId="15">
    <w:name w:val="Header Char"/>
    <w:basedOn w:val="9"/>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247</Words>
  <Characters>1413</Characters>
  <Lines>0</Lines>
  <Paragraphs>0</Paragraphs>
  <TotalTime>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2023-05-06T00:53:00Z</cp:lastPrinted>
  <dcterms:modified xsi:type="dcterms:W3CDTF">2023-05-06T09:06:34Z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