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overflowPunct/>
        <w:topLinePunct w:val="0"/>
        <w:bidi w:val="0"/>
        <w:spacing w:line="560" w:lineRule="exact"/>
        <w:jc w:val="lef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pPr>
        <w:keepNext w:val="0"/>
        <w:keepLines w:val="0"/>
        <w:pageBreakBefore w:val="0"/>
        <w:numPr>
          <w:ilvl w:val="0"/>
          <w:numId w:val="0"/>
        </w:numPr>
        <w:overflowPunct/>
        <w:topLinePunct w:val="0"/>
        <w:bidi w:val="0"/>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证明事项告知承诺制清单（第三批）统计表</w:t>
      </w:r>
    </w:p>
    <w:tbl>
      <w:tblPr>
        <w:tblStyle w:val="8"/>
        <w:tblW w:w="14775" w:type="dxa"/>
        <w:tblInd w:w="-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055"/>
        <w:gridCol w:w="3645"/>
        <w:gridCol w:w="69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81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政务事项名称</w:t>
            </w:r>
          </w:p>
        </w:tc>
        <w:tc>
          <w:tcPr>
            <w:tcW w:w="3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实行告知承诺制的证明事项</w:t>
            </w:r>
          </w:p>
        </w:tc>
        <w:tc>
          <w:tcPr>
            <w:tcW w:w="6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证明事项设定依据</w:t>
            </w:r>
          </w:p>
        </w:tc>
        <w:tc>
          <w:tcPr>
            <w:tcW w:w="135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实施区域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055"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未满十八周岁公民申请变更民族成份</w:t>
            </w:r>
          </w:p>
        </w:tc>
        <w:tc>
          <w:tcPr>
            <w:tcW w:w="3645"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rPr>
              <w:t>变更民族成份证明</w:t>
            </w:r>
          </w:p>
        </w:tc>
        <w:tc>
          <w:tcPr>
            <w:tcW w:w="6915"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《中国公民民族成分登记管理办法》（国家民族事务委员会、公安部令第2号）第九条、第十条</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森林经营单位修筑直接为林业生产服务的工程设施占用林地审批</w:t>
            </w:r>
          </w:p>
        </w:tc>
        <w:tc>
          <w:tcPr>
            <w:tcW w:w="3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林地权属证明材料、补偿协议材料。</w:t>
            </w:r>
          </w:p>
        </w:tc>
        <w:tc>
          <w:tcPr>
            <w:tcW w:w="6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1、《中华人民共和国森林法》第四十一条、第五十二条规定；2.《建设项目使用林地审核审批管理办法》（2015年国务院令第35号）；3.《陕西省建设项目使用林地审核审批管理实施细则》（陕林资发[2022]83号）</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0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outlineLvl w:val="9"/>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临时占用林地审核</w:t>
            </w:r>
          </w:p>
        </w:tc>
        <w:tc>
          <w:tcPr>
            <w:tcW w:w="3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firstLine="0" w:firstLineChars="0"/>
              <w:jc w:val="left"/>
              <w:textAlignment w:val="auto"/>
              <w:outlineLvl w:val="9"/>
              <w:rPr>
                <w:rFonts w:hint="eastAsia" w:ascii="仿宋_GB2312" w:hAnsi="仿宋_GB2312" w:eastAsia="仿宋_GB2312" w:cs="仿宋_GB2312"/>
                <w:kern w:val="2"/>
                <w:sz w:val="24"/>
                <w:szCs w:val="24"/>
                <w:vertAlign w:val="baseline"/>
                <w:lang w:val="en-US" w:eastAsia="zh-CN" w:bidi="ar-SA"/>
              </w:rPr>
            </w:pPr>
          </w:p>
        </w:tc>
        <w:tc>
          <w:tcPr>
            <w:tcW w:w="6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80" w:lineRule="exact"/>
              <w:ind w:left="0" w:lef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1、《中华人民共和国森林法》第三十八条规定；2.《建设项目使用林地审核审批管理办法》（2015年国务院令第35号）规定；3.《陕西省建设项目使用林地审核审批管理实施细则》（陕林资发[2022]83号）</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Style w:val="9"/>
                <w:rFonts w:hint="eastAsia" w:ascii="仿宋_GB2312" w:hAnsi="仿宋_GB2312" w:eastAsia="仿宋_GB2312" w:cs="仿宋_GB2312"/>
                <w:sz w:val="24"/>
                <w:szCs w:val="24"/>
                <w:lang w:val="en-US" w:eastAsia="zh-CN" w:bidi="ar"/>
              </w:rPr>
              <w:t xml:space="preserve">1.发放烈士褒扬金 </w:t>
            </w:r>
            <w:r>
              <w:rPr>
                <w:rStyle w:val="10"/>
                <w:rFonts w:hint="eastAsia" w:ascii="仿宋_GB2312" w:hAnsi="仿宋_GB2312" w:eastAsia="仿宋_GB2312" w:cs="仿宋_GB2312"/>
                <w:sz w:val="24"/>
                <w:szCs w:val="24"/>
                <w:lang w:val="en-US" w:eastAsia="zh-CN" w:bidi="ar"/>
              </w:rPr>
              <w:t xml:space="preserve"> </w:t>
            </w:r>
            <w:r>
              <w:rPr>
                <w:rStyle w:val="9"/>
                <w:rFonts w:hint="eastAsia" w:ascii="仿宋_GB2312" w:hAnsi="仿宋_GB2312" w:eastAsia="仿宋_GB2312" w:cs="仿宋_GB2312"/>
                <w:sz w:val="24"/>
                <w:szCs w:val="24"/>
                <w:lang w:val="en-US" w:eastAsia="zh-CN" w:bidi="ar"/>
              </w:rPr>
              <w:br w:type="textWrapping"/>
            </w:r>
            <w:r>
              <w:rPr>
                <w:rStyle w:val="9"/>
                <w:rFonts w:hint="eastAsia" w:ascii="仿宋_GB2312" w:hAnsi="仿宋_GB2312" w:eastAsia="仿宋_GB2312" w:cs="仿宋_GB2312"/>
                <w:sz w:val="24"/>
                <w:szCs w:val="24"/>
                <w:lang w:val="en-US" w:eastAsia="zh-CN" w:bidi="ar"/>
              </w:rPr>
              <w:t>2.发放一次性抚恤金</w:t>
            </w:r>
            <w:r>
              <w:rPr>
                <w:rStyle w:val="10"/>
                <w:rFonts w:hint="eastAsia" w:ascii="仿宋_GB2312" w:hAnsi="仿宋_GB2312" w:eastAsia="仿宋_GB2312" w:cs="仿宋_GB2312"/>
                <w:sz w:val="24"/>
                <w:szCs w:val="24"/>
                <w:lang w:val="en-US" w:eastAsia="zh-CN" w:bidi="ar"/>
              </w:rPr>
              <w:t xml:space="preserve">    </w:t>
            </w:r>
            <w:r>
              <w:rPr>
                <w:rStyle w:val="9"/>
                <w:rFonts w:hint="eastAsia" w:ascii="仿宋_GB2312" w:hAnsi="仿宋_GB2312" w:eastAsia="仿宋_GB2312" w:cs="仿宋_GB2312"/>
                <w:sz w:val="24"/>
                <w:szCs w:val="24"/>
                <w:lang w:val="en-US" w:eastAsia="zh-CN" w:bidi="ar"/>
              </w:rPr>
              <w:t xml:space="preserve"> </w:t>
            </w:r>
            <w:r>
              <w:rPr>
                <w:rStyle w:val="9"/>
                <w:rFonts w:hint="eastAsia" w:ascii="仿宋_GB2312" w:hAnsi="仿宋_GB2312" w:eastAsia="仿宋_GB2312" w:cs="仿宋_GB2312"/>
                <w:sz w:val="24"/>
                <w:szCs w:val="24"/>
                <w:lang w:val="en-US" w:eastAsia="zh-CN" w:bidi="ar"/>
              </w:rPr>
              <w:br w:type="textWrapping"/>
            </w:r>
            <w:r>
              <w:rPr>
                <w:rStyle w:val="9"/>
                <w:rFonts w:hint="eastAsia" w:ascii="仿宋_GB2312" w:hAnsi="仿宋_GB2312" w:eastAsia="仿宋_GB2312" w:cs="仿宋_GB2312"/>
                <w:sz w:val="24"/>
                <w:szCs w:val="24"/>
                <w:lang w:val="en-US" w:eastAsia="zh-CN" w:bidi="ar"/>
              </w:rPr>
              <w:t>3.发放定期抚恤金</w:t>
            </w:r>
            <w:r>
              <w:rPr>
                <w:rStyle w:val="9"/>
                <w:rFonts w:hint="eastAsia" w:ascii="仿宋_GB2312" w:hAnsi="仿宋_GB2312" w:eastAsia="仿宋_GB2312" w:cs="仿宋_GB2312"/>
                <w:sz w:val="24"/>
                <w:szCs w:val="24"/>
                <w:lang w:val="en-US" w:eastAsia="zh-CN" w:bidi="ar"/>
              </w:rPr>
              <w:br w:type="textWrapping"/>
            </w:r>
            <w:r>
              <w:rPr>
                <w:rStyle w:val="9"/>
                <w:rFonts w:hint="eastAsia" w:ascii="仿宋_GB2312" w:hAnsi="仿宋_GB2312" w:eastAsia="仿宋_GB2312" w:cs="仿宋_GB2312"/>
                <w:sz w:val="24"/>
                <w:szCs w:val="24"/>
                <w:lang w:val="en-US" w:eastAsia="zh-CN" w:bidi="ar"/>
              </w:rPr>
              <w:t>4.发放移交政府安置的军队离休退休干部丧葬费</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亲属关系证明</w:t>
            </w:r>
          </w:p>
        </w:tc>
        <w:tc>
          <w:tcPr>
            <w:tcW w:w="6915" w:type="dxa"/>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烈士褒扬条例》（2011年7月国务院令第601号公布，2019年8月修订，下同)第十四条：“烈士褒扬金由领取烈士证书的烈士遗属户口所在地县级人民政府退役军人事务部门发给烈士的父母或者抚养人、配偶、子女；没有父母或者抚养人、配偶、子女的，发给烈士未满18周岁的兄弟姐妹和已满18周岁但无生活来源且由烈士生前供养的兄弟姐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军人抚恤优待条例》（国务院、中央军事委员会令第413号公布，2019年3月修订，下同）第七条：“现役军人死亡被批准为烈士、被确认为因公牺牲或者病故的，其遗属依照本条例的规定享受抚恤。”第十三条：“现役军人死亡，根据其死亡性质和死亡时的月工资标准，由县级人民政府退役军人事务部门发给其遗属一次性抚恤金。”《军人抚恤优待条例》第二十八条：“退出现役的因战、因公致残的残疾军人因旧伤复发死亡的，由县级人民政府退役军人事务部门按照因公牺牲军人的抚恤金标准发给其遗属一次性抚恤金，其遗属享受因公牺牲军人遗属抚恤待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军人抚恤优待条例》第十六条：“对符合下列条件之一的烈士遗属、因公牺牲军人遗属、病故军人遗属，发给定期抚恤金：（一）父母（抚养人）、配偶无劳动能力、无生活费来源，或者收入水平低于当地居民平均生活水平的；（二）子女未满18周岁或者已满18周岁但因上学或者残疾无生活费来源的；（三）兄弟姐妹未满18周岁或者已满18周岁但因上学无生活费来源且由该军人生前供养的。对符合享受定期抚恤金条件的遗属，由县级人民政府退役军人事务部门发给《定期抚恤金领取证》。”</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军人抚恤优待条例》第十三条：“现役军人死亡，根据其死亡性质和死亡时的月工资标准，由县级人民政府退役军人事务部门发给其遗属一次性抚恤金，标准是：……病故的，为上一年度全国城镇居民人均可支配收入的2倍加本人40个月的工资。”第五十二条：“军队离休、退休干部和退休士官的抚恤优待，依照本条例有关现役军人抚恤优待的规定执行。”</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1.发放享受定期抚恤金人员丧葬补助费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2.发放一次性抚恤金</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3.发放移交政府安置的军队离休退休干部丧葬费</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4.发放退役残疾军人丧葬补助费</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死亡证明</w:t>
            </w:r>
          </w:p>
        </w:tc>
        <w:tc>
          <w:tcPr>
            <w:tcW w:w="6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1.《军人抚恤优待条例》第十九条：“享受定期抚恤金的烈士遗属、因公牺牲军人遗属、病故军人遗属死亡的，增发6个月其原享受的定期抚恤金，作为丧葬补助费，同时注销其领取定期抚恤金的证件。”</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军人抚恤优待条例》第七条：第十三条：“现役军人死亡，根据其死亡性质和死亡时的月工资标准，由县级人民政府退役军人事务部门发给其遗属一次性抚恤金。”第二十八条：“退出现役的因战、因公致残的残疾军人因旧伤复发死亡的，由县级人民政府退役军人事务部门按照因公牺牲军人的抚恤金标准发给其遗属一次性抚恤金，其遗属享受因公牺牲军人遗属抚恤待遇。”</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3.《军人抚恤优待条例》第十三条：“现役军人死亡，根据其死亡性质和死亡时的月工资标准，由县级人民政府退役军人事务部门发给其遗属一次性抚恤金，标准是：……病故的，为上一年度全国城镇居民人均可支配收入的2倍加本人40个月的工资。”第五十二条：“军队离休、退休干部和退休士官的抚恤优待，依照本条例有关现役军人抚恤优待的规定执行。”</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4.《军人抚恤优待条例》第二十八条：“退出现役的因战、因公、因病致残的残疾军人因病死亡的，对其遗属增发12个月的残疾抚恤金，作为丧葬补助费；其中，因战、因公致残的一级至四级残疾军人因病死亡的，其遗属享受病故军人遗属抚恤待遇。”</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伤残性质认定和伤残等级评定</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致残经过证明</w:t>
            </w:r>
          </w:p>
        </w:tc>
        <w:tc>
          <w:tcPr>
            <w:tcW w:w="6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军人抚恤优待条例》第十九条：“残疾等级的具体评定标准由国务院退役军人事务部门、人力资源社会保障部门、卫生部门会同军队有关部门规定。”《伤残抚恤管理办法》（退役军人事务部令第1号，2019年12月16日）第七条：“申请新办评定残疾等级，应当提交致残经过证明和医疗诊断证明。致残经过证明应包括相关职能部门提供的执行公务证明，交通事故责任认定书、调解协议书、民事判决书、医疗事故鉴定书等证明材料；抢救和保护国家财产、人民生命财产致残或者为维护社会治安同犯罪分子斗争致残证明；统一组织参战、参加军事演习、军事训练和执行军事勤务的证明材料。”</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伤残性质认定和伤残等级评定</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医疗诊断证明</w:t>
            </w:r>
          </w:p>
        </w:tc>
        <w:tc>
          <w:tcPr>
            <w:tcW w:w="6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军人抚恤优待条例》第十九条：“残疾等级的具体评定标准由国务院退役军人事务部门、人力资源社会保障部门、卫生部门会同军队有关部门规定。”《伤残抚恤管理办法》（退役军人事务部令第1号，2019年12月16日）第七条：“申请新办评定残疾等级，应当提交致残经过证明和医疗诊断证明。医疗诊断证明应包括加盖出具单位相关印章的门诊病历原件、住院病历复印件及相关检查报告。”</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205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带病回乡退伍军人的认定</w:t>
            </w:r>
          </w:p>
        </w:tc>
        <w:tc>
          <w:tcPr>
            <w:tcW w:w="364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医疗诊断证明</w:t>
            </w:r>
          </w:p>
        </w:tc>
        <w:tc>
          <w:tcPr>
            <w:tcW w:w="691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1.《军人抚恤优待条例》第五十三条：“本条例所称的带病回乡退伍军人，是指在服现役期间患病，尚未达到评定残疾等级条件并有军队医院证明，从部队退伍的人员。”</w:t>
            </w:r>
            <w:r>
              <w:rPr>
                <w:rFonts w:hint="eastAsia" w:ascii="仿宋_GB2312" w:hAnsi="仿宋_GB2312" w:eastAsia="仿宋_GB2312" w:cs="仿宋_GB2312"/>
                <w:i w:val="0"/>
                <w:color w:val="000000"/>
                <w:kern w:val="0"/>
                <w:sz w:val="24"/>
                <w:szCs w:val="24"/>
                <w:u w:val="none"/>
                <w:lang w:val="en-US" w:eastAsia="zh-CN" w:bidi="ar"/>
              </w:rPr>
              <w:br w:type="textWrapping"/>
            </w:r>
            <w:r>
              <w:rPr>
                <w:rFonts w:hint="eastAsia" w:ascii="仿宋_GB2312" w:hAnsi="仿宋_GB2312" w:eastAsia="仿宋_GB2312" w:cs="仿宋_GB2312"/>
                <w:i w:val="0"/>
                <w:color w:val="000000"/>
                <w:kern w:val="0"/>
                <w:sz w:val="24"/>
                <w:szCs w:val="24"/>
                <w:u w:val="none"/>
                <w:lang w:val="en-US" w:eastAsia="zh-CN" w:bidi="ar"/>
              </w:rPr>
              <w:t>2.《关于进一步规范带病回乡退伍军人认定有关问题的通知》（民函〔2012〕255号）规定：“申请享受带病回乡退伍军人待遇，应当由当事人向县级人民政府民政部门提出，由设区的市级以上地方人民政府民政部门审批。具体审批机关由省级人民政府民政部门规定。”</w:t>
            </w:r>
          </w:p>
        </w:tc>
        <w:tc>
          <w:tcPr>
            <w:tcW w:w="1350" w:type="dxa"/>
            <w:vAlign w:val="center"/>
          </w:tcPr>
          <w:p>
            <w:pPr>
              <w:keepNext w:val="0"/>
              <w:keepLines w:val="0"/>
              <w:widowControl/>
              <w:suppressLineNumbers w:val="0"/>
              <w:jc w:val="center"/>
              <w:textAlignment w:val="center"/>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0"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205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省级行政区域内经营广播电视节目传送（有线）业务审批 </w:t>
            </w:r>
          </w:p>
        </w:tc>
        <w:tc>
          <w:tcPr>
            <w:tcW w:w="36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广播电视节目信号来源证明 </w:t>
            </w:r>
          </w:p>
        </w:tc>
        <w:tc>
          <w:tcPr>
            <w:tcW w:w="6915" w:type="dxa"/>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《国务院对确需保留的行政审批项目设定行政许可的决定》（2004年6月29日国务院令第412号，2009年1月29日予以修改）附件第305项：省级行政区域内或跨省经营广播电视节目传送业务审批（实施机关：广电总局）。</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国务院关于第六批取消和调整行政审批项目的决定》（国发〔2012〕52号）附件2《国务院决定调整的行政审批项目目录》第67项：“省级行政区域内经营广播电视节目传送业务审批”下放至省级人民政府广播电影电视行政部门。</w:t>
            </w:r>
          </w:p>
        </w:tc>
        <w:tc>
          <w:tcPr>
            <w:tcW w:w="1350" w:type="dxa"/>
            <w:vAlign w:val="center"/>
          </w:tcPr>
          <w:p>
            <w:pPr>
              <w:spacing w:line="5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205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省级行政区域内经营广播电视节目传送（无线）业务审批 </w:t>
            </w:r>
          </w:p>
        </w:tc>
        <w:tc>
          <w:tcPr>
            <w:tcW w:w="36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合法广播电视节目信号来源的证明、合法广播电视节目传输方式的证明、合法广播电视节目传输范围的证明  </w:t>
            </w:r>
          </w:p>
        </w:tc>
        <w:tc>
          <w:tcPr>
            <w:tcW w:w="6915" w:type="dxa"/>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《广播电视无线传输覆盖网管理办法》（2004 年国家广播电影电视总局令第45 号颁布）第十三条广电总局委托省级广播电视行政部门审批以下业务，申请单位应向所在地县级以上广播电视行政部门提出申请，经逐级审核后，报请省级广播电视行政部门领取《广播电视节目传送业务经营许可证（无线）》：（一）申请利用微波传输广播电视节目且覆盖区域在本省（自治区、直辖市）范围内的；（二）使用小功率调频、电视发射设备（发射机标称功率50 瓦（含）以下）进行广播的。</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《国务院对确需保留的行政审批项目设定行政许可的决定》（2004 年6 月29 日国务院令第412 号颁布，自2004 年7 月1 日起施行）第305 项：省级行政区域内或跨省经营广播电视节目传送业务审批，实施机关：广电总局。</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《国务院关于第六批取消和调整行政审批项目的决定》（2012 年9 月23 日国发〔2012〕52 号发布）附件2 下放管理层级的行政审批项目第67 项，项目名称：省级行政区域内经营广播电视节目传送业务审批，实施机关：省级人民政府广播电影电视行政部门。</w:t>
            </w:r>
          </w:p>
        </w:tc>
        <w:tc>
          <w:tcPr>
            <w:tcW w:w="1350" w:type="dxa"/>
            <w:vAlign w:val="center"/>
          </w:tcPr>
          <w:p>
            <w:pPr>
              <w:spacing w:line="5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205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广播电视节目制作经营单位设立审批 </w:t>
            </w:r>
          </w:p>
        </w:tc>
        <w:tc>
          <w:tcPr>
            <w:tcW w:w="36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 xml:space="preserve">主要管理人员（不少于3名）曾参加相关专业培训证明 </w:t>
            </w:r>
          </w:p>
        </w:tc>
        <w:tc>
          <w:tcPr>
            <w:tcW w:w="6915" w:type="dxa"/>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设定依据1法律法规名称：国务院关于取消和调整一批行政审批项目等事项的决定（国发〔2015〕11号）</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条款内容</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第一条 《附件4 国务院决定改为后置审批的工商登记前置审批事项目录》第13项 “广播电视节目制作经营单位设立审批”工商登记前置审批改为后置审批</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设定依据2 法律法规名称 ：广播电视节目制作经营管理规定（广电总局令第34号）</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条款内容</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第四条</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国家对设立广播电视节目制作经营机构或从事广播电视节目制作经营活动实行许可制度。</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设立广播电视节目制作经营机构或从事广播电视节目制作经营活动应当取得《广播电视节目制作经营许可证》。</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第八条</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京的中央单位及其直属机构申请《广播电视节目制作经营许可证》，报广电总局审批；其他机构申请《广播电视节目制作经营许可证》，向所在地广播电视行政部门提出申请，经逐级审核后，报省级广播电视行政部门审批。</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设定依据3 法律法规名称：广播电视管理条例（国务院令第228号）</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条款内容</w:t>
            </w:r>
          </w:p>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第三十一条 广播电视节目由广播电台、电视台和省级以上人民政府广播电视行政部门批准设立的广播电视节目制作经营单位制作。广播电台、电视台不得播放未取得广播电视节目制作经营许可的单位制作的广播电视节目。</w:t>
            </w:r>
          </w:p>
        </w:tc>
        <w:tc>
          <w:tcPr>
            <w:tcW w:w="1350" w:type="dxa"/>
            <w:vAlign w:val="center"/>
          </w:tcPr>
          <w:p>
            <w:pPr>
              <w:spacing w:line="56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镇坪县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5" w:hRule="atLeast"/>
        </w:trPr>
        <w:tc>
          <w:tcPr>
            <w:tcW w:w="810" w:type="dxa"/>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12</w:t>
            </w:r>
          </w:p>
        </w:tc>
        <w:tc>
          <w:tcPr>
            <w:tcW w:w="205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乡镇设立广播电视站和机关、部队、团体、企业事业单位设立有线广播电视站审批</w:t>
            </w:r>
          </w:p>
        </w:tc>
        <w:tc>
          <w:tcPr>
            <w:tcW w:w="364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szCs w:val="24"/>
              </w:rPr>
              <w:t>资金证明文件、场地证明文件</w:t>
            </w:r>
          </w:p>
        </w:tc>
        <w:tc>
          <w:tcPr>
            <w:tcW w:w="6915" w:type="dxa"/>
            <w:vAlign w:val="center"/>
          </w:tcPr>
          <w:p>
            <w:pPr>
              <w:keepNext w:val="0"/>
              <w:keepLines w:val="0"/>
              <w:pageBreakBefore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广播电视管理条例》（1997年8月11日国务院令第228号，2013年12月7日国务院令第645号第一次修订，2017年3月1日国务院令第676号第二次修订）第十五条：乡、镇设立广播电视站的，由所在地县级以上人民政府广播电视行政部门负责审核，并按照国务院广播电视行政部门的有关规定审批。机关、部队、团体、企业事业单位设立有线广播电视站的，按照国务院有关规定审批。 《广播电视站审批管理暂行规定》（2004年7月6日广电总局令第32号）第三条：市辖区、乡镇及企事业单位、大专院校可申请设立广播电视站。第五条：申请设立广播电视站，须由申请单位向当地县级以上广播电视行政部门提出申请，逐级审核同意后，报省级广播电视行政部门审批。</w:t>
            </w:r>
          </w:p>
        </w:tc>
        <w:tc>
          <w:tcPr>
            <w:tcW w:w="1350" w:type="dxa"/>
            <w:vAlign w:val="center"/>
          </w:tcPr>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24"/>
                <w:szCs w:val="24"/>
              </w:rPr>
              <w:t>镇坪县</w:t>
            </w:r>
          </w:p>
        </w:tc>
      </w:tr>
    </w:tbl>
    <w:p>
      <w:pPr>
        <w:keepNext w:val="0"/>
        <w:keepLines w:val="0"/>
        <w:pageBreakBefore w:val="0"/>
        <w:numPr>
          <w:ilvl w:val="0"/>
          <w:numId w:val="0"/>
        </w:numPr>
        <w:overflowPunct/>
        <w:topLinePunct w:val="0"/>
        <w:bidi w:val="0"/>
        <w:spacing w:line="560" w:lineRule="exact"/>
        <w:jc w:val="left"/>
        <w:rPr>
          <w:rFonts w:hint="eastAsia" w:ascii="黑体" w:hAnsi="黑体" w:eastAsia="黑体" w:cs="黑体"/>
          <w:sz w:val="32"/>
          <w:szCs w:val="32"/>
          <w:lang w:val="en-US" w:eastAsia="zh-CN"/>
        </w:rPr>
      </w:pPr>
    </w:p>
    <w:p>
      <w:pPr>
        <w:keepNext w:val="0"/>
        <w:keepLines w:val="0"/>
        <w:pageBreakBefore w:val="0"/>
        <w:numPr>
          <w:ilvl w:val="0"/>
          <w:numId w:val="0"/>
        </w:numPr>
        <w:overflowPunct/>
        <w:topLinePunct w:val="0"/>
        <w:bidi w:val="0"/>
        <w:spacing w:line="560" w:lineRule="exact"/>
        <w:jc w:val="left"/>
        <w:rPr>
          <w:rFonts w:hint="eastAsia" w:ascii="黑体" w:hAnsi="黑体" w:eastAsia="黑体" w:cs="黑体"/>
          <w:sz w:val="32"/>
          <w:szCs w:val="32"/>
          <w:lang w:val="en-US" w:eastAsia="zh-CN"/>
        </w:rPr>
      </w:pPr>
    </w:p>
    <w:p>
      <w:pPr>
        <w:keepNext w:val="0"/>
        <w:keepLines w:val="0"/>
        <w:pageBreakBefore w:val="0"/>
        <w:numPr>
          <w:ilvl w:val="0"/>
          <w:numId w:val="0"/>
        </w:numPr>
        <w:overflowPunct/>
        <w:topLinePunct w:val="0"/>
        <w:bidi w:val="0"/>
        <w:spacing w:line="560" w:lineRule="exact"/>
        <w:jc w:val="left"/>
        <w:rPr>
          <w:rFonts w:hint="eastAsia" w:ascii="黑体" w:hAnsi="黑体" w:eastAsia="黑体" w:cs="黑体"/>
          <w:sz w:val="32"/>
          <w:szCs w:val="32"/>
          <w:lang w:val="en-US" w:eastAsia="zh-CN"/>
        </w:rPr>
      </w:pPr>
    </w:p>
    <w:p>
      <w:pPr>
        <w:keepNext w:val="0"/>
        <w:keepLines w:val="0"/>
        <w:pageBreakBefore w:val="0"/>
        <w:numPr>
          <w:ilvl w:val="0"/>
          <w:numId w:val="0"/>
        </w:numPr>
        <w:overflowPunct/>
        <w:topLinePunct w:val="0"/>
        <w:bidi w:val="0"/>
        <w:spacing w:line="560" w:lineRule="exact"/>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GIwODcxN2VkYTU1YzMwZmEzZmY3MjVjMjQwNzEifQ=="/>
  </w:docVars>
  <w:rsids>
    <w:rsidRoot w:val="00000000"/>
    <w:rsid w:val="0A305340"/>
    <w:rsid w:val="1DD200EA"/>
    <w:rsid w:val="216D0ECE"/>
    <w:rsid w:val="4895641D"/>
    <w:rsid w:val="4D28120B"/>
    <w:rsid w:val="5E726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11"/>
    <w:basedOn w:val="5"/>
    <w:qFormat/>
    <w:uiPriority w:val="0"/>
    <w:rPr>
      <w:rFonts w:hint="eastAsia" w:ascii="仿宋_GB2312" w:eastAsia="仿宋_GB2312" w:cs="仿宋_GB2312"/>
      <w:color w:val="000000"/>
      <w:sz w:val="22"/>
      <w:szCs w:val="22"/>
      <w:u w:val="none"/>
    </w:rPr>
  </w:style>
  <w:style w:type="character" w:customStyle="1" w:styleId="10">
    <w:name w:val="font01"/>
    <w:basedOn w:val="5"/>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2023-08-24T02:21:00Z</dcterms:created>
  <dc:creator>Lenovo</dc:creator>
  <cp:lastModifiedBy>Administrator</cp:lastModifiedBy>
  <dcterms:modified xsi:type="dcterms:W3CDTF">2023-09-18T00:54:02Z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E19B47C1F5C141BDA39AED3234A7C27A_12</vt:lpwstr>
  </property>
</Properties>
</file>