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镇坪县科学技术协会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/>
          <w:highlight w:val="none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baseline"/>
        <w:outlineLvl w:val="9"/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镇坪县科学技术协会是全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县科技工作者的群众组织,受中共镇坪县委领导，接受安康市科学技术协会的工作指导。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sz w:val="32"/>
          <w:szCs w:val="32"/>
          <w:shd w:val="clear" w:color="auto" w:fill="FFFFFF"/>
        </w:rPr>
        <w:t>主要职责是：开展学术交流，活跃学术思想，繁荣学术园地，促进学科和经济发展；拟定全县科普工作规划并组织实施：动员社会各方面力量，开展普及科学知识、弘扬科学精神，推广先进科学技术和开展青少年科技教育活动；指导科普阵地的规划，建设和管理及科普队伍的建设工作；表彰优秀科技工作者，举荐人才。组织科技工作者参与科技、政策法规制定的论证工作，推进决策科学化、民主化。反映科技工作者的意见建议和要求，维护科技工作者的合法权益；开展科技工作者继续教育、技术培训工作。开展科学论证、技术咨询和技术服务，促进科技成果的转化；接受委托承担科技项目评估、科技成果鉴定、专业技术职务资格评审等工作；开展科技交流与合作，发展科技团体和科技工作者的友好往来；管理所属学会，指导下级科协的业务工作；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承担县委、县政府及上级科协交办的其他任务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ascii="仿宋" w:hAnsi="仿宋" w:eastAsia="仿宋" w:cs="仿宋"/>
          <w:b w:val="0"/>
          <w:i w:val="0"/>
          <w:color w:val="333333"/>
          <w:sz w:val="32"/>
          <w:szCs w:val="32"/>
          <w:shd w:val="clear" w:color="auto" w:fill="FFFFFF"/>
        </w:rPr>
        <w:t>机构设置： 县科协设行政办公室、业务综合办公室（学会部、科普部）各一个。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工作任务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县科协将着力围绕县委、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政府中心工作及省、市科协工作重点，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紧扣“四服务”职能定位，致力创新，拉长手臂，强基固本，激发活力，创新争先，围绕全省科普示范县创建和“12345”重点工作抓好落实，确保各项工作稳步推进，为贯彻落实好党的二十大精神贡献科协力量。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1”是“一个主线”。就是以实施《全民科学素质行动规划纲要》为主线，充分发挥《纲要》实施协调机制作用，组织实施好5项提升行动，即青少年、农民、产业工人、老年人、领导干部和公务员科学素质提升行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“2”是“两项建设”。抓好组织体系建设和人才队伍建设，进一步完善县镇村网络及县级学（协）会、企业协会增补改选工作。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“3”是“三个重点”。即抓好科普品牌活动（科技之春、科技活动周、全国科技工作者日、全国科普日）、科技志愿服务（组建县镇村科技志愿服务队伍）、科技助力乡村振兴等重点工作。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“4”是“四项建设”。以创建全省科普示范县为契机，统筹抓好县科技馆项目建设、科普示范镇、村（社区）建设、科普示范学校建设、科普示范基地建设。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是“五个加强”。加强健全组织网络体系，加强科普品牌活动、加强科技服务建设、加强科普阵地能力建设、加强目标责任考核管理，基本实现科普工作精细化管理。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三、预算单位构成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从预算单位构成看，本部门的部门预算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包括部门本级（机关）预算和所属事业单位预算。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纳入本部门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当年预算编制范围的二级预算单位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共有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0个，包括：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491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491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201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1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镇坪县科学技术协会本级</w:t>
            </w:r>
          </w:p>
        </w:tc>
        <w:tc>
          <w:tcPr>
            <w:tcW w:w="201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1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01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1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01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四、人员情况说明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上年底，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本部门人员编制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3人，其中行政编制0人、事业编制3人；实有人员5人，其中行政0人、事业4人。单位管理的离退休人员1人。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position w:val="-105"/>
        </w:rPr>
        <w:pict>
          <v:shape id="_x0000_s1031" o:spid="_x0000_s1031" o:spt="75" type="#_x0000_t75" style="position:absolute;left:0pt;margin-left:-6.2pt;margin-top:0.2pt;height:262.5pt;width:518.25pt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f"/>
            <w10:wrap type="topAndBottom"/>
          </v:shape>
        </w:pic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61" w:line="560" w:lineRule="exact"/>
        <w:ind w:firstLine="487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ascii="仿宋" w:hAnsi="仿宋" w:eastAsia="仿宋" w:cs="仿宋"/>
          <w:spacing w:val="15"/>
          <w:sz w:val="32"/>
          <w:szCs w:val="32"/>
        </w:rPr>
        <w:t>按照综合预算的原则，本部门所有收入和支出均纳入部门预算管理。2023年本部门预算收入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61</w:t>
      </w:r>
      <w:r>
        <w:rPr>
          <w:rFonts w:ascii="仿宋" w:hAnsi="仿宋" w:eastAsia="仿宋" w:cs="仿宋"/>
          <w:spacing w:val="3"/>
          <w:sz w:val="32"/>
          <w:szCs w:val="32"/>
        </w:rPr>
        <w:t>.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spacing w:val="3"/>
          <w:sz w:val="32"/>
          <w:szCs w:val="32"/>
        </w:rPr>
        <w:t>万元、其中一般公共预算拨款收入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61</w:t>
      </w:r>
      <w:r>
        <w:rPr>
          <w:rFonts w:ascii="仿宋" w:hAnsi="仿宋" w:eastAsia="仿宋" w:cs="仿宋"/>
          <w:spacing w:val="3"/>
          <w:sz w:val="32"/>
          <w:szCs w:val="32"/>
        </w:rPr>
        <w:t>.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spacing w:val="3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2"/>
          <w:szCs w:val="32"/>
        </w:rPr>
        <w:t>万元、上级补</w:t>
      </w:r>
      <w:r>
        <w:rPr>
          <w:rFonts w:ascii="仿宋" w:hAnsi="仿宋" w:eastAsia="仿宋" w:cs="仿宋"/>
          <w:spacing w:val="10"/>
          <w:sz w:val="32"/>
          <w:szCs w:val="32"/>
        </w:rPr>
        <w:t>助收入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10"/>
          <w:sz w:val="32"/>
          <w:szCs w:val="32"/>
        </w:rPr>
        <w:t>万元、事业收入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10"/>
          <w:sz w:val="32"/>
          <w:szCs w:val="32"/>
        </w:rPr>
        <w:t>万元、事</w:t>
      </w:r>
      <w:r>
        <w:rPr>
          <w:rFonts w:ascii="仿宋" w:hAnsi="仿宋" w:eastAsia="仿宋" w:cs="仿宋"/>
          <w:spacing w:val="9"/>
          <w:sz w:val="32"/>
          <w:szCs w:val="32"/>
        </w:rPr>
        <w:t>业单位经营收入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9"/>
          <w:sz w:val="32"/>
          <w:szCs w:val="32"/>
        </w:rPr>
        <w:t>万元、对附属单位上缴收入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6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16"/>
          <w:sz w:val="32"/>
          <w:szCs w:val="32"/>
        </w:rPr>
        <w:t>万元、用事业基金弥补收支差额</w:t>
      </w:r>
      <w:r>
        <w:rPr>
          <w:rFonts w:hint="eastAsia" w:ascii="仿宋" w:hAnsi="仿宋" w:eastAsia="仿宋" w:cs="仿宋"/>
          <w:spacing w:val="16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16"/>
          <w:sz w:val="32"/>
          <w:szCs w:val="32"/>
        </w:rPr>
        <w:t>万元、上年结转</w:t>
      </w:r>
      <w:r>
        <w:rPr>
          <w:rFonts w:hint="eastAsia" w:ascii="仿宋" w:hAnsi="仿宋" w:eastAsia="仿宋" w:cs="仿宋"/>
          <w:spacing w:val="16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16"/>
          <w:sz w:val="32"/>
          <w:szCs w:val="32"/>
        </w:rPr>
        <w:t>万元、上年实户资金余额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2"/>
          <w:szCs w:val="32"/>
        </w:rPr>
        <w:t>万元、其他收入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；</w:t>
      </w:r>
      <w:r>
        <w:rPr>
          <w:rFonts w:ascii="仿宋" w:hAnsi="仿宋" w:eastAsia="仿宋" w:cs="仿宋"/>
          <w:spacing w:val="3"/>
          <w:sz w:val="32"/>
          <w:szCs w:val="32"/>
        </w:rPr>
        <w:t>2023年本部门预算收入较上年增加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ascii="仿宋" w:hAnsi="仿宋" w:eastAsia="仿宋" w:cs="仿宋"/>
          <w:spacing w:val="3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增加了人员经费收入</w:t>
      </w:r>
      <w:r>
        <w:rPr>
          <w:rFonts w:ascii="仿宋" w:hAnsi="仿宋" w:eastAsia="仿宋" w:cs="仿宋"/>
          <w:spacing w:val="3"/>
          <w:sz w:val="32"/>
          <w:szCs w:val="32"/>
        </w:rPr>
        <w:t>；2023年本部门预算支出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61</w:t>
      </w:r>
      <w:r>
        <w:rPr>
          <w:rFonts w:ascii="仿宋" w:hAnsi="仿宋" w:eastAsia="仿宋" w:cs="仿宋"/>
          <w:spacing w:val="3"/>
          <w:sz w:val="32"/>
          <w:szCs w:val="32"/>
        </w:rPr>
        <w:t>.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spacing w:val="3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61.20</w:t>
      </w:r>
      <w:r>
        <w:rPr>
          <w:rFonts w:ascii="仿宋" w:hAnsi="仿宋" w:eastAsia="仿宋" w:cs="仿宋"/>
          <w:spacing w:val="3"/>
          <w:sz w:val="32"/>
          <w:szCs w:val="32"/>
        </w:rPr>
        <w:t>万元、政府性基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金拨款支出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2"/>
          <w:szCs w:val="32"/>
        </w:rPr>
        <w:t>万元、事业收入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2"/>
          <w:szCs w:val="32"/>
        </w:rPr>
        <w:t>万元、事业单位经营收入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2"/>
          <w:szCs w:val="32"/>
        </w:rPr>
        <w:t>万元、对附属单位上缴收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z w:val="32"/>
          <w:szCs w:val="32"/>
        </w:rPr>
        <w:t>万元、上年实户资金余额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z w:val="32"/>
          <w:szCs w:val="32"/>
        </w:rPr>
        <w:t>万元、其他收入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z w:val="32"/>
          <w:szCs w:val="32"/>
        </w:rPr>
        <w:t>万元、上年结转0万元，2023年本部</w:t>
      </w:r>
      <w:r>
        <w:rPr>
          <w:rFonts w:ascii="仿宋" w:hAnsi="仿宋" w:eastAsia="仿宋" w:cs="仿宋"/>
          <w:spacing w:val="-2"/>
          <w:sz w:val="32"/>
          <w:szCs w:val="32"/>
        </w:rPr>
        <w:t>门预算支出较上年增加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14</w:t>
      </w:r>
      <w:r>
        <w:rPr>
          <w:rFonts w:ascii="仿宋" w:hAnsi="仿宋" w:eastAsia="仿宋" w:cs="仿宋"/>
          <w:spacing w:val="-2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增加了人员经费支出</w:t>
      </w:r>
      <w:r>
        <w:rPr>
          <w:rFonts w:ascii="仿宋" w:hAnsi="仿宋" w:eastAsia="仿宋" w:cs="仿宋"/>
          <w:spacing w:val="-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财政拨款收支情况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52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2023年本部门财政拨款收入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61</w:t>
      </w:r>
      <w:r>
        <w:rPr>
          <w:rFonts w:ascii="仿宋" w:hAnsi="仿宋" w:eastAsia="仿宋" w:cs="仿宋"/>
          <w:spacing w:val="3"/>
          <w:sz w:val="32"/>
          <w:szCs w:val="32"/>
        </w:rPr>
        <w:t>.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spacing w:val="3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61</w:t>
      </w:r>
      <w:r>
        <w:rPr>
          <w:rFonts w:ascii="仿宋" w:hAnsi="仿宋" w:eastAsia="仿宋" w:cs="仿宋"/>
          <w:spacing w:val="3"/>
          <w:sz w:val="32"/>
          <w:szCs w:val="32"/>
        </w:rPr>
        <w:t>.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spacing w:val="3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2"/>
          <w:szCs w:val="32"/>
        </w:rPr>
        <w:t>万元、上年结转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2"/>
          <w:szCs w:val="32"/>
        </w:rPr>
        <w:t>万元，2023本部门财政拨款收入较上年增加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ascii="仿宋" w:hAnsi="仿宋" w:eastAsia="仿宋" w:cs="仿宋"/>
          <w:spacing w:val="3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增加了人员经费收入</w:t>
      </w:r>
      <w:r>
        <w:rPr>
          <w:rFonts w:ascii="仿宋" w:hAnsi="仿宋" w:eastAsia="仿宋" w:cs="仿宋"/>
          <w:spacing w:val="32"/>
          <w:sz w:val="32"/>
          <w:szCs w:val="32"/>
        </w:rPr>
        <w:t>；2023年本部门财政拨款支</w:t>
      </w:r>
      <w:r>
        <w:rPr>
          <w:rFonts w:ascii="仿宋" w:hAnsi="仿宋" w:eastAsia="仿宋" w:cs="仿宋"/>
          <w:spacing w:val="31"/>
          <w:sz w:val="32"/>
          <w:szCs w:val="32"/>
        </w:rPr>
        <w:t>出</w:t>
      </w:r>
      <w:r>
        <w:rPr>
          <w:rFonts w:hint="eastAsia" w:ascii="仿宋" w:hAnsi="仿宋" w:eastAsia="仿宋" w:cs="仿宋"/>
          <w:spacing w:val="31"/>
          <w:sz w:val="32"/>
          <w:szCs w:val="32"/>
          <w:lang w:val="en-US" w:eastAsia="zh-CN"/>
        </w:rPr>
        <w:t>61</w:t>
      </w:r>
      <w:r>
        <w:rPr>
          <w:rFonts w:ascii="仿宋" w:hAnsi="仿宋" w:eastAsia="仿宋" w:cs="仿宋"/>
          <w:spacing w:val="31"/>
          <w:sz w:val="32"/>
          <w:szCs w:val="32"/>
        </w:rPr>
        <w:t>.</w:t>
      </w:r>
      <w:r>
        <w:rPr>
          <w:rFonts w:hint="eastAsia" w:ascii="仿宋" w:hAnsi="仿宋" w:eastAsia="仿宋" w:cs="仿宋"/>
          <w:spacing w:val="31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spacing w:val="31"/>
          <w:sz w:val="32"/>
          <w:szCs w:val="32"/>
        </w:rPr>
        <w:t>万元，其中一般公共预算拨款支出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z w:val="32"/>
          <w:szCs w:val="32"/>
        </w:rPr>
        <w:t>万元、上年结转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z w:val="32"/>
          <w:szCs w:val="32"/>
        </w:rPr>
        <w:t>万元，2023年本部门财政拨款支出</w:t>
      </w:r>
      <w:r>
        <w:rPr>
          <w:rFonts w:ascii="仿宋" w:hAnsi="仿宋" w:eastAsia="仿宋" w:cs="仿宋"/>
          <w:spacing w:val="-1"/>
          <w:sz w:val="32"/>
          <w:szCs w:val="32"/>
        </w:rPr>
        <w:t>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14 </w:t>
      </w:r>
      <w:r>
        <w:rPr>
          <w:rFonts w:ascii="仿宋" w:hAnsi="仿宋" w:eastAsia="仿宋" w:cs="仿宋"/>
          <w:spacing w:val="3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增加了人员经费支出</w:t>
      </w:r>
      <w:r>
        <w:rPr>
          <w:rFonts w:ascii="仿宋" w:hAnsi="仿宋" w:eastAsia="仿宋" w:cs="仿宋"/>
          <w:spacing w:val="-1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当年拨款规模变化情况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2023本部门当年一般公共预算拨款支出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61</w:t>
      </w:r>
      <w:r>
        <w:rPr>
          <w:rFonts w:ascii="仿宋" w:hAnsi="仿宋" w:eastAsia="仿宋" w:cs="仿宋"/>
          <w:spacing w:val="3"/>
          <w:sz w:val="32"/>
          <w:szCs w:val="32"/>
        </w:rPr>
        <w:t>.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spacing w:val="3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14 </w:t>
      </w:r>
      <w:r>
        <w:rPr>
          <w:rFonts w:ascii="仿宋" w:hAnsi="仿宋" w:eastAsia="仿宋" w:cs="仿宋"/>
          <w:spacing w:val="3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增加了人员经费收入。</w:t>
      </w:r>
    </w:p>
    <w:p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支出按功能科目分类的明细情况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8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2023年本部门当年一般公共预算支出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61</w:t>
      </w:r>
      <w:r>
        <w:rPr>
          <w:rFonts w:ascii="仿宋" w:hAnsi="仿宋" w:eastAsia="仿宋" w:cs="仿宋"/>
          <w:spacing w:val="-3"/>
          <w:sz w:val="32"/>
          <w:szCs w:val="32"/>
        </w:rPr>
        <w:t>.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spacing w:val="-3"/>
          <w:sz w:val="32"/>
          <w:szCs w:val="32"/>
        </w:rPr>
        <w:t>万元，其中：</w:t>
      </w:r>
      <w:r>
        <w:rPr>
          <w:rFonts w:ascii="仿宋" w:hAnsi="仿宋" w:eastAsia="仿宋" w:cs="仿宋"/>
          <w:spacing w:val="-1"/>
          <w:sz w:val="32"/>
          <w:szCs w:val="32"/>
        </w:rPr>
        <w:t>行政运行（2060101）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61</w:t>
      </w:r>
      <w:r>
        <w:rPr>
          <w:rFonts w:ascii="仿宋" w:hAnsi="仿宋" w:eastAsia="仿宋" w:cs="仿宋"/>
          <w:spacing w:val="-1"/>
          <w:sz w:val="32"/>
          <w:szCs w:val="32"/>
        </w:rPr>
        <w:t>.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spacing w:val="-2"/>
          <w:sz w:val="32"/>
          <w:szCs w:val="32"/>
        </w:rPr>
        <w:t>万元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（其中，人员经费支出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54.4万元，公用经费支出2.8万元，专项业务经费4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）；</w:t>
      </w:r>
      <w:r>
        <w:rPr>
          <w:rFonts w:ascii="仿宋" w:hAnsi="仿宋" w:eastAsia="仿宋" w:cs="仿宋"/>
          <w:spacing w:val="-2"/>
          <w:sz w:val="32"/>
          <w:szCs w:val="32"/>
        </w:rPr>
        <w:t>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14 </w:t>
      </w:r>
      <w:r>
        <w:rPr>
          <w:rFonts w:ascii="仿宋" w:hAnsi="仿宋" w:eastAsia="仿宋" w:cs="仿宋"/>
          <w:spacing w:val="3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增加了人员经费支出</w:t>
      </w:r>
      <w:r>
        <w:rPr>
          <w:rFonts w:ascii="仿宋" w:hAnsi="仿宋" w:eastAsia="仿宋" w:cs="仿宋"/>
          <w:spacing w:val="-2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320" w:firstLineChars="1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（1）按照部门预算支出经济分类的类级科目说明。2023年本部门当年一般公共预算支出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万元。其中：工资福利支出（301）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万元（上年为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万元），原因是人员工资正常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增资</w:t>
      </w:r>
      <w:r>
        <w:rPr>
          <w:rFonts w:hint="eastAsia" w:ascii="仿宋_GB2312" w:hAnsi="仿宋_GB2312" w:eastAsia="仿宋_GB2312" w:cs="仿宋_GB2312"/>
          <w:sz w:val="32"/>
          <w:szCs w:val="32"/>
        </w:rPr>
        <w:t>晋档；商品和服务支出（302）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少6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万元（上年为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财政正常调减专项业经费。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28" w:firstLineChars="200"/>
        <w:jc w:val="both"/>
        <w:textAlignment w:val="baseline"/>
        <w:outlineLvl w:val="9"/>
        <w:rPr>
          <w:rFonts w:ascii="仿宋" w:hAnsi="仿宋" w:eastAsia="仿宋" w:cs="仿宋"/>
          <w:spacing w:val="-3"/>
          <w:position w:val="16"/>
          <w:sz w:val="32"/>
          <w:szCs w:val="32"/>
        </w:rPr>
      </w:pPr>
      <w:r>
        <w:rPr>
          <w:rFonts w:ascii="仿宋" w:hAnsi="仿宋" w:eastAsia="仿宋" w:cs="仿宋"/>
          <w:spacing w:val="-3"/>
          <w:position w:val="16"/>
          <w:sz w:val="32"/>
          <w:szCs w:val="32"/>
        </w:rPr>
        <w:t>（2）按照政府预算支出经济分类的类级科目说明。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2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2023年本部门当年一般公共预算支出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61.20</w:t>
      </w:r>
      <w:r>
        <w:rPr>
          <w:rFonts w:ascii="仿宋" w:hAnsi="仿宋" w:eastAsia="仿宋" w:cs="仿宋"/>
          <w:spacing w:val="-3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其中：机关工资福利支出（501）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（上年为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34.4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万元），原因是人员工资正常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增资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晋档；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机关商品和服务支出（502）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Times New Roman" w:eastAsia="仿宋_GB2312" w:cs="仿宋_GB2312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（其中专项业务经费支出</w:t>
      </w:r>
      <w:r>
        <w:rPr>
          <w:rFonts w:hint="eastAsia" w:ascii="仿宋_GB2312" w:hAnsi="Times New Roman" w:eastAsia="仿宋_GB2312" w:cs="仿宋_GB2312"/>
          <w:b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4万元</w:t>
      </w:r>
      <w:r>
        <w:rPr>
          <w:rFonts w:hint="eastAsia" w:ascii="仿宋_GB2312" w:hAnsi="Times New Roman" w:eastAsia="仿宋_GB2312" w:cs="仿宋_GB2312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，较上年减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少6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（上年为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12.80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万元）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财政正常调减专项业务经费。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4" w:line="56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position w:val="16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spacing w:val="-2"/>
          <w:position w:val="16"/>
          <w:sz w:val="32"/>
          <w:szCs w:val="32"/>
        </w:rPr>
        <w:t>4、上年结转财政资金一般公共预算拨款支</w:t>
      </w:r>
      <w:r>
        <w:rPr>
          <w:rFonts w:ascii="仿宋" w:hAnsi="仿宋" w:eastAsia="仿宋" w:cs="仿宋"/>
          <w:spacing w:val="-3"/>
          <w:position w:val="16"/>
          <w:sz w:val="32"/>
          <w:szCs w:val="32"/>
        </w:rPr>
        <w:t>出情况。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560" w:lineRule="exact"/>
        <w:ind w:left="1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（1）按功能支出分类。</w:t>
      </w:r>
      <w:r>
        <w:rPr>
          <w:rFonts w:ascii="仿宋" w:hAnsi="仿宋" w:eastAsia="仿宋" w:cs="仿宋"/>
          <w:spacing w:val="-1"/>
          <w:sz w:val="32"/>
          <w:szCs w:val="32"/>
        </w:rPr>
        <w:t>本部门无2022年结转的一般公共预算拨款资金支出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5" w:line="56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（2）按部门预算支出经济分类。</w:t>
      </w:r>
      <w:r>
        <w:rPr>
          <w:rFonts w:ascii="仿宋" w:hAnsi="仿宋" w:eastAsia="仿宋" w:cs="仿宋"/>
          <w:spacing w:val="-1"/>
          <w:sz w:val="32"/>
          <w:szCs w:val="32"/>
        </w:rPr>
        <w:t>本部门无2022年结转的一般公共预算拨款资金支出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5" w:line="56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（3）按政府预算支出经济分类。</w:t>
      </w:r>
      <w:r>
        <w:rPr>
          <w:rFonts w:ascii="仿宋" w:hAnsi="仿宋" w:eastAsia="仿宋" w:cs="仿宋"/>
          <w:spacing w:val="-1"/>
          <w:sz w:val="32"/>
          <w:szCs w:val="32"/>
        </w:rPr>
        <w:t>本部门无2022年结转的一般公共预算拨款资金支出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本部门无当年政府性基金预算收支，并已公开空表。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本部门无2022年结转的政府性基金预算拨款支出。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64" w:line="560" w:lineRule="exact"/>
        <w:ind w:left="482" w:firstLine="318" w:firstLineChars="100"/>
        <w:jc w:val="left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本部门无当年国有资本经营预算拨款收支，并在财政拨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64"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款收支总体情况表中列示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pacing w:val="-1"/>
          <w:sz w:val="32"/>
          <w:szCs w:val="32"/>
        </w:rPr>
        <w:t>本部门无2022年结转的一般公共预算拨款资金支出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年本部门当年一般公共预算“三公”经费预算支出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万元，较上年增减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。其中：因公出国（境）经费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较上年增减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万元，较上年增减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万元，较上年增减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万元，较上年增减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无变化；本年度无会议费和培训费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年结转的财政拨款‘三公’经费支出。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年底，本部门所属预算单位共有车辆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辆，单价20万元以上的设备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年当年部门预算安排购置车辆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辆；安排购置单价20万元以上的设备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年结转的财政拨款支出资产购置。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年无政府采购预算，并已公开空表。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年结转的政府采购资金支出。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2023年本部门绩效目标管理全覆盖，涉及当年一般公共预算拨款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61.20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其中：专项业务经费4万元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,当年政府性基金预算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拨</w:t>
      </w:r>
      <w:r>
        <w:rPr>
          <w:rFonts w:hint="eastAsia" w:ascii="仿宋_GB2312" w:hAnsi="仿宋_GB2312" w:eastAsia="仿宋_GB2312" w:cs="仿宋_GB2312"/>
          <w:sz w:val="32"/>
          <w:szCs w:val="32"/>
        </w:rPr>
        <w:t>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万元，当年国有资本经营预算拨款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万元（详见公开报表中的绩效目标表）。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年结转的财政拨款支出涉及的绩效目标管理。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Times New Roman" w:eastAsia="仿宋_GB2312" w:cs="仿宋_GB2312"/>
          <w:b w:val="0"/>
          <w:i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本部门当年机关运行经费预算安排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无增减变化</w:t>
      </w:r>
      <w:r>
        <w:rPr>
          <w:rFonts w:hint="eastAsia" w:ascii="仿宋_GB2312" w:hAnsi="Times New Roman" w:eastAsia="仿宋_GB2312" w:cs="仿宋_GB2312"/>
          <w:b w:val="0"/>
          <w:i w:val="0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仿宋_GB2312" w:hAnsi="Times New Roman" w:eastAsia="仿宋_GB2312" w:cs="仿宋_GB2312"/>
          <w:b w:val="0"/>
          <w:i w:val="0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Times New Roman" w:eastAsia="仿宋_GB2312" w:cs="仿宋_GB2312"/>
          <w:b w:val="0"/>
          <w:i w:val="0"/>
          <w:color w:val="000000"/>
          <w:sz w:val="32"/>
          <w:szCs w:val="32"/>
          <w:shd w:val="clear" w:color="auto" w:fill="FFFFFF"/>
        </w:rPr>
        <w:t>机关运行经费：指各部门的公用经费，包括办公及印刷费、邮电费、差旅费、会议费、福利费、日常维修费、专用材料及一般设备购置费、办公水电费、办公用房取暖费、办公用房物业管理费、公务用车运行维护费以及其他费用。</w:t>
      </w:r>
      <w:r>
        <w:rPr>
          <w:rFonts w:hint="default" w:ascii="Times New Roman" w:hAnsi="Times New Roman" w:eastAsia="微软雅黑" w:cs="Times New Roman"/>
          <w:b w:val="0"/>
          <w:i w:val="0"/>
          <w:color w:val="000000"/>
          <w:sz w:val="21"/>
          <w:szCs w:val="21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both"/>
        <w:textAlignment w:val="baseline"/>
        <w:outlineLvl w:val="9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olor w:val="000000"/>
          <w:sz w:val="32"/>
          <w:szCs w:val="32"/>
          <w:shd w:val="clear" w:color="auto" w:fill="FFFFFF"/>
        </w:rPr>
        <w:t> </w:t>
      </w:r>
      <w:r>
        <w:rPr>
          <w:rFonts w:hint="eastAsia" w:ascii="仿宋_GB2312" w:hAnsi="Times New Roman" w:eastAsia="仿宋_GB2312" w:cs="仿宋_GB2312"/>
          <w:b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i w:val="0"/>
          <w:color w:val="000000"/>
          <w:sz w:val="32"/>
          <w:szCs w:val="32"/>
          <w:shd w:val="clear" w:color="auto" w:fill="FFFFFF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</w:t>
      </w:r>
      <w:r>
        <w:rPr>
          <w:rFonts w:hint="eastAsia" w:ascii="仿宋_GB2312" w:hAnsi="Times New Roman" w:eastAsia="仿宋_GB2312" w:cs="仿宋_GB2312"/>
          <w:b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eastAsia" w:ascii="仿宋_GB2312" w:hAnsi="Times New Roman" w:eastAsia="仿宋_GB2312" w:cs="仿宋_GB2312"/>
          <w:b w:val="0"/>
          <w:i w:val="0"/>
          <w:color w:val="000000"/>
          <w:sz w:val="32"/>
          <w:szCs w:val="32"/>
          <w:shd w:val="clear" w:color="auto" w:fill="FFFFFF"/>
        </w:rPr>
        <w:t>反映单位按规定开支的各类公务接待支出。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ascii="宋体" w:hAnsi="宋体" w:eastAsia="宋体" w:cs="宋体"/>
          <w:spacing w:val="-6"/>
          <w:sz w:val="28"/>
          <w:szCs w:val="28"/>
        </w:rPr>
        <w:t>具体部门预算公开报表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outlineLvl w:val="9"/>
        <w:rPr>
          <w:rFonts w:hint="default" w:ascii="FangSong_GB2312" w:hAnsi="FangSong_GB2312" w:eastAsia="FangSong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271ADF"/>
    <w:multiLevelType w:val="singleLevel"/>
    <w:tmpl w:val="83271AD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AE8B808F"/>
    <w:multiLevelType w:val="singleLevel"/>
    <w:tmpl w:val="AE8B80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B8BF02"/>
    <w:multiLevelType w:val="singleLevel"/>
    <w:tmpl w:val="50B8BF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RmZjVmZTIzN2U1NjIzNGE3MjJjZmE0ODM1NDQxNzIifQ=="/>
  </w:docVars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4320FD9"/>
    <w:rsid w:val="049A40D7"/>
    <w:rsid w:val="04A216F1"/>
    <w:rsid w:val="04DD00BC"/>
    <w:rsid w:val="04FB7C1A"/>
    <w:rsid w:val="07C63897"/>
    <w:rsid w:val="09B770EC"/>
    <w:rsid w:val="0D930FB4"/>
    <w:rsid w:val="104E7D4B"/>
    <w:rsid w:val="15D77221"/>
    <w:rsid w:val="176D6084"/>
    <w:rsid w:val="17E3395E"/>
    <w:rsid w:val="18696069"/>
    <w:rsid w:val="1F8A5BBD"/>
    <w:rsid w:val="21260D15"/>
    <w:rsid w:val="255E2435"/>
    <w:rsid w:val="282E42BD"/>
    <w:rsid w:val="2B6E114C"/>
    <w:rsid w:val="2BBC0EFD"/>
    <w:rsid w:val="2DD21556"/>
    <w:rsid w:val="2EB57C9F"/>
    <w:rsid w:val="32383B0A"/>
    <w:rsid w:val="32DB48BA"/>
    <w:rsid w:val="33801EA2"/>
    <w:rsid w:val="34B74C75"/>
    <w:rsid w:val="35457DE0"/>
    <w:rsid w:val="35555E4E"/>
    <w:rsid w:val="359252AB"/>
    <w:rsid w:val="388B0D2A"/>
    <w:rsid w:val="388F6532"/>
    <w:rsid w:val="3B975BF3"/>
    <w:rsid w:val="3DC7004C"/>
    <w:rsid w:val="40752FAD"/>
    <w:rsid w:val="43606DFF"/>
    <w:rsid w:val="43922513"/>
    <w:rsid w:val="44EE2C86"/>
    <w:rsid w:val="455A7BAF"/>
    <w:rsid w:val="46F073D7"/>
    <w:rsid w:val="47F51DA1"/>
    <w:rsid w:val="48246A25"/>
    <w:rsid w:val="4974495A"/>
    <w:rsid w:val="4AFD517E"/>
    <w:rsid w:val="4EAF467F"/>
    <w:rsid w:val="4F4E6E0F"/>
    <w:rsid w:val="4FFBD1F2"/>
    <w:rsid w:val="53D82CB6"/>
    <w:rsid w:val="549A0EDD"/>
    <w:rsid w:val="5900561E"/>
    <w:rsid w:val="5A7F118D"/>
    <w:rsid w:val="5C2757BE"/>
    <w:rsid w:val="5F51174A"/>
    <w:rsid w:val="5F7B05F8"/>
    <w:rsid w:val="5FDD417D"/>
    <w:rsid w:val="60A76F05"/>
    <w:rsid w:val="61016585"/>
    <w:rsid w:val="62770932"/>
    <w:rsid w:val="63ED0CD3"/>
    <w:rsid w:val="667728BC"/>
    <w:rsid w:val="675B6F91"/>
    <w:rsid w:val="67B17BDD"/>
    <w:rsid w:val="67FD2F7A"/>
    <w:rsid w:val="69090D36"/>
    <w:rsid w:val="6C6A3592"/>
    <w:rsid w:val="6EF66EF9"/>
    <w:rsid w:val="6FA86D5D"/>
    <w:rsid w:val="70154C98"/>
    <w:rsid w:val="72576549"/>
    <w:rsid w:val="74062A46"/>
    <w:rsid w:val="74A97633"/>
    <w:rsid w:val="74EA18BC"/>
    <w:rsid w:val="76C5247B"/>
    <w:rsid w:val="770A55ED"/>
    <w:rsid w:val="78B06DDB"/>
    <w:rsid w:val="7B4245EC"/>
    <w:rsid w:val="7CB67331"/>
    <w:rsid w:val="7E30253F"/>
    <w:rsid w:val="7ECF5F29"/>
    <w:rsid w:val="EB4B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semiHidden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Plain Text Char"/>
    <w:basedOn w:val="7"/>
    <w:link w:val="2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247</Words>
  <Characters>1413</Characters>
  <Lines>0</Lines>
  <Paragraphs>0</Paragraphs>
  <TotalTime>15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2020-03-17T20:48:00Z</dcterms:created>
  <dc:creator>Administrator</dc:creator>
  <cp:lastModifiedBy>ankang</cp:lastModifiedBy>
  <cp:lastPrinted>2020-04-13T09:53:00Z</cp:lastPrinted>
  <dcterms:modified xsi:type="dcterms:W3CDTF">2023-10-17T11:08:09Z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18419431CA78445DA5A09EB11688101A_12</vt:lpwstr>
  </property>
</Properties>
</file>