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镇坪县科学技术协会</w:t>
      </w: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202</w:t>
      </w:r>
      <w:r>
        <w:rPr>
          <w:rFonts w:hint="eastAsia" w:asciiTheme="majorEastAsia" w:hAnsiTheme="majorEastAsia" w:eastAsiaTheme="majorEastAsia" w:cstheme="majorEastAsia"/>
          <w:b/>
          <w:bCs/>
          <w:sz w:val="48"/>
          <w:szCs w:val="48"/>
          <w:lang w:val="en-US" w:eastAsia="zh-CN"/>
        </w:rPr>
        <w:t>1</w:t>
      </w:r>
      <w:r>
        <w:rPr>
          <w:rFonts w:hint="eastAsia" w:asciiTheme="majorEastAsia" w:hAnsiTheme="majorEastAsia" w:eastAsiaTheme="majorEastAsia" w:cstheme="majorEastAsia"/>
          <w:b/>
          <w:bCs/>
          <w:sz w:val="48"/>
          <w:szCs w:val="48"/>
        </w:rPr>
        <w:t>年部门决算</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00" w:line="226" w:lineRule="auto"/>
        <w:ind w:firstLine="1902"/>
        <w:rPr>
          <w:rFonts w:ascii="宋体" w:hAnsi="宋体" w:eastAsia="宋体" w:cs="宋体"/>
          <w:sz w:val="31"/>
          <w:szCs w:val="31"/>
        </w:rPr>
      </w:pPr>
      <w:r>
        <w:rPr>
          <w:rFonts w:ascii="宋体" w:hAnsi="宋体" w:eastAsia="宋体" w:cs="宋体"/>
          <w:sz w:val="31"/>
          <w:szCs w:val="31"/>
          <w14:textOutline w14:w="5791" w14:cap="flat" w14:cmpd="sng">
            <w14:solidFill>
              <w14:srgbClr w14:val="000000"/>
            </w14:solidFill>
            <w14:prstDash w14:val="solid"/>
            <w14:miter w14:val="0"/>
          </w14:textOutline>
        </w:rPr>
        <w:t>保密审查情况：</w:t>
      </w:r>
      <w:r>
        <w:rPr>
          <w:rFonts w:ascii="宋体" w:hAnsi="宋体" w:eastAsia="宋体" w:cs="宋体"/>
          <w:spacing w:val="-52"/>
          <w:sz w:val="31"/>
          <w:szCs w:val="31"/>
        </w:rPr>
        <w:t xml:space="preserve"> </w:t>
      </w:r>
      <w:r>
        <w:rPr>
          <w:rFonts w:ascii="宋体" w:hAnsi="宋体" w:eastAsia="宋体" w:cs="宋体"/>
          <w:sz w:val="31"/>
          <w:szCs w:val="31"/>
          <w14:textOutline w14:w="5791" w14:cap="flat" w14:cmpd="sng">
            <w14:solidFill>
              <w14:srgbClr w14:val="000000"/>
            </w14:solidFill>
            <w14:prstDash w14:val="solid"/>
            <w14:miter w14:val="0"/>
          </w14:textOutline>
        </w:rPr>
        <w:t>已审查</w:t>
      </w:r>
    </w:p>
    <w:p>
      <w:pPr>
        <w:spacing w:line="317" w:lineRule="auto"/>
        <w:rPr>
          <w:rFonts w:ascii="Arial"/>
          <w:sz w:val="21"/>
        </w:rPr>
      </w:pPr>
    </w:p>
    <w:p>
      <w:pPr>
        <w:spacing w:before="101" w:line="225" w:lineRule="auto"/>
        <w:ind w:firstLine="1905"/>
        <w:rPr>
          <w:rFonts w:ascii="宋体" w:hAnsi="宋体" w:eastAsia="宋体" w:cs="宋体"/>
          <w:sz w:val="31"/>
          <w:szCs w:val="31"/>
        </w:rPr>
      </w:pPr>
      <w:r>
        <w:rPr>
          <w:rFonts w:ascii="宋体" w:hAnsi="宋体" w:eastAsia="宋体" w:cs="宋体"/>
          <w:sz w:val="31"/>
          <w:szCs w:val="31"/>
          <w14:textOutline w14:w="5791" w14:cap="flat" w14:cmpd="sng">
            <w14:solidFill>
              <w14:srgbClr w14:val="000000"/>
            </w14:solidFill>
            <w14:prstDash w14:val="solid"/>
            <w14:miter w14:val="0"/>
          </w14:textOutline>
        </w:rPr>
        <w:t>部门主要负责人审签情况</w:t>
      </w:r>
      <w:r>
        <w:rPr>
          <w:rFonts w:ascii="宋体" w:hAnsi="宋体" w:eastAsia="宋体" w:cs="宋体"/>
          <w:spacing w:val="-1"/>
          <w:sz w:val="31"/>
          <w:szCs w:val="31"/>
          <w14:textOutline w14:w="5791" w14:cap="flat" w14:cmpd="sng">
            <w14:solidFill>
              <w14:srgbClr w14:val="000000"/>
            </w14:solidFill>
            <w14:prstDash w14:val="solid"/>
            <w14:miter w14:val="0"/>
          </w14:textOutline>
        </w:rPr>
        <w:t>：</w:t>
      </w:r>
      <w:r>
        <w:rPr>
          <w:rFonts w:ascii="宋体" w:hAnsi="宋体" w:eastAsia="宋体" w:cs="宋体"/>
          <w:spacing w:val="-3"/>
          <w:sz w:val="31"/>
          <w:szCs w:val="31"/>
        </w:rPr>
        <w:t xml:space="preserve"> </w:t>
      </w:r>
      <w:r>
        <w:rPr>
          <w:rFonts w:ascii="宋体" w:hAnsi="宋体" w:eastAsia="宋体" w:cs="宋体"/>
          <w:sz w:val="31"/>
          <w:szCs w:val="31"/>
          <w14:textOutline w14:w="5791" w14:cap="flat" w14:cmpd="sng">
            <w14:solidFill>
              <w14:srgbClr w14:val="000000"/>
            </w14:solidFill>
            <w14:prstDash w14:val="solid"/>
            <w14:miter w14:val="0"/>
          </w14:textOutline>
        </w:rPr>
        <w:t>已审签</w:t>
      </w:r>
    </w:p>
    <w:p>
      <w:pPr>
        <w:sectPr>
          <w:pgSz w:w="11907" w:h="16839"/>
          <w:pgMar w:top="1431" w:right="1785" w:bottom="0" w:left="1785" w:header="0" w:footer="0" w:gutter="0"/>
          <w:cols w:space="720" w:num="1"/>
        </w:sectPr>
      </w:pPr>
    </w:p>
    <w:p>
      <w:pPr>
        <w:spacing w:line="339" w:lineRule="auto"/>
        <w:rPr>
          <w:rFonts w:ascii="Arial"/>
          <w:sz w:val="21"/>
        </w:rPr>
      </w:pPr>
    </w:p>
    <w:p>
      <w:pPr>
        <w:spacing w:line="340" w:lineRule="auto"/>
        <w:rPr>
          <w:rFonts w:ascii="Arial"/>
          <w:sz w:val="21"/>
        </w:rPr>
      </w:pPr>
    </w:p>
    <w:p>
      <w:pPr>
        <w:spacing w:before="117" w:line="219" w:lineRule="auto"/>
        <w:ind w:firstLine="3920"/>
        <w:rPr>
          <w:rFonts w:ascii="黑体" w:hAnsi="黑体" w:eastAsia="黑体" w:cs="黑体"/>
          <w:sz w:val="36"/>
          <w:szCs w:val="36"/>
        </w:rPr>
      </w:pPr>
      <w:r>
        <w:rPr>
          <w:rFonts w:ascii="黑体" w:hAnsi="黑体" w:eastAsia="黑体" w:cs="黑体"/>
          <w:spacing w:val="-4"/>
          <w:sz w:val="36"/>
          <w:szCs w:val="36"/>
        </w:rPr>
        <w:t>目</w:t>
      </w:r>
      <w:r>
        <w:rPr>
          <w:rFonts w:ascii="黑体" w:hAnsi="黑体" w:eastAsia="黑体" w:cs="黑体"/>
          <w:spacing w:val="-18"/>
          <w:sz w:val="36"/>
          <w:szCs w:val="36"/>
        </w:rPr>
        <w:t xml:space="preserve"> </w:t>
      </w:r>
      <w:r>
        <w:rPr>
          <w:rFonts w:ascii="黑体" w:hAnsi="黑体" w:eastAsia="黑体" w:cs="黑体"/>
          <w:spacing w:val="-17"/>
          <w:sz w:val="36"/>
          <w:szCs w:val="36"/>
        </w:rPr>
        <w:t xml:space="preserve"> </w:t>
      </w:r>
      <w:r>
        <w:rPr>
          <w:rFonts w:ascii="黑体" w:hAnsi="黑体" w:eastAsia="黑体" w:cs="黑体"/>
          <w:spacing w:val="-4"/>
          <w:sz w:val="36"/>
          <w:szCs w:val="36"/>
        </w:rPr>
        <w:t>录</w:t>
      </w:r>
    </w:p>
    <w:p>
      <w:pPr>
        <w:spacing w:before="248" w:line="199" w:lineRule="auto"/>
        <w:ind w:firstLine="2963"/>
        <w:rPr>
          <w:rFonts w:ascii="微软雅黑" w:hAnsi="微软雅黑" w:eastAsia="微软雅黑" w:cs="微软雅黑"/>
          <w:sz w:val="31"/>
          <w:szCs w:val="31"/>
        </w:rPr>
      </w:pPr>
      <w:r>
        <w:rPr>
          <w:rFonts w:ascii="微软雅黑" w:hAnsi="微软雅黑" w:eastAsia="微软雅黑" w:cs="微软雅黑"/>
          <w:spacing w:val="13"/>
          <w:sz w:val="31"/>
          <w:szCs w:val="31"/>
        </w:rPr>
        <w:t>第一部分</w:t>
      </w:r>
      <w:r>
        <w:rPr>
          <w:rFonts w:ascii="微软雅黑" w:hAnsi="微软雅黑" w:eastAsia="微软雅黑" w:cs="微软雅黑"/>
          <w:spacing w:val="6"/>
          <w:sz w:val="31"/>
          <w:szCs w:val="31"/>
        </w:rPr>
        <w:t xml:space="preserve"> </w:t>
      </w:r>
      <w:r>
        <w:rPr>
          <w:rFonts w:ascii="微软雅黑" w:hAnsi="微软雅黑" w:eastAsia="微软雅黑" w:cs="微软雅黑"/>
          <w:spacing w:val="5"/>
          <w:sz w:val="31"/>
          <w:szCs w:val="31"/>
        </w:rPr>
        <w:t xml:space="preserve">  </w:t>
      </w:r>
      <w:r>
        <w:rPr>
          <w:rFonts w:ascii="微软雅黑" w:hAnsi="微软雅黑" w:eastAsia="微软雅黑" w:cs="微软雅黑"/>
          <w:spacing w:val="13"/>
          <w:sz w:val="31"/>
          <w:szCs w:val="31"/>
        </w:rPr>
        <w:t>部门概况</w:t>
      </w:r>
    </w:p>
    <w:p>
      <w:pPr>
        <w:spacing w:before="164" w:line="223" w:lineRule="auto"/>
        <w:ind w:firstLine="6"/>
        <w:rPr>
          <w:rFonts w:ascii="仿宋" w:hAnsi="仿宋" w:eastAsia="仿宋" w:cs="仿宋"/>
          <w:sz w:val="31"/>
          <w:szCs w:val="31"/>
        </w:rPr>
      </w:pPr>
      <w:r>
        <w:rPr>
          <w:rFonts w:ascii="仿宋" w:hAnsi="仿宋" w:eastAsia="仿宋" w:cs="仿宋"/>
          <w:spacing w:val="8"/>
          <w:sz w:val="31"/>
          <w:szCs w:val="31"/>
        </w:rPr>
        <w:t>一</w:t>
      </w:r>
      <w:r>
        <w:rPr>
          <w:rFonts w:ascii="仿宋" w:hAnsi="仿宋" w:eastAsia="仿宋" w:cs="仿宋"/>
          <w:spacing w:val="9"/>
          <w:sz w:val="31"/>
          <w:szCs w:val="31"/>
        </w:rPr>
        <w:t>、</w:t>
      </w:r>
      <w:r>
        <w:rPr>
          <w:rFonts w:ascii="仿宋" w:hAnsi="仿宋" w:eastAsia="仿宋" w:cs="仿宋"/>
          <w:spacing w:val="8"/>
          <w:sz w:val="31"/>
          <w:szCs w:val="31"/>
        </w:rPr>
        <w:t>部门主要职责及内</w:t>
      </w:r>
      <w:r>
        <w:rPr>
          <w:rFonts w:ascii="仿宋" w:hAnsi="仿宋" w:eastAsia="仿宋" w:cs="仿宋"/>
          <w:spacing w:val="7"/>
          <w:sz w:val="31"/>
          <w:szCs w:val="31"/>
        </w:rPr>
        <w:t>设机构</w:t>
      </w:r>
    </w:p>
    <w:p>
      <w:pPr>
        <w:spacing w:before="257" w:line="222" w:lineRule="auto"/>
        <w:ind w:firstLine="11"/>
        <w:rPr>
          <w:rFonts w:ascii="仿宋" w:hAnsi="仿宋" w:eastAsia="仿宋" w:cs="仿宋"/>
          <w:sz w:val="31"/>
          <w:szCs w:val="31"/>
        </w:rPr>
      </w:pPr>
      <w:r>
        <w:rPr>
          <w:rFonts w:ascii="仿宋" w:hAnsi="仿宋" w:eastAsia="仿宋" w:cs="仿宋"/>
          <w:spacing w:val="7"/>
          <w:sz w:val="31"/>
          <w:szCs w:val="31"/>
        </w:rPr>
        <w:t>二、部门决算单</w:t>
      </w:r>
      <w:r>
        <w:rPr>
          <w:rFonts w:ascii="仿宋" w:hAnsi="仿宋" w:eastAsia="仿宋" w:cs="仿宋"/>
          <w:spacing w:val="6"/>
          <w:sz w:val="31"/>
          <w:szCs w:val="31"/>
        </w:rPr>
        <w:t>位构成</w:t>
      </w:r>
    </w:p>
    <w:p>
      <w:pPr>
        <w:spacing w:before="256" w:line="223" w:lineRule="auto"/>
        <w:ind w:firstLine="9"/>
        <w:rPr>
          <w:rFonts w:ascii="仿宋" w:hAnsi="仿宋" w:eastAsia="仿宋" w:cs="仿宋"/>
          <w:sz w:val="31"/>
          <w:szCs w:val="31"/>
        </w:rPr>
      </w:pPr>
      <w:r>
        <w:rPr>
          <w:rFonts w:ascii="仿宋" w:hAnsi="仿宋" w:eastAsia="仿宋" w:cs="仿宋"/>
          <w:spacing w:val="6"/>
          <w:sz w:val="31"/>
          <w:szCs w:val="31"/>
        </w:rPr>
        <w:t>三</w:t>
      </w:r>
      <w:r>
        <w:rPr>
          <w:rFonts w:ascii="仿宋" w:hAnsi="仿宋" w:eastAsia="仿宋" w:cs="仿宋"/>
          <w:spacing w:val="7"/>
          <w:sz w:val="31"/>
          <w:szCs w:val="31"/>
        </w:rPr>
        <w:t>、</w:t>
      </w:r>
      <w:r>
        <w:rPr>
          <w:rFonts w:ascii="仿宋" w:hAnsi="仿宋" w:eastAsia="仿宋" w:cs="仿宋"/>
          <w:spacing w:val="6"/>
          <w:sz w:val="31"/>
          <w:szCs w:val="31"/>
        </w:rPr>
        <w:t>部门人员情</w:t>
      </w:r>
      <w:r>
        <w:rPr>
          <w:rFonts w:ascii="仿宋" w:hAnsi="仿宋" w:eastAsia="仿宋" w:cs="仿宋"/>
          <w:spacing w:val="5"/>
          <w:sz w:val="31"/>
          <w:szCs w:val="31"/>
        </w:rPr>
        <w:t>况</w:t>
      </w:r>
    </w:p>
    <w:p>
      <w:pPr>
        <w:spacing w:before="282" w:line="198" w:lineRule="auto"/>
        <w:ind w:firstLine="2229"/>
        <w:rPr>
          <w:rFonts w:ascii="微软雅黑" w:hAnsi="微软雅黑" w:eastAsia="微软雅黑" w:cs="微软雅黑"/>
          <w:sz w:val="31"/>
          <w:szCs w:val="31"/>
        </w:rPr>
      </w:pPr>
      <w:r>
        <w:rPr>
          <w:rFonts w:ascii="微软雅黑" w:hAnsi="微软雅黑" w:eastAsia="微软雅黑" w:cs="微软雅黑"/>
          <w:spacing w:val="11"/>
          <w:sz w:val="31"/>
          <w:szCs w:val="31"/>
        </w:rPr>
        <w:t>第二部分</w:t>
      </w:r>
      <w:r>
        <w:rPr>
          <w:rFonts w:ascii="微软雅黑" w:hAnsi="微软雅黑" w:eastAsia="微软雅黑" w:cs="微软雅黑"/>
          <w:spacing w:val="4"/>
          <w:sz w:val="31"/>
          <w:szCs w:val="31"/>
        </w:rPr>
        <w:t xml:space="preserve">   </w:t>
      </w:r>
      <w:r>
        <w:rPr>
          <w:rFonts w:ascii="微软雅黑" w:hAnsi="微软雅黑" w:eastAsia="微软雅黑" w:cs="微软雅黑"/>
          <w:spacing w:val="7"/>
          <w:sz w:val="31"/>
          <w:szCs w:val="31"/>
        </w:rPr>
        <w:t>202</w:t>
      </w:r>
      <w:r>
        <w:rPr>
          <w:rFonts w:hint="eastAsia" w:ascii="微软雅黑" w:hAnsi="微软雅黑" w:eastAsia="微软雅黑" w:cs="微软雅黑"/>
          <w:spacing w:val="7"/>
          <w:sz w:val="31"/>
          <w:szCs w:val="31"/>
          <w:lang w:val="en-US" w:eastAsia="zh-CN"/>
        </w:rPr>
        <w:t>1</w:t>
      </w:r>
      <w:r>
        <w:rPr>
          <w:rFonts w:ascii="微软雅黑" w:hAnsi="微软雅黑" w:eastAsia="微软雅黑" w:cs="微软雅黑"/>
          <w:spacing w:val="11"/>
          <w:sz w:val="31"/>
          <w:szCs w:val="31"/>
        </w:rPr>
        <w:t>年部门决</w:t>
      </w:r>
      <w:r>
        <w:rPr>
          <w:rFonts w:ascii="微软雅黑" w:hAnsi="微软雅黑" w:eastAsia="微软雅黑" w:cs="微软雅黑"/>
          <w:spacing w:val="10"/>
          <w:sz w:val="31"/>
          <w:szCs w:val="31"/>
        </w:rPr>
        <w:t>算表</w:t>
      </w:r>
    </w:p>
    <w:p>
      <w:pPr>
        <w:spacing w:before="164" w:line="223" w:lineRule="auto"/>
        <w:ind w:firstLine="6"/>
        <w:rPr>
          <w:rFonts w:ascii="仿宋" w:hAnsi="仿宋" w:eastAsia="仿宋" w:cs="仿宋"/>
          <w:sz w:val="31"/>
          <w:szCs w:val="31"/>
        </w:rPr>
      </w:pPr>
      <w:r>
        <w:rPr>
          <w:rFonts w:ascii="仿宋" w:hAnsi="仿宋" w:eastAsia="仿宋" w:cs="仿宋"/>
          <w:spacing w:val="7"/>
          <w:sz w:val="31"/>
          <w:szCs w:val="31"/>
        </w:rPr>
        <w:t>一</w:t>
      </w:r>
      <w:r>
        <w:rPr>
          <w:rFonts w:ascii="仿宋" w:hAnsi="仿宋" w:eastAsia="仿宋" w:cs="仿宋"/>
          <w:spacing w:val="9"/>
          <w:sz w:val="31"/>
          <w:szCs w:val="31"/>
        </w:rPr>
        <w:t>、</w:t>
      </w:r>
      <w:r>
        <w:rPr>
          <w:rFonts w:ascii="仿宋" w:hAnsi="仿宋" w:eastAsia="仿宋" w:cs="仿宋"/>
          <w:spacing w:val="7"/>
          <w:sz w:val="31"/>
          <w:szCs w:val="31"/>
        </w:rPr>
        <w:t>收入支出决算总表</w:t>
      </w:r>
    </w:p>
    <w:p>
      <w:pPr>
        <w:spacing w:before="257" w:line="223" w:lineRule="auto"/>
        <w:ind w:firstLine="11"/>
        <w:rPr>
          <w:rFonts w:ascii="仿宋" w:hAnsi="仿宋" w:eastAsia="仿宋" w:cs="仿宋"/>
          <w:sz w:val="31"/>
          <w:szCs w:val="31"/>
        </w:rPr>
      </w:pPr>
      <w:r>
        <w:rPr>
          <w:rFonts w:ascii="仿宋" w:hAnsi="仿宋" w:eastAsia="仿宋" w:cs="仿宋"/>
          <w:spacing w:val="5"/>
          <w:sz w:val="31"/>
          <w:szCs w:val="31"/>
        </w:rPr>
        <w:t>二</w:t>
      </w:r>
      <w:r>
        <w:rPr>
          <w:rFonts w:ascii="仿宋" w:hAnsi="仿宋" w:eastAsia="仿宋" w:cs="仿宋"/>
          <w:spacing w:val="7"/>
          <w:sz w:val="31"/>
          <w:szCs w:val="31"/>
        </w:rPr>
        <w:t>、</w:t>
      </w:r>
      <w:r>
        <w:rPr>
          <w:rFonts w:ascii="仿宋" w:hAnsi="仿宋" w:eastAsia="仿宋" w:cs="仿宋"/>
          <w:spacing w:val="5"/>
          <w:sz w:val="31"/>
          <w:szCs w:val="31"/>
        </w:rPr>
        <w:t>收入决算表</w:t>
      </w:r>
    </w:p>
    <w:p>
      <w:pPr>
        <w:spacing w:before="254" w:line="223" w:lineRule="auto"/>
        <w:ind w:firstLine="9"/>
        <w:rPr>
          <w:rFonts w:ascii="仿宋" w:hAnsi="仿宋" w:eastAsia="仿宋" w:cs="仿宋"/>
          <w:sz w:val="31"/>
          <w:szCs w:val="31"/>
        </w:rPr>
      </w:pPr>
      <w:r>
        <w:rPr>
          <w:rFonts w:ascii="仿宋" w:hAnsi="仿宋" w:eastAsia="仿宋" w:cs="仿宋"/>
          <w:spacing w:val="6"/>
          <w:sz w:val="31"/>
          <w:szCs w:val="31"/>
        </w:rPr>
        <w:t>三、支</w:t>
      </w:r>
      <w:r>
        <w:rPr>
          <w:rFonts w:ascii="仿宋" w:hAnsi="仿宋" w:eastAsia="仿宋" w:cs="仿宋"/>
          <w:spacing w:val="5"/>
          <w:sz w:val="31"/>
          <w:szCs w:val="31"/>
        </w:rPr>
        <w:t>出决算表</w:t>
      </w:r>
    </w:p>
    <w:p>
      <w:pPr>
        <w:spacing w:before="257" w:line="223" w:lineRule="auto"/>
        <w:ind w:firstLine="38"/>
        <w:rPr>
          <w:rFonts w:ascii="仿宋" w:hAnsi="仿宋" w:eastAsia="仿宋" w:cs="仿宋"/>
          <w:sz w:val="31"/>
          <w:szCs w:val="31"/>
        </w:rPr>
      </w:pPr>
      <w:r>
        <w:rPr>
          <w:rFonts w:ascii="仿宋" w:hAnsi="仿宋" w:eastAsia="仿宋" w:cs="仿宋"/>
          <w:spacing w:val="6"/>
          <w:sz w:val="31"/>
          <w:szCs w:val="31"/>
        </w:rPr>
        <w:t>四、财政拨款收入支</w:t>
      </w:r>
      <w:r>
        <w:rPr>
          <w:rFonts w:ascii="仿宋" w:hAnsi="仿宋" w:eastAsia="仿宋" w:cs="仿宋"/>
          <w:spacing w:val="5"/>
          <w:sz w:val="31"/>
          <w:szCs w:val="31"/>
        </w:rPr>
        <w:t>出决算总表</w:t>
      </w:r>
    </w:p>
    <w:p>
      <w:pPr>
        <w:spacing w:before="255" w:line="223" w:lineRule="auto"/>
        <w:ind w:firstLine="6"/>
        <w:rPr>
          <w:rFonts w:ascii="仿宋" w:hAnsi="仿宋" w:eastAsia="仿宋" w:cs="仿宋"/>
          <w:sz w:val="31"/>
          <w:szCs w:val="31"/>
        </w:rPr>
      </w:pPr>
      <w:r>
        <w:rPr>
          <w:rFonts w:ascii="仿宋" w:hAnsi="仿宋" w:eastAsia="仿宋" w:cs="仿宋"/>
          <w:spacing w:val="9"/>
          <w:sz w:val="31"/>
          <w:szCs w:val="31"/>
        </w:rPr>
        <w:t>五、一般公</w:t>
      </w:r>
      <w:r>
        <w:rPr>
          <w:rFonts w:ascii="仿宋" w:hAnsi="仿宋" w:eastAsia="仿宋" w:cs="仿宋"/>
          <w:spacing w:val="8"/>
          <w:sz w:val="31"/>
          <w:szCs w:val="31"/>
        </w:rPr>
        <w:t>共预算财政拨款支出决算表</w:t>
      </w:r>
    </w:p>
    <w:p>
      <w:pPr>
        <w:spacing w:before="257" w:line="223" w:lineRule="auto"/>
        <w:ind w:firstLine="3"/>
        <w:rPr>
          <w:rFonts w:ascii="仿宋" w:hAnsi="仿宋" w:eastAsia="仿宋" w:cs="仿宋"/>
          <w:sz w:val="31"/>
          <w:szCs w:val="31"/>
        </w:rPr>
      </w:pPr>
      <w:r>
        <w:rPr>
          <w:rFonts w:ascii="仿宋" w:hAnsi="仿宋" w:eastAsia="仿宋" w:cs="仿宋"/>
          <w:spacing w:val="9"/>
          <w:sz w:val="31"/>
          <w:szCs w:val="31"/>
        </w:rPr>
        <w:t>六、一般公共预算财政拨款</w:t>
      </w:r>
      <w:r>
        <w:rPr>
          <w:rFonts w:ascii="仿宋" w:hAnsi="仿宋" w:eastAsia="仿宋" w:cs="仿宋"/>
          <w:spacing w:val="8"/>
          <w:sz w:val="31"/>
          <w:szCs w:val="31"/>
        </w:rPr>
        <w:t>基本支出决算表</w:t>
      </w:r>
    </w:p>
    <w:p>
      <w:pPr>
        <w:spacing w:before="255" w:line="299" w:lineRule="auto"/>
        <w:ind w:left="642" w:hanging="635"/>
        <w:rPr>
          <w:rFonts w:ascii="仿宋" w:hAnsi="仿宋" w:eastAsia="仿宋" w:cs="仿宋"/>
          <w:sz w:val="31"/>
          <w:szCs w:val="31"/>
        </w:rPr>
      </w:pPr>
      <w:r>
        <w:rPr>
          <w:rFonts w:ascii="仿宋" w:hAnsi="仿宋" w:eastAsia="仿宋" w:cs="仿宋"/>
          <w:spacing w:val="5"/>
          <w:sz w:val="31"/>
          <w:szCs w:val="31"/>
        </w:rPr>
        <w:t>七、一般公共预算财政拨款“三公”经费及会</w:t>
      </w:r>
      <w:r>
        <w:rPr>
          <w:rFonts w:ascii="仿宋" w:hAnsi="仿宋" w:eastAsia="仿宋" w:cs="仿宋"/>
          <w:spacing w:val="4"/>
          <w:sz w:val="31"/>
          <w:szCs w:val="31"/>
        </w:rPr>
        <w:t>议费</w:t>
      </w:r>
      <w:r>
        <w:rPr>
          <w:rFonts w:ascii="仿宋" w:hAnsi="仿宋" w:eastAsia="仿宋" w:cs="仿宋"/>
          <w:spacing w:val="5"/>
          <w:sz w:val="31"/>
          <w:szCs w:val="31"/>
        </w:rPr>
        <w:t>、</w:t>
      </w:r>
      <w:r>
        <w:rPr>
          <w:rFonts w:ascii="仿宋" w:hAnsi="仿宋" w:eastAsia="仿宋" w:cs="仿宋"/>
          <w:spacing w:val="4"/>
          <w:sz w:val="31"/>
          <w:szCs w:val="31"/>
        </w:rPr>
        <w:t>培训费支出</w:t>
      </w:r>
      <w:r>
        <w:rPr>
          <w:rFonts w:ascii="仿宋" w:hAnsi="仿宋" w:eastAsia="仿宋" w:cs="仿宋"/>
          <w:sz w:val="31"/>
          <w:szCs w:val="31"/>
        </w:rPr>
        <w:t xml:space="preserve"> </w:t>
      </w:r>
      <w:r>
        <w:rPr>
          <w:rFonts w:ascii="仿宋" w:hAnsi="仿宋" w:eastAsia="仿宋" w:cs="仿宋"/>
          <w:spacing w:val="3"/>
          <w:sz w:val="31"/>
          <w:szCs w:val="31"/>
        </w:rPr>
        <w:t>决</w:t>
      </w:r>
      <w:r>
        <w:rPr>
          <w:rFonts w:ascii="仿宋" w:hAnsi="仿宋" w:eastAsia="仿宋" w:cs="仿宋"/>
          <w:spacing w:val="2"/>
          <w:sz w:val="31"/>
          <w:szCs w:val="31"/>
        </w:rPr>
        <w:t>算表</w:t>
      </w:r>
    </w:p>
    <w:p>
      <w:pPr>
        <w:spacing w:before="256" w:line="221" w:lineRule="auto"/>
        <w:rPr>
          <w:rFonts w:ascii="仿宋" w:hAnsi="仿宋" w:eastAsia="仿宋" w:cs="仿宋"/>
          <w:sz w:val="31"/>
          <w:szCs w:val="31"/>
        </w:rPr>
      </w:pPr>
      <w:r>
        <w:rPr>
          <w:rFonts w:ascii="仿宋" w:hAnsi="仿宋" w:eastAsia="仿宋" w:cs="仿宋"/>
          <w:spacing w:val="9"/>
          <w:sz w:val="31"/>
          <w:szCs w:val="31"/>
        </w:rPr>
        <w:t>八</w:t>
      </w:r>
      <w:r>
        <w:rPr>
          <w:rFonts w:ascii="仿宋" w:hAnsi="仿宋" w:eastAsia="仿宋" w:cs="仿宋"/>
          <w:spacing w:val="10"/>
          <w:sz w:val="31"/>
          <w:szCs w:val="31"/>
        </w:rPr>
        <w:t>、</w:t>
      </w:r>
      <w:r>
        <w:rPr>
          <w:rFonts w:ascii="仿宋" w:hAnsi="仿宋" w:eastAsia="仿宋" w:cs="仿宋"/>
          <w:spacing w:val="9"/>
          <w:sz w:val="31"/>
          <w:szCs w:val="31"/>
        </w:rPr>
        <w:t>政府性基金预算财政拨款收入支</w:t>
      </w:r>
      <w:r>
        <w:rPr>
          <w:rFonts w:ascii="仿宋" w:hAnsi="仿宋" w:eastAsia="仿宋" w:cs="仿宋"/>
          <w:spacing w:val="8"/>
          <w:sz w:val="31"/>
          <w:szCs w:val="31"/>
        </w:rPr>
        <w:t>出决算表</w:t>
      </w:r>
    </w:p>
    <w:p>
      <w:pPr>
        <w:spacing w:before="259" w:line="223" w:lineRule="auto"/>
        <w:ind w:firstLine="12"/>
        <w:rPr>
          <w:rFonts w:ascii="仿宋" w:hAnsi="仿宋" w:eastAsia="仿宋" w:cs="仿宋"/>
          <w:sz w:val="31"/>
          <w:szCs w:val="31"/>
        </w:rPr>
      </w:pPr>
      <w:r>
        <w:rPr>
          <w:rFonts w:ascii="仿宋" w:hAnsi="仿宋" w:eastAsia="仿宋" w:cs="仿宋"/>
          <w:spacing w:val="9"/>
          <w:sz w:val="31"/>
          <w:szCs w:val="31"/>
        </w:rPr>
        <w:t>九</w:t>
      </w:r>
      <w:r>
        <w:rPr>
          <w:rFonts w:ascii="仿宋" w:hAnsi="仿宋" w:eastAsia="仿宋" w:cs="仿宋"/>
          <w:spacing w:val="10"/>
          <w:sz w:val="31"/>
          <w:szCs w:val="31"/>
        </w:rPr>
        <w:t>、</w:t>
      </w:r>
      <w:r>
        <w:rPr>
          <w:rFonts w:ascii="仿宋" w:hAnsi="仿宋" w:eastAsia="仿宋" w:cs="仿宋"/>
          <w:spacing w:val="8"/>
          <w:sz w:val="31"/>
          <w:szCs w:val="31"/>
        </w:rPr>
        <w:t>国有资本经营预算财政拨款支出决算表</w:t>
      </w:r>
    </w:p>
    <w:p>
      <w:pPr>
        <w:spacing w:before="280" w:line="198" w:lineRule="auto"/>
        <w:ind w:firstLine="1748"/>
        <w:rPr>
          <w:rFonts w:ascii="微软雅黑" w:hAnsi="微软雅黑" w:eastAsia="微软雅黑" w:cs="微软雅黑"/>
          <w:sz w:val="31"/>
          <w:szCs w:val="31"/>
        </w:rPr>
      </w:pPr>
      <w:r>
        <w:rPr>
          <w:rFonts w:ascii="微软雅黑" w:hAnsi="微软雅黑" w:eastAsia="微软雅黑" w:cs="微软雅黑"/>
          <w:spacing w:val="11"/>
          <w:sz w:val="31"/>
          <w:szCs w:val="31"/>
        </w:rPr>
        <w:t>第三部分</w:t>
      </w:r>
      <w:r>
        <w:rPr>
          <w:rFonts w:ascii="微软雅黑" w:hAnsi="微软雅黑" w:eastAsia="微软雅黑" w:cs="微软雅黑"/>
          <w:spacing w:val="4"/>
          <w:sz w:val="31"/>
          <w:szCs w:val="31"/>
        </w:rPr>
        <w:t xml:space="preserve">   </w:t>
      </w:r>
      <w:r>
        <w:rPr>
          <w:rFonts w:ascii="微软雅黑" w:hAnsi="微软雅黑" w:eastAsia="微软雅黑" w:cs="微软雅黑"/>
          <w:spacing w:val="7"/>
          <w:sz w:val="31"/>
          <w:szCs w:val="31"/>
        </w:rPr>
        <w:t>202</w:t>
      </w:r>
      <w:r>
        <w:rPr>
          <w:rFonts w:hint="eastAsia" w:ascii="微软雅黑" w:hAnsi="微软雅黑" w:eastAsia="微软雅黑" w:cs="微软雅黑"/>
          <w:spacing w:val="7"/>
          <w:sz w:val="31"/>
          <w:szCs w:val="31"/>
          <w:lang w:val="en-US" w:eastAsia="zh-CN"/>
        </w:rPr>
        <w:t>1</w:t>
      </w:r>
      <w:r>
        <w:rPr>
          <w:rFonts w:ascii="微软雅黑" w:hAnsi="微软雅黑" w:eastAsia="微软雅黑" w:cs="微软雅黑"/>
          <w:spacing w:val="4"/>
          <w:sz w:val="31"/>
          <w:szCs w:val="31"/>
        </w:rPr>
        <w:t xml:space="preserve"> </w:t>
      </w:r>
      <w:r>
        <w:rPr>
          <w:rFonts w:ascii="微软雅黑" w:hAnsi="微软雅黑" w:eastAsia="微软雅黑" w:cs="微软雅黑"/>
          <w:spacing w:val="11"/>
          <w:sz w:val="31"/>
          <w:szCs w:val="31"/>
        </w:rPr>
        <w:t>年部门决</w:t>
      </w:r>
      <w:r>
        <w:rPr>
          <w:rFonts w:ascii="微软雅黑" w:hAnsi="微软雅黑" w:eastAsia="微软雅黑" w:cs="微软雅黑"/>
          <w:spacing w:val="10"/>
          <w:sz w:val="31"/>
          <w:szCs w:val="31"/>
        </w:rPr>
        <w:t>算情况说明</w:t>
      </w:r>
    </w:p>
    <w:p>
      <w:pPr>
        <w:spacing w:before="167" w:line="223" w:lineRule="auto"/>
        <w:ind w:firstLine="6"/>
        <w:rPr>
          <w:rFonts w:ascii="仿宋" w:hAnsi="仿宋" w:eastAsia="仿宋" w:cs="仿宋"/>
          <w:sz w:val="31"/>
          <w:szCs w:val="31"/>
        </w:rPr>
      </w:pPr>
      <w:r>
        <w:rPr>
          <w:rFonts w:ascii="仿宋" w:hAnsi="仿宋" w:eastAsia="仿宋" w:cs="仿宋"/>
          <w:spacing w:val="8"/>
          <w:sz w:val="31"/>
          <w:szCs w:val="31"/>
        </w:rPr>
        <w:t>一</w:t>
      </w:r>
      <w:r>
        <w:rPr>
          <w:rFonts w:ascii="仿宋" w:hAnsi="仿宋" w:eastAsia="仿宋" w:cs="仿宋"/>
          <w:spacing w:val="9"/>
          <w:sz w:val="31"/>
          <w:szCs w:val="31"/>
        </w:rPr>
        <w:t>、</w:t>
      </w:r>
      <w:r>
        <w:rPr>
          <w:rFonts w:ascii="仿宋" w:hAnsi="仿宋" w:eastAsia="仿宋" w:cs="仿宋"/>
          <w:spacing w:val="8"/>
          <w:sz w:val="31"/>
          <w:szCs w:val="31"/>
        </w:rPr>
        <w:t>收入支出决算总体情况</w:t>
      </w:r>
      <w:r>
        <w:rPr>
          <w:rFonts w:ascii="仿宋" w:hAnsi="仿宋" w:eastAsia="仿宋" w:cs="仿宋"/>
          <w:spacing w:val="7"/>
          <w:sz w:val="31"/>
          <w:szCs w:val="31"/>
        </w:rPr>
        <w:t>说明</w:t>
      </w:r>
    </w:p>
    <w:p>
      <w:pPr>
        <w:spacing w:before="255" w:line="223" w:lineRule="auto"/>
        <w:ind w:firstLine="11"/>
        <w:rPr>
          <w:rFonts w:ascii="仿宋" w:hAnsi="仿宋" w:eastAsia="仿宋" w:cs="仿宋"/>
          <w:sz w:val="31"/>
          <w:szCs w:val="31"/>
        </w:rPr>
      </w:pPr>
      <w:r>
        <w:rPr>
          <w:rFonts w:ascii="仿宋" w:hAnsi="仿宋" w:eastAsia="仿宋" w:cs="仿宋"/>
          <w:spacing w:val="7"/>
          <w:sz w:val="31"/>
          <w:szCs w:val="31"/>
        </w:rPr>
        <w:t>二、收入决算情</w:t>
      </w:r>
      <w:r>
        <w:rPr>
          <w:rFonts w:ascii="仿宋" w:hAnsi="仿宋" w:eastAsia="仿宋" w:cs="仿宋"/>
          <w:spacing w:val="6"/>
          <w:sz w:val="31"/>
          <w:szCs w:val="31"/>
        </w:rPr>
        <w:t>况说明</w:t>
      </w:r>
    </w:p>
    <w:p>
      <w:pPr>
        <w:spacing w:before="256" w:line="223" w:lineRule="auto"/>
        <w:ind w:firstLine="9"/>
        <w:rPr>
          <w:rFonts w:ascii="仿宋" w:hAnsi="仿宋" w:eastAsia="仿宋" w:cs="仿宋"/>
          <w:sz w:val="31"/>
          <w:szCs w:val="31"/>
        </w:rPr>
      </w:pPr>
      <w:r>
        <w:rPr>
          <w:rFonts w:ascii="仿宋" w:hAnsi="仿宋" w:eastAsia="仿宋" w:cs="仿宋"/>
          <w:spacing w:val="7"/>
          <w:sz w:val="31"/>
          <w:szCs w:val="31"/>
        </w:rPr>
        <w:t>三</w:t>
      </w:r>
      <w:r>
        <w:rPr>
          <w:rFonts w:ascii="仿宋" w:hAnsi="仿宋" w:eastAsia="仿宋" w:cs="仿宋"/>
          <w:spacing w:val="8"/>
          <w:sz w:val="31"/>
          <w:szCs w:val="31"/>
        </w:rPr>
        <w:t>、</w:t>
      </w:r>
      <w:r>
        <w:rPr>
          <w:rFonts w:ascii="仿宋" w:hAnsi="仿宋" w:eastAsia="仿宋" w:cs="仿宋"/>
          <w:spacing w:val="7"/>
          <w:sz w:val="31"/>
          <w:szCs w:val="31"/>
        </w:rPr>
        <w:t>支出决算情</w:t>
      </w:r>
      <w:r>
        <w:rPr>
          <w:rFonts w:ascii="仿宋" w:hAnsi="仿宋" w:eastAsia="仿宋" w:cs="仿宋"/>
          <w:spacing w:val="6"/>
          <w:sz w:val="31"/>
          <w:szCs w:val="31"/>
        </w:rPr>
        <w:t>况说明</w:t>
      </w:r>
    </w:p>
    <w:p>
      <w:pPr>
        <w:sectPr>
          <w:footerReference r:id="rId5" w:type="default"/>
          <w:pgSz w:w="11907" w:h="16839"/>
          <w:pgMar w:top="1431" w:right="1478" w:bottom="1102" w:left="1606" w:header="0" w:footer="862" w:gutter="0"/>
          <w:cols w:space="720" w:num="1"/>
        </w:sectPr>
      </w:pPr>
    </w:p>
    <w:p>
      <w:pPr>
        <w:spacing w:line="358" w:lineRule="auto"/>
        <w:rPr>
          <w:rFonts w:ascii="Arial"/>
          <w:sz w:val="21"/>
        </w:rPr>
      </w:pPr>
    </w:p>
    <w:p>
      <w:pPr>
        <w:spacing w:line="358" w:lineRule="auto"/>
        <w:rPr>
          <w:rFonts w:ascii="Arial"/>
          <w:sz w:val="21"/>
        </w:rPr>
      </w:pPr>
    </w:p>
    <w:p>
      <w:pPr>
        <w:spacing w:before="101" w:line="223" w:lineRule="auto"/>
        <w:ind w:firstLine="38"/>
        <w:rPr>
          <w:rFonts w:ascii="仿宋" w:hAnsi="仿宋" w:eastAsia="仿宋" w:cs="仿宋"/>
          <w:sz w:val="31"/>
          <w:szCs w:val="31"/>
        </w:rPr>
      </w:pPr>
      <w:r>
        <w:rPr>
          <w:rFonts w:ascii="仿宋" w:hAnsi="仿宋" w:eastAsia="仿宋" w:cs="仿宋"/>
          <w:spacing w:val="7"/>
          <w:sz w:val="31"/>
          <w:szCs w:val="31"/>
        </w:rPr>
        <w:t>四、财政拨款收入支出</w:t>
      </w:r>
      <w:r>
        <w:rPr>
          <w:rFonts w:ascii="仿宋" w:hAnsi="仿宋" w:eastAsia="仿宋" w:cs="仿宋"/>
          <w:spacing w:val="6"/>
          <w:sz w:val="31"/>
          <w:szCs w:val="31"/>
        </w:rPr>
        <w:t>决算总体情况说明</w:t>
      </w:r>
    </w:p>
    <w:p>
      <w:pPr>
        <w:spacing w:before="256" w:line="223" w:lineRule="auto"/>
        <w:ind w:firstLine="6"/>
        <w:rPr>
          <w:rFonts w:ascii="仿宋" w:hAnsi="仿宋" w:eastAsia="仿宋" w:cs="仿宋"/>
          <w:sz w:val="31"/>
          <w:szCs w:val="31"/>
        </w:rPr>
      </w:pPr>
      <w:r>
        <w:rPr>
          <w:rFonts w:ascii="仿宋" w:hAnsi="仿宋" w:eastAsia="仿宋" w:cs="仿宋"/>
          <w:spacing w:val="9"/>
          <w:sz w:val="31"/>
          <w:szCs w:val="31"/>
        </w:rPr>
        <w:t>五、一般公共预算财政拨</w:t>
      </w:r>
      <w:r>
        <w:rPr>
          <w:rFonts w:ascii="仿宋" w:hAnsi="仿宋" w:eastAsia="仿宋" w:cs="仿宋"/>
          <w:spacing w:val="8"/>
          <w:sz w:val="31"/>
          <w:szCs w:val="31"/>
        </w:rPr>
        <w:t>款支出决算情况说明</w:t>
      </w:r>
    </w:p>
    <w:p>
      <w:pPr>
        <w:spacing w:before="254" w:line="223" w:lineRule="auto"/>
        <w:ind w:firstLine="3"/>
        <w:rPr>
          <w:rFonts w:ascii="仿宋" w:hAnsi="仿宋" w:eastAsia="仿宋" w:cs="仿宋"/>
          <w:sz w:val="31"/>
          <w:szCs w:val="31"/>
        </w:rPr>
      </w:pPr>
      <w:r>
        <w:rPr>
          <w:rFonts w:ascii="仿宋" w:hAnsi="仿宋" w:eastAsia="仿宋" w:cs="仿宋"/>
          <w:spacing w:val="9"/>
          <w:sz w:val="31"/>
          <w:szCs w:val="31"/>
        </w:rPr>
        <w:t>六、一般公共预算财政拨款基本支出</w:t>
      </w:r>
      <w:r>
        <w:rPr>
          <w:rFonts w:ascii="仿宋" w:hAnsi="仿宋" w:eastAsia="仿宋" w:cs="仿宋"/>
          <w:spacing w:val="8"/>
          <w:sz w:val="31"/>
          <w:szCs w:val="31"/>
        </w:rPr>
        <w:t>决算情况说明</w:t>
      </w:r>
    </w:p>
    <w:p>
      <w:pPr>
        <w:spacing w:before="256" w:line="299" w:lineRule="auto"/>
        <w:ind w:left="642" w:hanging="635"/>
        <w:rPr>
          <w:rFonts w:ascii="仿宋" w:hAnsi="仿宋" w:eastAsia="仿宋" w:cs="仿宋"/>
          <w:sz w:val="31"/>
          <w:szCs w:val="31"/>
        </w:rPr>
      </w:pPr>
      <w:r>
        <w:rPr>
          <w:rFonts w:ascii="仿宋" w:hAnsi="仿宋" w:eastAsia="仿宋" w:cs="仿宋"/>
          <w:spacing w:val="5"/>
          <w:sz w:val="31"/>
          <w:szCs w:val="31"/>
        </w:rPr>
        <w:t>七、一般公共预算财政拨款“三公”经费及会</w:t>
      </w:r>
      <w:r>
        <w:rPr>
          <w:rFonts w:ascii="仿宋" w:hAnsi="仿宋" w:eastAsia="仿宋" w:cs="仿宋"/>
          <w:spacing w:val="4"/>
          <w:sz w:val="31"/>
          <w:szCs w:val="31"/>
        </w:rPr>
        <w:t>议费</w:t>
      </w:r>
      <w:r>
        <w:rPr>
          <w:rFonts w:ascii="仿宋" w:hAnsi="仿宋" w:eastAsia="仿宋" w:cs="仿宋"/>
          <w:spacing w:val="5"/>
          <w:sz w:val="31"/>
          <w:szCs w:val="31"/>
        </w:rPr>
        <w:t>、</w:t>
      </w:r>
      <w:r>
        <w:rPr>
          <w:rFonts w:ascii="仿宋" w:hAnsi="仿宋" w:eastAsia="仿宋" w:cs="仿宋"/>
          <w:spacing w:val="4"/>
          <w:sz w:val="31"/>
          <w:szCs w:val="31"/>
        </w:rPr>
        <w:t>培训费支出</w:t>
      </w:r>
      <w:r>
        <w:rPr>
          <w:rFonts w:ascii="仿宋" w:hAnsi="仿宋" w:eastAsia="仿宋" w:cs="仿宋"/>
          <w:sz w:val="31"/>
          <w:szCs w:val="31"/>
        </w:rPr>
        <w:t xml:space="preserve"> </w:t>
      </w:r>
      <w:r>
        <w:rPr>
          <w:rFonts w:ascii="仿宋" w:hAnsi="仿宋" w:eastAsia="仿宋" w:cs="仿宋"/>
          <w:spacing w:val="7"/>
          <w:sz w:val="31"/>
          <w:szCs w:val="31"/>
        </w:rPr>
        <w:t>决</w:t>
      </w:r>
      <w:r>
        <w:rPr>
          <w:rFonts w:ascii="仿宋" w:hAnsi="仿宋" w:eastAsia="仿宋" w:cs="仿宋"/>
          <w:spacing w:val="6"/>
          <w:sz w:val="31"/>
          <w:szCs w:val="31"/>
        </w:rPr>
        <w:t>算情况说明</w:t>
      </w:r>
    </w:p>
    <w:p>
      <w:pPr>
        <w:spacing w:before="257" w:line="221" w:lineRule="auto"/>
        <w:rPr>
          <w:rFonts w:ascii="仿宋" w:hAnsi="仿宋" w:eastAsia="仿宋" w:cs="仿宋"/>
          <w:sz w:val="31"/>
          <w:szCs w:val="31"/>
        </w:rPr>
      </w:pPr>
      <w:r>
        <w:rPr>
          <w:rFonts w:ascii="仿宋" w:hAnsi="仿宋" w:eastAsia="仿宋" w:cs="仿宋"/>
          <w:spacing w:val="9"/>
          <w:sz w:val="31"/>
          <w:szCs w:val="31"/>
        </w:rPr>
        <w:t>八</w:t>
      </w:r>
      <w:r>
        <w:rPr>
          <w:rFonts w:ascii="仿宋" w:hAnsi="仿宋" w:eastAsia="仿宋" w:cs="仿宋"/>
          <w:spacing w:val="10"/>
          <w:sz w:val="31"/>
          <w:szCs w:val="31"/>
        </w:rPr>
        <w:t>、</w:t>
      </w:r>
      <w:r>
        <w:rPr>
          <w:rFonts w:ascii="仿宋" w:hAnsi="仿宋" w:eastAsia="仿宋" w:cs="仿宋"/>
          <w:spacing w:val="9"/>
          <w:sz w:val="31"/>
          <w:szCs w:val="31"/>
        </w:rPr>
        <w:t>政府性基金预算财政拨款收入支出</w:t>
      </w:r>
      <w:r>
        <w:rPr>
          <w:rFonts w:ascii="仿宋" w:hAnsi="仿宋" w:eastAsia="仿宋" w:cs="仿宋"/>
          <w:spacing w:val="8"/>
          <w:sz w:val="31"/>
          <w:szCs w:val="31"/>
        </w:rPr>
        <w:t>情况说明</w:t>
      </w:r>
    </w:p>
    <w:p>
      <w:pPr>
        <w:spacing w:before="256" w:line="224" w:lineRule="auto"/>
        <w:ind w:firstLine="12"/>
        <w:rPr>
          <w:rFonts w:ascii="仿宋" w:hAnsi="仿宋" w:eastAsia="仿宋" w:cs="仿宋"/>
          <w:sz w:val="31"/>
          <w:szCs w:val="31"/>
        </w:rPr>
      </w:pPr>
      <w:r>
        <w:rPr>
          <w:rFonts w:ascii="仿宋" w:hAnsi="仿宋" w:eastAsia="仿宋" w:cs="仿宋"/>
          <w:spacing w:val="9"/>
          <w:sz w:val="31"/>
          <w:szCs w:val="31"/>
        </w:rPr>
        <w:t>九、国有</w:t>
      </w:r>
      <w:r>
        <w:rPr>
          <w:rFonts w:ascii="仿宋" w:hAnsi="仿宋" w:eastAsia="仿宋" w:cs="仿宋"/>
          <w:spacing w:val="8"/>
          <w:sz w:val="31"/>
          <w:szCs w:val="31"/>
        </w:rPr>
        <w:t>资本经营财政拨款收入支出情况说明</w:t>
      </w:r>
    </w:p>
    <w:p>
      <w:pPr>
        <w:spacing w:before="256" w:line="299" w:lineRule="auto"/>
        <w:ind w:left="9" w:right="4362"/>
        <w:rPr>
          <w:rFonts w:ascii="仿宋" w:hAnsi="仿宋" w:eastAsia="仿宋" w:cs="仿宋"/>
          <w:sz w:val="31"/>
          <w:szCs w:val="31"/>
        </w:rPr>
      </w:pPr>
      <w:r>
        <w:rPr>
          <w:rFonts w:ascii="仿宋" w:hAnsi="仿宋" w:eastAsia="仿宋" w:cs="仿宋"/>
          <w:spacing w:val="8"/>
          <w:sz w:val="31"/>
          <w:szCs w:val="31"/>
        </w:rPr>
        <w:t>十、机关运行经费支</w:t>
      </w:r>
      <w:r>
        <w:rPr>
          <w:rFonts w:ascii="仿宋" w:hAnsi="仿宋" w:eastAsia="仿宋" w:cs="仿宋"/>
          <w:spacing w:val="7"/>
          <w:sz w:val="31"/>
          <w:szCs w:val="31"/>
        </w:rPr>
        <w:t>出情况说明</w:t>
      </w:r>
      <w:r>
        <w:rPr>
          <w:rFonts w:ascii="仿宋" w:hAnsi="仿宋" w:eastAsia="仿宋" w:cs="仿宋"/>
          <w:sz w:val="31"/>
          <w:szCs w:val="31"/>
        </w:rPr>
        <w:t xml:space="preserve"> </w:t>
      </w:r>
      <w:r>
        <w:rPr>
          <w:rFonts w:ascii="仿宋" w:hAnsi="仿宋" w:eastAsia="仿宋" w:cs="仿宋"/>
          <w:spacing w:val="8"/>
          <w:sz w:val="31"/>
          <w:szCs w:val="31"/>
        </w:rPr>
        <w:t>十一、政府采购</w:t>
      </w:r>
      <w:r>
        <w:rPr>
          <w:rFonts w:ascii="仿宋" w:hAnsi="仿宋" w:eastAsia="仿宋" w:cs="仿宋"/>
          <w:spacing w:val="7"/>
          <w:sz w:val="31"/>
          <w:szCs w:val="31"/>
        </w:rPr>
        <w:t>支出情况说明</w:t>
      </w:r>
    </w:p>
    <w:p>
      <w:pPr>
        <w:spacing w:before="257" w:line="628" w:lineRule="exact"/>
        <w:ind w:firstLine="9"/>
        <w:rPr>
          <w:rFonts w:ascii="仿宋" w:hAnsi="仿宋" w:eastAsia="仿宋" w:cs="仿宋"/>
          <w:sz w:val="31"/>
          <w:szCs w:val="31"/>
        </w:rPr>
      </w:pPr>
      <w:r>
        <w:rPr>
          <w:rFonts w:ascii="仿宋" w:hAnsi="仿宋" w:eastAsia="仿宋" w:cs="仿宋"/>
          <w:spacing w:val="8"/>
          <w:position w:val="23"/>
          <w:sz w:val="31"/>
          <w:szCs w:val="31"/>
        </w:rPr>
        <w:t>十二</w:t>
      </w:r>
      <w:r>
        <w:rPr>
          <w:rFonts w:ascii="仿宋" w:hAnsi="仿宋" w:eastAsia="仿宋" w:cs="仿宋"/>
          <w:spacing w:val="9"/>
          <w:position w:val="23"/>
          <w:sz w:val="31"/>
          <w:szCs w:val="31"/>
        </w:rPr>
        <w:t>、</w:t>
      </w:r>
      <w:r>
        <w:rPr>
          <w:rFonts w:ascii="仿宋" w:hAnsi="仿宋" w:eastAsia="仿宋" w:cs="仿宋"/>
          <w:spacing w:val="8"/>
          <w:position w:val="23"/>
          <w:sz w:val="31"/>
          <w:szCs w:val="31"/>
        </w:rPr>
        <w:t>国有资产占用及购置情况说</w:t>
      </w:r>
      <w:r>
        <w:rPr>
          <w:rFonts w:ascii="仿宋" w:hAnsi="仿宋" w:eastAsia="仿宋" w:cs="仿宋"/>
          <w:spacing w:val="7"/>
          <w:position w:val="23"/>
          <w:sz w:val="31"/>
          <w:szCs w:val="31"/>
        </w:rPr>
        <w:t>明</w:t>
      </w:r>
    </w:p>
    <w:p>
      <w:pPr>
        <w:spacing w:before="2" w:line="222" w:lineRule="auto"/>
        <w:ind w:firstLine="9"/>
        <w:rPr>
          <w:rFonts w:ascii="仿宋" w:hAnsi="仿宋" w:eastAsia="仿宋" w:cs="仿宋"/>
          <w:sz w:val="31"/>
          <w:szCs w:val="31"/>
        </w:rPr>
      </w:pPr>
      <w:r>
        <w:rPr>
          <w:rFonts w:ascii="仿宋" w:hAnsi="仿宋" w:eastAsia="仿宋" w:cs="仿宋"/>
          <w:spacing w:val="7"/>
          <w:sz w:val="31"/>
          <w:szCs w:val="31"/>
        </w:rPr>
        <w:t>十三</w:t>
      </w:r>
      <w:r>
        <w:rPr>
          <w:rFonts w:ascii="仿宋" w:hAnsi="仿宋" w:eastAsia="仿宋" w:cs="仿宋"/>
          <w:spacing w:val="8"/>
          <w:sz w:val="31"/>
          <w:szCs w:val="31"/>
        </w:rPr>
        <w:t>、</w:t>
      </w:r>
      <w:r>
        <w:rPr>
          <w:rFonts w:ascii="仿宋" w:hAnsi="仿宋" w:eastAsia="仿宋" w:cs="仿宋"/>
          <w:spacing w:val="7"/>
          <w:sz w:val="31"/>
          <w:szCs w:val="31"/>
        </w:rPr>
        <w:t>预算绩效情况说</w:t>
      </w:r>
      <w:r>
        <w:rPr>
          <w:rFonts w:ascii="仿宋" w:hAnsi="仿宋" w:eastAsia="仿宋" w:cs="仿宋"/>
          <w:spacing w:val="6"/>
          <w:sz w:val="31"/>
          <w:szCs w:val="31"/>
        </w:rPr>
        <w:t>明</w:t>
      </w:r>
    </w:p>
    <w:p>
      <w:pPr>
        <w:spacing w:before="282" w:line="198" w:lineRule="auto"/>
        <w:ind w:firstLine="2723"/>
        <w:rPr>
          <w:rFonts w:ascii="微软雅黑" w:hAnsi="微软雅黑" w:eastAsia="微软雅黑" w:cs="微软雅黑"/>
          <w:sz w:val="31"/>
          <w:szCs w:val="31"/>
        </w:rPr>
      </w:pPr>
      <w:r>
        <w:rPr>
          <w:rFonts w:ascii="微软雅黑" w:hAnsi="微软雅黑" w:eastAsia="微软雅黑" w:cs="微软雅黑"/>
          <w:spacing w:val="16"/>
          <w:sz w:val="31"/>
          <w:szCs w:val="31"/>
        </w:rPr>
        <w:t>第四部分</w:t>
      </w:r>
      <w:r>
        <w:rPr>
          <w:rFonts w:ascii="微软雅黑" w:hAnsi="微软雅黑" w:eastAsia="微软雅黑" w:cs="微软雅黑"/>
          <w:spacing w:val="5"/>
          <w:sz w:val="31"/>
          <w:szCs w:val="31"/>
        </w:rPr>
        <w:t xml:space="preserve"> </w:t>
      </w:r>
      <w:r>
        <w:rPr>
          <w:rFonts w:ascii="微软雅黑" w:hAnsi="微软雅黑" w:eastAsia="微软雅黑" w:cs="微软雅黑"/>
          <w:spacing w:val="16"/>
          <w:sz w:val="31"/>
          <w:szCs w:val="31"/>
        </w:rPr>
        <w:t>专业名词</w:t>
      </w:r>
      <w:r>
        <w:rPr>
          <w:rFonts w:ascii="微软雅黑" w:hAnsi="微软雅黑" w:eastAsia="微软雅黑" w:cs="微软雅黑"/>
          <w:spacing w:val="15"/>
          <w:sz w:val="31"/>
          <w:szCs w:val="31"/>
        </w:rPr>
        <w:t>解释</w:t>
      </w:r>
    </w:p>
    <w:p>
      <w:pPr>
        <w:sectPr>
          <w:footerReference r:id="rId6" w:type="default"/>
          <w:pgSz w:w="11907" w:h="16839"/>
          <w:pgMar w:top="1431" w:right="1478" w:bottom="1101" w:left="1606" w:header="0" w:footer="783" w:gutter="0"/>
          <w:cols w:space="720" w:num="1"/>
        </w:sect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184" w:line="815" w:lineRule="exact"/>
        <w:ind w:firstLine="2534"/>
        <w:rPr>
          <w:rFonts w:ascii="微软雅黑" w:hAnsi="微软雅黑" w:eastAsia="微软雅黑" w:cs="微软雅黑"/>
          <w:sz w:val="43"/>
          <w:szCs w:val="43"/>
        </w:rPr>
      </w:pPr>
      <w:r>
        <w:rPr>
          <w:rFonts w:ascii="微软雅黑" w:hAnsi="微软雅黑" w:eastAsia="微软雅黑" w:cs="微软雅黑"/>
          <w:spacing w:val="20"/>
          <w:position w:val="27"/>
          <w:sz w:val="43"/>
          <w:szCs w:val="43"/>
        </w:rPr>
        <w:t>第一部分</w:t>
      </w:r>
      <w:r>
        <w:rPr>
          <w:rFonts w:ascii="微软雅黑" w:hAnsi="微软雅黑" w:eastAsia="微软雅黑" w:cs="微软雅黑"/>
          <w:spacing w:val="7"/>
          <w:position w:val="27"/>
          <w:sz w:val="43"/>
          <w:szCs w:val="43"/>
        </w:rPr>
        <w:t xml:space="preserve"> </w:t>
      </w:r>
      <w:r>
        <w:rPr>
          <w:rFonts w:ascii="微软雅黑" w:hAnsi="微软雅黑" w:eastAsia="微软雅黑" w:cs="微软雅黑"/>
          <w:spacing w:val="20"/>
          <w:position w:val="27"/>
          <w:sz w:val="43"/>
          <w:szCs w:val="43"/>
        </w:rPr>
        <w:t>部门</w:t>
      </w:r>
      <w:r>
        <w:rPr>
          <w:rFonts w:ascii="微软雅黑" w:hAnsi="微软雅黑" w:eastAsia="微软雅黑" w:cs="微软雅黑"/>
          <w:spacing w:val="19"/>
          <w:position w:val="27"/>
          <w:sz w:val="43"/>
          <w:szCs w:val="43"/>
        </w:rPr>
        <w:t>概况</w:t>
      </w:r>
    </w:p>
    <w:p>
      <w:pPr>
        <w:spacing w:line="223" w:lineRule="auto"/>
        <w:ind w:firstLine="638"/>
        <w:rPr>
          <w:rFonts w:ascii="黑体" w:hAnsi="黑体" w:eastAsia="黑体" w:cs="黑体"/>
          <w:sz w:val="31"/>
          <w:szCs w:val="31"/>
        </w:rPr>
      </w:pPr>
      <w:r>
        <w:rPr>
          <w:rFonts w:ascii="黑体" w:hAnsi="黑体" w:eastAsia="黑体" w:cs="黑体"/>
          <w:spacing w:val="9"/>
          <w:sz w:val="31"/>
          <w:szCs w:val="31"/>
        </w:rPr>
        <w:t>一、部门主要</w:t>
      </w:r>
      <w:r>
        <w:rPr>
          <w:rFonts w:ascii="黑体" w:hAnsi="黑体" w:eastAsia="黑体" w:cs="黑体"/>
          <w:spacing w:val="8"/>
          <w:sz w:val="31"/>
          <w:szCs w:val="31"/>
        </w:rPr>
        <w:t>职责及内设机构</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61"/>
        <w:jc w:val="left"/>
        <w:textAlignment w:val="baseline"/>
        <w:outlineLvl w:val="9"/>
        <w:rPr>
          <w:rFonts w:ascii="楷体" w:hAnsi="楷体" w:eastAsia="楷体" w:cs="楷体"/>
          <w:sz w:val="31"/>
          <w:szCs w:val="31"/>
        </w:rPr>
      </w:pPr>
      <w:r>
        <w:rPr>
          <w:rFonts w:ascii="楷体" w:hAnsi="楷体" w:eastAsia="楷体" w:cs="楷体"/>
          <w:spacing w:val="2"/>
          <w:sz w:val="31"/>
          <w:szCs w:val="31"/>
          <w14:textOutline w14:w="5791" w14:cap="flat" w14:cmpd="sng">
            <w14:solidFill>
              <w14:srgbClr w14:val="000000"/>
            </w14:solidFill>
            <w14:prstDash w14:val="solid"/>
            <w14:miter w14:val="0"/>
          </w14:textOutline>
        </w:rPr>
        <w:t>（一</w:t>
      </w:r>
      <w:r>
        <w:rPr>
          <w:rFonts w:ascii="楷体" w:hAnsi="楷体" w:eastAsia="楷体" w:cs="楷体"/>
          <w:spacing w:val="3"/>
          <w:sz w:val="31"/>
          <w:szCs w:val="31"/>
          <w14:textOutline w14:w="5791" w14:cap="flat" w14:cmpd="sng">
            <w14:solidFill>
              <w14:srgbClr w14:val="000000"/>
            </w14:solidFill>
            <w14:prstDash w14:val="solid"/>
            <w14:miter w14:val="0"/>
          </w14:textOutline>
        </w:rPr>
        <w:t>）</w:t>
      </w:r>
      <w:r>
        <w:rPr>
          <w:rFonts w:ascii="楷体" w:hAnsi="楷体" w:eastAsia="楷体" w:cs="楷体"/>
          <w:spacing w:val="2"/>
          <w:sz w:val="31"/>
          <w:szCs w:val="31"/>
          <w14:textOutline w14:w="5791" w14:cap="flat" w14:cmpd="sng">
            <w14:solidFill>
              <w14:srgbClr w14:val="000000"/>
            </w14:solidFill>
            <w14:prstDash w14:val="solid"/>
            <w14:miter w14:val="0"/>
          </w14:textOutline>
        </w:rPr>
        <w:t>主</w:t>
      </w:r>
      <w:r>
        <w:rPr>
          <w:rFonts w:ascii="楷体" w:hAnsi="楷体" w:eastAsia="楷体" w:cs="楷体"/>
          <w:spacing w:val="1"/>
          <w:sz w:val="31"/>
          <w:szCs w:val="31"/>
          <w14:textOutline w14:w="5791" w14:cap="flat" w14:cmpd="sng">
            <w14:solidFill>
              <w14:srgbClr w14:val="000000"/>
            </w14:solidFill>
            <w14:prstDash w14:val="solid"/>
            <w14:miter w14:val="0"/>
          </w14:textOutline>
        </w:rPr>
        <w:t>要职责</w:t>
      </w:r>
      <w:r>
        <w:rPr>
          <w:rFonts w:ascii="楷体" w:hAnsi="楷体" w:eastAsia="楷体" w:cs="楷体"/>
          <w:spacing w:val="3"/>
          <w:sz w:val="31"/>
          <w:szCs w:val="31"/>
          <w14:textOutline w14:w="5791" w14:cap="flat" w14:cmpd="sng">
            <w14:solidFill>
              <w14:srgbClr w14:val="000000"/>
            </w14:solidFill>
            <w14:prstDash w14:val="solid"/>
            <w14:miter w14:val="0"/>
          </w14:textOutline>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2" w:rightChars="0" w:firstLine="641" w:firstLineChars="0"/>
        <w:jc w:val="left"/>
        <w:textAlignment w:val="baseline"/>
        <w:outlineLvl w:val="9"/>
        <w:rPr>
          <w:rFonts w:ascii="仿宋" w:hAnsi="仿宋" w:eastAsia="仿宋" w:cs="仿宋"/>
          <w:spacing w:val="22"/>
          <w:sz w:val="31"/>
          <w:szCs w:val="31"/>
        </w:rPr>
      </w:pPr>
      <w:r>
        <w:rPr>
          <w:rFonts w:ascii="仿宋" w:hAnsi="仿宋" w:eastAsia="仿宋" w:cs="仿宋"/>
          <w:spacing w:val="11"/>
          <w:sz w:val="31"/>
          <w:szCs w:val="31"/>
        </w:rPr>
        <w:t>1</w:t>
      </w:r>
      <w:r>
        <w:rPr>
          <w:rFonts w:ascii="仿宋" w:hAnsi="仿宋" w:eastAsia="仿宋" w:cs="仿宋"/>
          <w:spacing w:val="25"/>
          <w:sz w:val="31"/>
          <w:szCs w:val="31"/>
        </w:rPr>
        <w:t>、</w:t>
      </w:r>
      <w:r>
        <w:rPr>
          <w:rFonts w:hint="eastAsia" w:ascii="仿宋" w:hAnsi="仿宋" w:eastAsia="仿宋" w:cs="仿宋"/>
          <w:spacing w:val="22"/>
          <w:sz w:val="31"/>
          <w:szCs w:val="31"/>
        </w:rPr>
        <w:t>镇坪县科学技术协会是县科技工作者的群众组织,受中共镇坪县委领导，接受安康市科技协会的工作指导。主要职责是：</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2" w:rightChars="0" w:firstLine="641" w:firstLineChars="0"/>
        <w:jc w:val="left"/>
        <w:textAlignment w:val="baseline"/>
        <w:outlineLvl w:val="9"/>
        <w:rPr>
          <w:rFonts w:ascii="仿宋" w:hAnsi="仿宋" w:eastAsia="仿宋" w:cs="仿宋"/>
          <w:spacing w:val="22"/>
          <w:sz w:val="31"/>
          <w:szCs w:val="31"/>
        </w:rPr>
      </w:pPr>
      <w:r>
        <w:rPr>
          <w:rFonts w:hint="eastAsia" w:ascii="仿宋" w:hAnsi="仿宋" w:eastAsia="仿宋" w:cs="仿宋"/>
          <w:spacing w:val="22"/>
          <w:sz w:val="31"/>
          <w:szCs w:val="31"/>
        </w:rPr>
        <w:t>1.组织拟定全县科普工作计划，并组织实施，促进群众性科普活动和社区科普工作的发展；</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23" w:rightChars="0" w:firstLine="641" w:firstLineChars="0"/>
        <w:jc w:val="left"/>
        <w:textAlignment w:val="baseline"/>
        <w:outlineLvl w:val="9"/>
        <w:rPr>
          <w:rFonts w:ascii="仿宋" w:hAnsi="仿宋" w:eastAsia="仿宋" w:cs="仿宋"/>
          <w:spacing w:val="22"/>
          <w:sz w:val="31"/>
          <w:szCs w:val="31"/>
        </w:rPr>
      </w:pPr>
      <w:r>
        <w:rPr>
          <w:rFonts w:hint="eastAsia" w:ascii="仿宋" w:hAnsi="仿宋" w:eastAsia="仿宋" w:cs="仿宋"/>
          <w:spacing w:val="22"/>
          <w:sz w:val="31"/>
          <w:szCs w:val="31"/>
        </w:rPr>
        <w:t>2.开展学术交流，活跃学术思想，促进科学</w:t>
      </w:r>
      <w:r>
        <w:rPr>
          <w:rFonts w:hint="eastAsia" w:ascii="仿宋" w:hAnsi="仿宋" w:eastAsia="仿宋" w:cs="仿宋"/>
          <w:spacing w:val="22"/>
          <w:sz w:val="31"/>
          <w:szCs w:val="31"/>
          <w:lang w:val="en-US" w:eastAsia="zh-CN"/>
        </w:rPr>
        <w:t>事业</w:t>
      </w:r>
      <w:r>
        <w:rPr>
          <w:rFonts w:hint="eastAsia" w:ascii="仿宋" w:hAnsi="仿宋" w:eastAsia="仿宋" w:cs="仿宋"/>
          <w:spacing w:val="22"/>
          <w:sz w:val="31"/>
          <w:szCs w:val="31"/>
        </w:rPr>
        <w:t>和经济发展；</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23" w:rightChars="0" w:firstLine="641" w:firstLineChars="0"/>
        <w:jc w:val="left"/>
        <w:textAlignment w:val="baseline"/>
        <w:outlineLvl w:val="9"/>
        <w:rPr>
          <w:rFonts w:ascii="仿宋" w:hAnsi="仿宋" w:eastAsia="仿宋" w:cs="仿宋"/>
          <w:spacing w:val="22"/>
          <w:sz w:val="31"/>
          <w:szCs w:val="31"/>
        </w:rPr>
      </w:pPr>
      <w:r>
        <w:rPr>
          <w:rFonts w:hint="eastAsia" w:ascii="仿宋" w:hAnsi="仿宋" w:eastAsia="仿宋" w:cs="仿宋"/>
          <w:spacing w:val="22"/>
          <w:sz w:val="31"/>
          <w:szCs w:val="31"/>
        </w:rPr>
        <w:t xml:space="preserve">3.开展继续教育和技术培训工作，普及科学知识，开展科技宣传，推广先进实用技术，开展青少年科技教育活动；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23" w:rightChars="0" w:firstLine="641" w:firstLineChars="0"/>
        <w:jc w:val="left"/>
        <w:textAlignment w:val="baseline"/>
        <w:outlineLvl w:val="9"/>
        <w:rPr>
          <w:rFonts w:ascii="仿宋" w:hAnsi="仿宋" w:eastAsia="仿宋" w:cs="仿宋"/>
          <w:spacing w:val="22"/>
          <w:sz w:val="31"/>
          <w:szCs w:val="31"/>
        </w:rPr>
      </w:pPr>
      <w:r>
        <w:rPr>
          <w:rFonts w:hint="eastAsia" w:ascii="仿宋" w:hAnsi="仿宋" w:eastAsia="仿宋" w:cs="仿宋"/>
          <w:spacing w:val="22"/>
          <w:sz w:val="31"/>
          <w:szCs w:val="31"/>
        </w:rPr>
        <w:t>4.组织开展技术协作、技术咨询服务，接受委托承担科技项目评估、成果鉴定、农民技术职称评审等工作；</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23" w:rightChars="0" w:firstLine="641" w:firstLineChars="0"/>
        <w:jc w:val="left"/>
        <w:textAlignment w:val="baseline"/>
        <w:outlineLvl w:val="9"/>
        <w:rPr>
          <w:rFonts w:ascii="仿宋" w:hAnsi="仿宋" w:eastAsia="仿宋" w:cs="仿宋"/>
          <w:spacing w:val="22"/>
          <w:sz w:val="31"/>
          <w:szCs w:val="31"/>
        </w:rPr>
      </w:pPr>
      <w:r>
        <w:rPr>
          <w:rFonts w:hint="eastAsia" w:ascii="仿宋" w:hAnsi="仿宋" w:eastAsia="仿宋" w:cs="仿宋"/>
          <w:spacing w:val="22"/>
          <w:sz w:val="31"/>
          <w:szCs w:val="31"/>
        </w:rPr>
        <w:t>5.反映科技工作者的意见和要求，维护科技工作者的合法利益，推荐科技成果，表彰科技团体和科技人员；</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23" w:rightChars="0" w:firstLine="641" w:firstLineChars="0"/>
        <w:jc w:val="left"/>
        <w:textAlignment w:val="baseline"/>
        <w:outlineLvl w:val="9"/>
        <w:rPr>
          <w:rFonts w:ascii="仿宋" w:hAnsi="仿宋" w:eastAsia="仿宋" w:cs="仿宋"/>
          <w:spacing w:val="22"/>
          <w:sz w:val="31"/>
          <w:szCs w:val="31"/>
        </w:rPr>
      </w:pPr>
      <w:r>
        <w:rPr>
          <w:rFonts w:hint="eastAsia" w:ascii="仿宋" w:hAnsi="仿宋" w:eastAsia="仿宋" w:cs="仿宋"/>
          <w:spacing w:val="22"/>
          <w:sz w:val="31"/>
          <w:szCs w:val="31"/>
        </w:rPr>
        <w:t>6.指导厂矿企业和事业单位建立的基层科学技术协会，以及乡镇科学技术协会的业务工作；</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23" w:rightChars="0" w:firstLine="641" w:firstLineChars="0"/>
        <w:jc w:val="left"/>
        <w:textAlignment w:val="baseline"/>
        <w:outlineLvl w:val="9"/>
        <w:rPr>
          <w:rFonts w:ascii="仿宋" w:hAnsi="仿宋" w:eastAsia="仿宋" w:cs="仿宋"/>
          <w:spacing w:val="22"/>
          <w:sz w:val="31"/>
          <w:szCs w:val="31"/>
        </w:rPr>
      </w:pPr>
      <w:r>
        <w:rPr>
          <w:rFonts w:hint="eastAsia" w:ascii="仿宋" w:hAnsi="仿宋" w:eastAsia="仿宋" w:cs="仿宋"/>
          <w:spacing w:val="22"/>
          <w:sz w:val="31"/>
          <w:szCs w:val="31"/>
        </w:rPr>
        <w:t>7.组织兴办民间科学技术服务实体，促进民办科技服务事业的发展；</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23" w:rightChars="0" w:firstLine="641" w:firstLineChars="0"/>
        <w:jc w:val="left"/>
        <w:textAlignment w:val="baseline"/>
        <w:outlineLvl w:val="9"/>
        <w:rPr>
          <w:rFonts w:hint="eastAsia" w:ascii="仿宋" w:hAnsi="仿宋" w:eastAsia="仿宋" w:cs="仿宋"/>
          <w:spacing w:val="22"/>
          <w:sz w:val="31"/>
          <w:szCs w:val="31"/>
        </w:rPr>
      </w:pPr>
      <w:r>
        <w:rPr>
          <w:rFonts w:hint="eastAsia" w:ascii="仿宋" w:hAnsi="仿宋" w:eastAsia="仿宋" w:cs="仿宋"/>
          <w:spacing w:val="22"/>
          <w:sz w:val="31"/>
          <w:szCs w:val="31"/>
        </w:rPr>
        <w:t>8.负责全县对外学术科技交流和相关项目的组织实施。</w:t>
      </w:r>
    </w:p>
    <w:p>
      <w:pPr>
        <w:spacing w:before="128" w:line="223" w:lineRule="auto"/>
        <w:ind w:firstLine="660"/>
        <w:rPr>
          <w:rFonts w:ascii="楷体" w:hAnsi="楷体" w:eastAsia="楷体" w:cs="楷体"/>
          <w:sz w:val="31"/>
          <w:szCs w:val="31"/>
        </w:rPr>
      </w:pPr>
      <w:r>
        <w:rPr>
          <w:rFonts w:ascii="楷体" w:hAnsi="楷体" w:eastAsia="楷体" w:cs="楷体"/>
          <w:sz w:val="31"/>
          <w:szCs w:val="31"/>
          <w14:textOutline w14:w="5791" w14:cap="flat" w14:cmpd="sng">
            <w14:solidFill>
              <w14:srgbClr w14:val="000000"/>
            </w14:solidFill>
            <w14:prstDash w14:val="solid"/>
            <w14:miter w14:val="0"/>
          </w14:textOutline>
        </w:rPr>
        <w:t>（二</w:t>
      </w:r>
      <w:r>
        <w:rPr>
          <w:rFonts w:ascii="楷体" w:hAnsi="楷体" w:eastAsia="楷体" w:cs="楷体"/>
          <w:spacing w:val="-1"/>
          <w:sz w:val="31"/>
          <w:szCs w:val="31"/>
          <w14:textOutline w14:w="5791" w14:cap="flat" w14:cmpd="sng">
            <w14:solidFill>
              <w14:srgbClr w14:val="000000"/>
            </w14:solidFill>
            <w14:prstDash w14:val="solid"/>
            <w14:miter w14:val="0"/>
          </w14:textOutline>
        </w:rPr>
        <w:t>）</w:t>
      </w:r>
      <w:r>
        <w:rPr>
          <w:rFonts w:ascii="楷体" w:hAnsi="楷体" w:eastAsia="楷体" w:cs="楷体"/>
          <w:spacing w:val="-139"/>
          <w:sz w:val="31"/>
          <w:szCs w:val="31"/>
        </w:rPr>
        <w:t xml:space="preserve"> </w:t>
      </w:r>
      <w:r>
        <w:rPr>
          <w:rFonts w:ascii="楷体" w:hAnsi="楷体" w:eastAsia="楷体" w:cs="楷体"/>
          <w:sz w:val="31"/>
          <w:szCs w:val="31"/>
          <w14:textOutline w14:w="5791" w14:cap="flat" w14:cmpd="sng">
            <w14:solidFill>
              <w14:srgbClr w14:val="000000"/>
            </w14:solidFill>
            <w14:prstDash w14:val="solid"/>
            <w14:miter w14:val="0"/>
          </w14:textOutline>
        </w:rPr>
        <w:t>内设机构。</w:t>
      </w:r>
    </w:p>
    <w:p>
      <w:pPr>
        <w:widowControl/>
        <w:ind w:firstLine="640" w:firstLineChars="200"/>
        <w:jc w:val="left"/>
        <w:rPr>
          <w:rFonts w:hint="eastAsia" w:ascii="仿宋_GB2312" w:hAnsi="仿宋_GB2312" w:eastAsia="仿宋_GB2312" w:cs="仿宋_GB2312"/>
          <w:color w:val="000000"/>
          <w:kern w:val="0"/>
          <w:sz w:val="32"/>
          <w:szCs w:val="32"/>
          <w:lang w:bidi="ar"/>
        </w:rPr>
      </w:pPr>
    </w:p>
    <w:p>
      <w:pPr>
        <w:widowControl/>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县科协内设2个股室。即办公室、业务股。</w:t>
      </w:r>
    </w:p>
    <w:p>
      <w:pPr>
        <w:spacing w:line="358" w:lineRule="auto"/>
        <w:rPr>
          <w:rFonts w:ascii="Arial"/>
          <w:sz w:val="21"/>
        </w:rPr>
      </w:pPr>
    </w:p>
    <w:p>
      <w:pPr>
        <w:spacing w:line="359" w:lineRule="auto"/>
        <w:rPr>
          <w:rFonts w:ascii="Arial"/>
          <w:sz w:val="21"/>
        </w:rPr>
      </w:pPr>
    </w:p>
    <w:p>
      <w:pPr>
        <w:spacing w:before="101" w:line="224" w:lineRule="auto"/>
        <w:ind w:firstLine="771"/>
        <w:rPr>
          <w:rFonts w:ascii="黑体" w:hAnsi="黑体" w:eastAsia="黑体" w:cs="黑体"/>
          <w:sz w:val="31"/>
          <w:szCs w:val="31"/>
        </w:rPr>
      </w:pPr>
      <w:r>
        <w:rPr>
          <w:rFonts w:ascii="黑体" w:hAnsi="黑体" w:eastAsia="黑体" w:cs="黑体"/>
          <w:sz w:val="31"/>
          <w:szCs w:val="31"/>
        </w:rPr>
        <w:t>二</w:t>
      </w:r>
      <w:r>
        <w:rPr>
          <w:rFonts w:ascii="黑体" w:hAnsi="黑体" w:eastAsia="黑体" w:cs="黑体"/>
          <w:spacing w:val="-1"/>
          <w:sz w:val="31"/>
          <w:szCs w:val="31"/>
        </w:rPr>
        <w:t>、</w:t>
      </w:r>
      <w:r>
        <w:rPr>
          <w:rFonts w:ascii="黑体" w:hAnsi="黑体" w:eastAsia="黑体" w:cs="黑体"/>
          <w:spacing w:val="-73"/>
          <w:sz w:val="31"/>
          <w:szCs w:val="31"/>
        </w:rPr>
        <w:t xml:space="preserve"> </w:t>
      </w:r>
      <w:r>
        <w:rPr>
          <w:rFonts w:ascii="黑体" w:hAnsi="黑体" w:eastAsia="黑体" w:cs="黑体"/>
          <w:sz w:val="31"/>
          <w:szCs w:val="31"/>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年本部门决算编制范围的单位共1个，无所属</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p>
    <w:tbl>
      <w:tblPr>
        <w:tblStyle w:val="6"/>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widowControl w:val="0"/>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widowControl w:val="0"/>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widowControl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widowControl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镇坪县科学技术协会部门本级（机关）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widowControl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widowControl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widowControl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278" w:type="dxa"/>
            <w:vAlign w:val="center"/>
          </w:tcPr>
          <w:p>
            <w:pPr>
              <w:widowControl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widowControl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7278" w:type="dxa"/>
            <w:vAlign w:val="center"/>
          </w:tcPr>
          <w:p>
            <w:pPr>
              <w:widowControl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r>
    </w:tbl>
    <w:p>
      <w:pPr>
        <w:ind w:firstLine="640"/>
        <w:rPr>
          <w:rFonts w:ascii="仿宋_GB2312" w:hAnsi="仿宋_GB2312" w:eastAsia="仿宋_GB2312" w:cs="仿宋_GB2312"/>
          <w:sz w:val="32"/>
          <w:szCs w:val="32"/>
        </w:rPr>
      </w:pPr>
    </w:p>
    <w:p>
      <w:pPr>
        <w:spacing w:before="154" w:line="224" w:lineRule="auto"/>
        <w:ind w:firstLine="774"/>
        <w:outlineLvl w:val="0"/>
        <w:rPr>
          <w:rFonts w:ascii="黑体" w:hAnsi="黑体" w:eastAsia="黑体" w:cs="黑体"/>
          <w:sz w:val="31"/>
          <w:szCs w:val="31"/>
        </w:rPr>
      </w:pPr>
      <w:r>
        <w:rPr>
          <w:rFonts w:ascii="黑体" w:hAnsi="黑体" w:eastAsia="黑体" w:cs="黑体"/>
          <w:spacing w:val="9"/>
          <w:sz w:val="31"/>
          <w:szCs w:val="31"/>
          <w14:textOutline w14:w="5791" w14:cap="flat" w14:cmpd="sng">
            <w14:solidFill>
              <w14:srgbClr w14:val="000000"/>
            </w14:solidFill>
            <w14:prstDash w14:val="solid"/>
            <w14:miter w14:val="0"/>
          </w14:textOutline>
        </w:rPr>
        <w:t>三</w:t>
      </w:r>
      <w:r>
        <w:rPr>
          <w:rFonts w:ascii="黑体" w:hAnsi="黑体" w:eastAsia="黑体" w:cs="黑体"/>
          <w:spacing w:val="10"/>
          <w:sz w:val="31"/>
          <w:szCs w:val="31"/>
          <w14:textOutline w14:w="5791" w14:cap="flat" w14:cmpd="sng">
            <w14:solidFill>
              <w14:srgbClr w14:val="000000"/>
            </w14:solidFill>
            <w14:prstDash w14:val="solid"/>
            <w14:miter w14:val="0"/>
          </w14:textOutline>
        </w:rPr>
        <w:t>、</w:t>
      </w:r>
      <w:r>
        <w:rPr>
          <w:rFonts w:ascii="黑体" w:hAnsi="黑体" w:eastAsia="黑体" w:cs="黑体"/>
          <w:spacing w:val="9"/>
          <w:sz w:val="31"/>
          <w:szCs w:val="31"/>
          <w14:textOutline w14:w="5791" w14:cap="flat" w14:cmpd="sng">
            <w14:solidFill>
              <w14:srgbClr w14:val="000000"/>
            </w14:solidFill>
            <w14:prstDash w14:val="solid"/>
            <w14:miter w14:val="0"/>
          </w14:textOutline>
        </w:rPr>
        <w:t>部</w:t>
      </w:r>
      <w:r>
        <w:rPr>
          <w:rFonts w:ascii="黑体" w:hAnsi="黑体" w:eastAsia="黑体" w:cs="黑体"/>
          <w:spacing w:val="8"/>
          <w:sz w:val="31"/>
          <w:szCs w:val="31"/>
          <w14:textOutline w14:w="5791" w14:cap="flat" w14:cmpd="sng">
            <w14:solidFill>
              <w14:srgbClr w14:val="000000"/>
            </w14:solidFill>
            <w14:prstDash w14:val="solid"/>
            <w14:miter w14:val="0"/>
          </w14:textOutline>
        </w:rPr>
        <w:t>门人员情况</w:t>
      </w:r>
    </w:p>
    <w:p>
      <w:pPr>
        <w:spacing w:before="254" w:line="380" w:lineRule="auto"/>
        <w:ind w:left="127" w:right="30" w:firstLine="643"/>
        <w:rPr>
          <w:rFonts w:ascii="仿宋" w:hAnsi="仿宋" w:eastAsia="仿宋" w:cs="仿宋"/>
          <w:spacing w:val="-57"/>
          <w:sz w:val="31"/>
          <w:szCs w:val="31"/>
        </w:rPr>
      </w:pPr>
      <w:r>
        <w:rPr>
          <w:rFonts w:ascii="仿宋" w:hAnsi="仿宋" w:eastAsia="仿宋" w:cs="仿宋"/>
          <w:sz w:val="31"/>
          <w:szCs w:val="31"/>
        </w:rPr>
        <w:t>截止</w:t>
      </w:r>
      <w:r>
        <w:rPr>
          <w:rFonts w:ascii="仿宋" w:hAnsi="仿宋" w:eastAsia="仿宋" w:cs="仿宋"/>
          <w:spacing w:val="-1"/>
          <w:sz w:val="31"/>
          <w:szCs w:val="31"/>
        </w:rPr>
        <w:t xml:space="preserve"> </w:t>
      </w:r>
      <w:r>
        <w:rPr>
          <w:rFonts w:ascii="仿宋" w:hAnsi="仿宋" w:eastAsia="仿宋" w:cs="仿宋"/>
          <w:sz w:val="31"/>
          <w:szCs w:val="31"/>
        </w:rPr>
        <w:t>202</w:t>
      </w:r>
      <w:r>
        <w:rPr>
          <w:rFonts w:hint="eastAsia" w:ascii="仿宋" w:hAnsi="仿宋" w:eastAsia="仿宋" w:cs="仿宋"/>
          <w:sz w:val="31"/>
          <w:szCs w:val="31"/>
          <w:lang w:val="en-US" w:eastAsia="zh-CN"/>
        </w:rPr>
        <w:t>1</w:t>
      </w:r>
      <w:r>
        <w:rPr>
          <w:rFonts w:ascii="仿宋" w:hAnsi="仿宋" w:eastAsia="仿宋" w:cs="仿宋"/>
          <w:sz w:val="31"/>
          <w:szCs w:val="31"/>
        </w:rPr>
        <w:t>年底</w:t>
      </w:r>
      <w:r>
        <w:rPr>
          <w:rFonts w:ascii="仿宋" w:hAnsi="仿宋" w:eastAsia="仿宋" w:cs="仿宋"/>
          <w:spacing w:val="-89"/>
          <w:sz w:val="31"/>
          <w:szCs w:val="31"/>
        </w:rPr>
        <w:t>，</w:t>
      </w:r>
      <w:r>
        <w:rPr>
          <w:rFonts w:ascii="仿宋" w:hAnsi="仿宋" w:eastAsia="仿宋" w:cs="仿宋"/>
          <w:spacing w:val="-155"/>
          <w:sz w:val="31"/>
          <w:szCs w:val="31"/>
        </w:rPr>
        <w:t xml:space="preserve"> </w:t>
      </w:r>
      <w:r>
        <w:rPr>
          <w:rFonts w:ascii="仿宋" w:hAnsi="仿宋" w:eastAsia="仿宋" w:cs="仿宋"/>
          <w:sz w:val="31"/>
          <w:szCs w:val="31"/>
        </w:rPr>
        <w:t xml:space="preserve">本部门人员编制 </w:t>
      </w:r>
      <w:r>
        <w:rPr>
          <w:rFonts w:hint="eastAsia" w:ascii="仿宋" w:hAnsi="仿宋" w:eastAsia="仿宋" w:cs="仿宋"/>
          <w:sz w:val="31"/>
          <w:szCs w:val="31"/>
          <w:lang w:val="en-US" w:eastAsia="zh-CN"/>
        </w:rPr>
        <w:t>3</w:t>
      </w:r>
      <w:r>
        <w:rPr>
          <w:rFonts w:ascii="仿宋" w:hAnsi="仿宋" w:eastAsia="仿宋" w:cs="仿宋"/>
          <w:sz w:val="31"/>
          <w:szCs w:val="31"/>
        </w:rPr>
        <w:t>人</w:t>
      </w:r>
      <w:r>
        <w:rPr>
          <w:rFonts w:ascii="仿宋" w:hAnsi="仿宋" w:eastAsia="仿宋" w:cs="仿宋"/>
          <w:spacing w:val="-89"/>
          <w:sz w:val="31"/>
          <w:szCs w:val="31"/>
        </w:rPr>
        <w:t>，</w:t>
      </w:r>
      <w:r>
        <w:rPr>
          <w:rFonts w:ascii="仿宋" w:hAnsi="仿宋" w:eastAsia="仿宋" w:cs="仿宋"/>
          <w:spacing w:val="-155"/>
          <w:sz w:val="31"/>
          <w:szCs w:val="31"/>
        </w:rPr>
        <w:t xml:space="preserve"> </w:t>
      </w:r>
      <w:r>
        <w:rPr>
          <w:rFonts w:ascii="仿宋" w:hAnsi="仿宋" w:eastAsia="仿宋" w:cs="仿宋"/>
          <w:sz w:val="31"/>
          <w:szCs w:val="31"/>
        </w:rPr>
        <w:t>其中事业编制</w:t>
      </w:r>
      <w:r>
        <w:rPr>
          <w:rFonts w:ascii="仿宋" w:hAnsi="仿宋" w:eastAsia="仿宋" w:cs="仿宋"/>
          <w:spacing w:val="-1"/>
          <w:sz w:val="31"/>
          <w:szCs w:val="31"/>
        </w:rPr>
        <w:t xml:space="preserve"> </w:t>
      </w:r>
      <w:r>
        <w:rPr>
          <w:rFonts w:hint="eastAsia" w:ascii="仿宋" w:hAnsi="仿宋" w:eastAsia="仿宋" w:cs="仿宋"/>
          <w:sz w:val="31"/>
          <w:szCs w:val="31"/>
          <w:lang w:val="en-US" w:eastAsia="zh-CN"/>
        </w:rPr>
        <w:t>3</w:t>
      </w:r>
      <w:r>
        <w:rPr>
          <w:rFonts w:ascii="仿宋" w:hAnsi="仿宋" w:eastAsia="仿宋" w:cs="仿宋"/>
          <w:sz w:val="31"/>
          <w:szCs w:val="31"/>
        </w:rPr>
        <w:t>人</w:t>
      </w:r>
      <w:r>
        <w:rPr>
          <w:rFonts w:ascii="仿宋" w:hAnsi="仿宋" w:eastAsia="仿宋" w:cs="仿宋"/>
          <w:spacing w:val="-9"/>
          <w:sz w:val="31"/>
          <w:szCs w:val="31"/>
        </w:rPr>
        <w:t>；</w:t>
      </w:r>
      <w:r>
        <w:rPr>
          <w:rFonts w:ascii="仿宋" w:hAnsi="仿宋" w:eastAsia="仿宋" w:cs="仿宋"/>
          <w:sz w:val="31"/>
          <w:szCs w:val="31"/>
        </w:rPr>
        <w:t>实有人员</w:t>
      </w:r>
      <w:r>
        <w:rPr>
          <w:rFonts w:hint="eastAsia" w:ascii="仿宋" w:hAnsi="仿宋" w:eastAsia="仿宋" w:cs="仿宋"/>
          <w:sz w:val="31"/>
          <w:szCs w:val="31"/>
          <w:lang w:val="en-US" w:eastAsia="zh-CN"/>
        </w:rPr>
        <w:t>3</w:t>
      </w:r>
      <w:r>
        <w:rPr>
          <w:rFonts w:ascii="仿宋" w:hAnsi="仿宋" w:eastAsia="仿宋" w:cs="仿宋"/>
          <w:sz w:val="31"/>
          <w:szCs w:val="31"/>
        </w:rPr>
        <w:t>人</w:t>
      </w:r>
      <w:r>
        <w:rPr>
          <w:rFonts w:ascii="仿宋" w:hAnsi="仿宋" w:eastAsia="仿宋" w:cs="仿宋"/>
          <w:spacing w:val="-57"/>
          <w:sz w:val="31"/>
          <w:szCs w:val="31"/>
        </w:rPr>
        <w:t>。</w:t>
      </w:r>
      <w:r>
        <w:rPr>
          <w:rFonts w:ascii="仿宋" w:hAnsi="仿宋" w:eastAsia="仿宋" w:cs="仿宋"/>
          <w:sz w:val="31"/>
          <w:szCs w:val="31"/>
        </w:rPr>
        <w:t>单位管理的离退休人员</w:t>
      </w:r>
      <w:r>
        <w:rPr>
          <w:rFonts w:ascii="仿宋" w:hAnsi="仿宋" w:eastAsia="仿宋" w:cs="仿宋"/>
          <w:spacing w:val="-1"/>
          <w:sz w:val="31"/>
          <w:szCs w:val="31"/>
        </w:rPr>
        <w:t xml:space="preserve"> </w:t>
      </w:r>
      <w:r>
        <w:rPr>
          <w:rFonts w:hint="eastAsia" w:ascii="仿宋" w:hAnsi="仿宋" w:eastAsia="仿宋" w:cs="仿宋"/>
          <w:sz w:val="31"/>
          <w:szCs w:val="31"/>
          <w:lang w:val="en-US" w:eastAsia="zh-CN"/>
        </w:rPr>
        <w:t>1</w:t>
      </w:r>
      <w:r>
        <w:rPr>
          <w:rFonts w:ascii="仿宋" w:hAnsi="仿宋" w:eastAsia="仿宋" w:cs="仿宋"/>
          <w:sz w:val="31"/>
          <w:szCs w:val="31"/>
        </w:rPr>
        <w:t>人</w:t>
      </w:r>
      <w:r>
        <w:rPr>
          <w:rFonts w:ascii="仿宋" w:hAnsi="仿宋" w:eastAsia="仿宋" w:cs="仿宋"/>
          <w:spacing w:val="-57"/>
          <w:sz w:val="31"/>
          <w:szCs w:val="31"/>
        </w:rPr>
        <w:t>。</w:t>
      </w:r>
    </w:p>
    <w:p>
      <w:pPr>
        <w:spacing w:before="254" w:line="380" w:lineRule="auto"/>
        <w:ind w:left="127" w:right="30" w:firstLine="643"/>
        <w:rPr>
          <w:rFonts w:hint="eastAsia" w:ascii="仿宋" w:hAnsi="仿宋" w:eastAsia="仿宋" w:cs="仿宋"/>
          <w:spacing w:val="-57"/>
          <w:sz w:val="31"/>
          <w:szCs w:val="31"/>
          <w:lang w:eastAsia="zh-CN"/>
        </w:rPr>
      </w:pPr>
      <w:r>
        <w:rPr>
          <w:rFonts w:hint="eastAsia" w:ascii="仿宋" w:hAnsi="仿宋" w:eastAsia="仿宋" w:cs="仿宋"/>
          <w:spacing w:val="-57"/>
          <w:sz w:val="31"/>
          <w:szCs w:val="31"/>
          <w:lang w:eastAsia="zh-CN"/>
        </w:rPr>
        <w:drawing>
          <wp:inline distT="0" distB="0" distL="114300" distR="114300">
            <wp:extent cx="5083175" cy="2308860"/>
            <wp:effectExtent l="0" t="0" r="3175" b="15240"/>
            <wp:docPr id="35" name="图片 35" descr="20180703155816_88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5" name="图片 35" descr="20180703155816_8801"/>
                    <pic:cNvPicPr>
                      <a:picLocks noChangeAspect="true"/>
                    </pic:cNvPicPr>
                  </pic:nvPicPr>
                  <pic:blipFill>
                    <a:blip r:embed="rId9"/>
                    <a:stretch>
                      <a:fillRect/>
                    </a:stretch>
                  </pic:blipFill>
                  <pic:spPr>
                    <a:xfrm>
                      <a:off x="0" y="0"/>
                      <a:ext cx="5083175" cy="2308860"/>
                    </a:xfrm>
                    <a:prstGeom prst="rect">
                      <a:avLst/>
                    </a:prstGeom>
                  </pic:spPr>
                </pic:pic>
              </a:graphicData>
            </a:graphic>
          </wp:inline>
        </w:drawing>
      </w:r>
    </w:p>
    <w:p>
      <w:pPr>
        <w:rPr>
          <w:rFonts w:ascii="Arial"/>
          <w:sz w:val="21"/>
        </w:rPr>
      </w:pPr>
    </w:p>
    <w:p>
      <w:pPr>
        <w:rPr>
          <w:rFonts w:ascii="Arial"/>
          <w:sz w:val="21"/>
        </w:rPr>
      </w:pPr>
    </w:p>
    <w:p>
      <w:pPr>
        <w:sectPr>
          <w:footerReference r:id="rId7" w:type="default"/>
          <w:pgSz w:w="11907" w:h="16839"/>
          <w:pgMar w:top="1431" w:right="1785" w:bottom="1100" w:left="1785" w:header="0" w:footer="783" w:gutter="0"/>
          <w:cols w:space="720" w:num="1"/>
        </w:sect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widowControl/>
        <w:jc w:val="both"/>
        <w:rPr>
          <w:sz w:val="44"/>
          <w:szCs w:val="44"/>
        </w:rPr>
      </w:pPr>
      <w:r>
        <w:rPr>
          <w:rFonts w:hint="eastAsia" w:ascii="黑体" w:hAnsi="宋体" w:eastAsia="黑体"/>
          <w:color w:val="000000"/>
          <w:kern w:val="0"/>
          <w:sz w:val="44"/>
          <w:szCs w:val="44"/>
          <w:lang w:val="en-US" w:eastAsia="zh-CN" w:bidi="ar"/>
        </w:rPr>
        <w:t xml:space="preserve">        </w:t>
      </w:r>
      <w:r>
        <w:rPr>
          <w:rFonts w:ascii="黑体" w:hAnsi="宋体" w:eastAsia="黑体"/>
          <w:color w:val="000000"/>
          <w:kern w:val="0"/>
          <w:sz w:val="44"/>
          <w:szCs w:val="44"/>
          <w:lang w:bidi="ar"/>
        </w:rPr>
        <w:t>第二部分 20</w:t>
      </w:r>
      <w:r>
        <w:rPr>
          <w:rFonts w:hint="eastAsia" w:ascii="黑体" w:hAnsi="宋体" w:eastAsia="黑体"/>
          <w:color w:val="000000"/>
          <w:kern w:val="0"/>
          <w:sz w:val="44"/>
          <w:szCs w:val="44"/>
          <w:lang w:val="en-US" w:eastAsia="zh-CN" w:bidi="ar"/>
        </w:rPr>
        <w:t>21</w:t>
      </w:r>
      <w:r>
        <w:rPr>
          <w:rFonts w:ascii="黑体" w:hAnsi="宋体" w:eastAsia="黑体"/>
          <w:color w:val="000000"/>
          <w:kern w:val="0"/>
          <w:sz w:val="44"/>
          <w:szCs w:val="44"/>
          <w:lang w:bidi="ar"/>
        </w:rPr>
        <w:t>年度部门决算表</w:t>
      </w:r>
    </w:p>
    <w:tbl>
      <w:tblPr>
        <w:tblStyle w:val="5"/>
        <w:tblpPr w:leftFromText="180" w:rightFromText="180" w:vertAnchor="text" w:horzAnchor="page" w:tblpX="2057" w:tblpY="255"/>
        <w:tblOverlap w:val="never"/>
        <w:tblW w:w="8390" w:type="dxa"/>
        <w:jc w:val="center"/>
        <w:tblLayout w:type="fixed"/>
        <w:tblCellMar>
          <w:top w:w="0" w:type="dxa"/>
          <w:left w:w="0" w:type="dxa"/>
          <w:bottom w:w="0" w:type="dxa"/>
          <w:right w:w="0" w:type="dxa"/>
        </w:tblCellMar>
      </w:tblPr>
      <w:tblGrid>
        <w:gridCol w:w="1116"/>
        <w:gridCol w:w="3618"/>
        <w:gridCol w:w="921"/>
        <w:gridCol w:w="2735"/>
      </w:tblGrid>
      <w:tr>
        <w:tblPrEx>
          <w:tblCellMar>
            <w:top w:w="0" w:type="dxa"/>
            <w:left w:w="0" w:type="dxa"/>
            <w:bottom w:w="0" w:type="dxa"/>
            <w:right w:w="0" w:type="dxa"/>
          </w:tblCellMar>
        </w:tblPrEx>
        <w:trPr>
          <w:trHeight w:val="819"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3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807" w:hRule="exac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3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right="17" w:rightChars="8"/>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07" w:hRule="exac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3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07" w:hRule="exac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3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07" w:hRule="exac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3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932" w:hRule="exac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3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932" w:hRule="exac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3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932" w:hRule="exact"/>
          <w:jc w:val="center"/>
        </w:trPr>
        <w:tc>
          <w:tcPr>
            <w:tcW w:w="11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36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9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2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976" w:hRule="exac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3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val="en-US" w:eastAsia="zh-CN" w:bidi="ar"/>
              </w:rPr>
              <w:t>本部门无政府性基金预算拨款收支。</w:t>
            </w: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color w:val="000000"/>
                <w:sz w:val="24"/>
              </w:rPr>
            </w:pPr>
          </w:p>
        </w:tc>
      </w:tr>
    </w:tbl>
    <w:p>
      <w:pPr>
        <w:widowControl/>
        <w:rPr>
          <w:rFonts w:hint="eastAsia" w:ascii="仿宋_GB2312" w:hAnsi="仿宋_GB2312" w:eastAsia="仿宋_GB2312" w:cs="仿宋_GB2312"/>
          <w:color w:val="000000"/>
          <w:kern w:val="0"/>
          <w:sz w:val="28"/>
          <w:szCs w:val="28"/>
          <w:lang w:eastAsia="zh-CN" w:bidi="ar"/>
        </w:rPr>
      </w:pPr>
    </w:p>
    <w:p>
      <w:pPr>
        <w:widowControl/>
        <w:rPr>
          <w:rFonts w:hint="eastAsia" w:ascii="仿宋_GB2312" w:hAnsi="仿宋_GB2312" w:eastAsia="仿宋_GB2312" w:cs="仿宋_GB2312"/>
          <w:color w:val="000000"/>
          <w:kern w:val="0"/>
          <w:sz w:val="28"/>
          <w:szCs w:val="28"/>
          <w:lang w:eastAsia="zh-CN" w:bidi="ar"/>
        </w:rPr>
      </w:pPr>
    </w:p>
    <w:p>
      <w:pPr>
        <w:widowControl/>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注：若表</w:t>
      </w:r>
      <w:r>
        <w:rPr>
          <w:rFonts w:hint="eastAsia" w:ascii="仿宋_GB2312" w:hAnsi="仿宋_GB2312" w:eastAsia="仿宋_GB2312" w:cs="仿宋_GB2312"/>
          <w:color w:val="000000"/>
          <w:kern w:val="0"/>
          <w:sz w:val="28"/>
          <w:szCs w:val="28"/>
          <w:lang w:val="en-US" w:eastAsia="zh-CN" w:bidi="ar"/>
        </w:rPr>
        <w:t>8无数据，需在是否空表中填“是”；理由：本部门无政府性基金预算拨款收支。</w:t>
      </w:r>
    </w:p>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镇坪县科学技术协会（本级）</w:t>
      </w:r>
      <w:r>
        <w:rPr>
          <w:rFonts w:hint="eastAsia" w:ascii="宋体" w:hAnsi="宋体" w:cs="宋体"/>
          <w:b/>
          <w:bCs/>
          <w:szCs w:val="21"/>
        </w:rPr>
        <w:t xml:space="preserve">                                金额单位：万元</w:t>
      </w:r>
    </w:p>
    <w:tbl>
      <w:tblPr>
        <w:tblStyle w:val="5"/>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47.87</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 xml:space="preserve">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Cs w:val="21"/>
                <w:lang w:val="en-US"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94.57</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62.00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w:t>
            </w:r>
            <w:r>
              <w:rPr>
                <w:rFonts w:hint="eastAsia" w:ascii="宋体" w:hAnsi="宋体" w:cs="宋体"/>
                <w:color w:val="000000"/>
                <w:kern w:val="0"/>
                <w:szCs w:val="21"/>
                <w:lang w:eastAsia="zh-CN"/>
              </w:rPr>
              <w:t>自然资源</w:t>
            </w:r>
            <w:r>
              <w:rPr>
                <w:rFonts w:hint="eastAsia" w:ascii="宋体" w:hAnsi="宋体" w:cs="宋体"/>
                <w:color w:val="000000"/>
                <w:kern w:val="0"/>
                <w:szCs w:val="21"/>
              </w:rPr>
              <w:t>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21、</w:t>
            </w:r>
            <w:r>
              <w:rPr>
                <w:rFonts w:hint="eastAsia" w:ascii="宋体" w:hAnsi="宋体" w:cs="宋体"/>
                <w:color w:val="000000"/>
                <w:kern w:val="0"/>
                <w:szCs w:val="21"/>
                <w:lang w:eastAsia="zh-CN"/>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lang w:val="en-US" w:eastAsia="zh-CN"/>
              </w:rPr>
              <w:t>109.87</w:t>
            </w:r>
            <w:r>
              <w:rPr>
                <w:rFonts w:hint="eastAsia" w:ascii="宋体" w:hAnsi="宋体" w:cs="宋体"/>
                <w:color w:val="000000"/>
                <w:kern w:val="0"/>
                <w:szCs w:val="21"/>
              </w:rPr>
              <w:t xml:space="preserve">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94.57</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61.96</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77.26</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171.83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171.83</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eastAsia="zh-CN"/>
        </w:rPr>
        <w:t>镇坪县科学技术协会（本级）</w:t>
      </w:r>
      <w:r>
        <w:rPr>
          <w:rFonts w:hint="eastAsia" w:ascii="宋体" w:hAnsi="宋体" w:cs="宋体"/>
          <w:b/>
          <w:bCs/>
          <w:szCs w:val="21"/>
        </w:rPr>
        <w:t xml:space="preserve">                             金额单位：万元</w:t>
      </w:r>
    </w:p>
    <w:tbl>
      <w:tblPr>
        <w:tblStyle w:val="5"/>
        <w:tblW w:w="9918" w:type="dxa"/>
        <w:tblInd w:w="0" w:type="dxa"/>
        <w:tblLayout w:type="fixed"/>
        <w:tblCellMar>
          <w:top w:w="15" w:type="dxa"/>
          <w:left w:w="15" w:type="dxa"/>
          <w:bottom w:w="15" w:type="dxa"/>
          <w:right w:w="15" w:type="dxa"/>
        </w:tblCellMar>
      </w:tblPr>
      <w:tblGrid>
        <w:gridCol w:w="927"/>
        <w:gridCol w:w="1776"/>
        <w:gridCol w:w="1065"/>
        <w:gridCol w:w="555"/>
        <w:gridCol w:w="765"/>
        <w:gridCol w:w="705"/>
        <w:gridCol w:w="1500"/>
        <w:gridCol w:w="765"/>
        <w:gridCol w:w="1005"/>
        <w:gridCol w:w="855"/>
      </w:tblGrid>
      <w:tr>
        <w:tblPrEx>
          <w:tblCellMar>
            <w:top w:w="15" w:type="dxa"/>
            <w:left w:w="15" w:type="dxa"/>
            <w:bottom w:w="15" w:type="dxa"/>
            <w:right w:w="15" w:type="dxa"/>
          </w:tblCellMar>
        </w:tblPrEx>
        <w:trPr>
          <w:trHeight w:val="439" w:hRule="atLeast"/>
        </w:trPr>
        <w:tc>
          <w:tcPr>
            <w:tcW w:w="27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10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10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780"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776"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其中：教育费</w:t>
            </w: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27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109.87</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47.87</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0.00　</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62.00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lang w:val="en-US" w:eastAsia="zh-CN"/>
              </w:rPr>
            </w:pPr>
            <w:r>
              <w:rPr>
                <w:rFonts w:hint="eastAsia" w:ascii="宋体" w:hAnsi="宋体" w:eastAsia="宋体" w:cs="宋体"/>
                <w:i w:val="0"/>
                <w:snapToGrid w:val="0"/>
                <w:color w:val="000000"/>
                <w:kern w:val="0"/>
                <w:sz w:val="22"/>
                <w:szCs w:val="22"/>
                <w:u w:val="none"/>
                <w:lang w:val="en-US" w:eastAsia="zh-CN" w:bidi="ar"/>
              </w:rPr>
              <w:t>206</w:t>
            </w: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lang w:eastAsia="zh-CN"/>
              </w:rPr>
            </w:pPr>
            <w:r>
              <w:rPr>
                <w:rFonts w:hint="eastAsia" w:ascii="宋体" w:hAnsi="宋体" w:eastAsia="宋体" w:cs="宋体"/>
                <w:i w:val="0"/>
                <w:snapToGrid w:val="0"/>
                <w:color w:val="000000"/>
                <w:kern w:val="0"/>
                <w:sz w:val="22"/>
                <w:szCs w:val="22"/>
                <w:u w:val="none"/>
                <w:lang w:val="en-US" w:eastAsia="zh-CN" w:bidi="ar"/>
              </w:rPr>
              <w:t>科学技术支出</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lang w:val="en-US" w:eastAsia="zh-CN"/>
              </w:rPr>
            </w:pPr>
            <w:r>
              <w:rPr>
                <w:rFonts w:hint="eastAsia" w:ascii="宋体" w:hAnsi="宋体" w:eastAsia="宋体" w:cs="宋体"/>
                <w:i w:val="0"/>
                <w:snapToGrid w:val="0"/>
                <w:color w:val="000000"/>
                <w:kern w:val="0"/>
                <w:sz w:val="21"/>
                <w:szCs w:val="21"/>
                <w:u w:val="none"/>
                <w:lang w:val="en-US" w:eastAsia="zh-CN" w:bidi="ar"/>
              </w:rPr>
              <w:t>109.87</w:t>
            </w: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lang w:val="en-US" w:eastAsia="zh-CN"/>
              </w:rPr>
            </w:pPr>
            <w:r>
              <w:rPr>
                <w:rFonts w:hint="eastAsia" w:ascii="宋体" w:hAnsi="宋体" w:eastAsia="宋体" w:cs="宋体"/>
                <w:i w:val="0"/>
                <w:snapToGrid w:val="0"/>
                <w:color w:val="000000"/>
                <w:kern w:val="0"/>
                <w:sz w:val="21"/>
                <w:szCs w:val="21"/>
                <w:u w:val="none"/>
                <w:lang w:val="en-US" w:eastAsia="zh-CN" w:bidi="ar"/>
              </w:rPr>
              <w:t>47.87</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lang w:val="en-US" w:eastAsia="zh-CN"/>
              </w:rPr>
            </w:pPr>
            <w:r>
              <w:rPr>
                <w:rFonts w:hint="eastAsia" w:ascii="宋体" w:hAnsi="宋体" w:eastAsia="宋体" w:cs="宋体"/>
                <w:i w:val="0"/>
                <w:snapToGrid w:val="0"/>
                <w:color w:val="000000"/>
                <w:kern w:val="0"/>
                <w:sz w:val="21"/>
                <w:szCs w:val="21"/>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lang w:val="en-US" w:eastAsia="zh-CN"/>
              </w:rPr>
            </w:pPr>
            <w:r>
              <w:rPr>
                <w:rFonts w:hint="eastAsia" w:ascii="宋体" w:hAnsi="宋体" w:eastAsia="宋体" w:cs="宋体"/>
                <w:i w:val="0"/>
                <w:snapToGrid w:val="0"/>
                <w:color w:val="000000"/>
                <w:kern w:val="0"/>
                <w:sz w:val="21"/>
                <w:szCs w:val="21"/>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snapToGrid w:val="0"/>
                <w:color w:val="000000"/>
                <w:kern w:val="0"/>
                <w:sz w:val="21"/>
                <w:szCs w:val="21"/>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snapToGrid w:val="0"/>
                <w:color w:val="000000"/>
                <w:kern w:val="0"/>
                <w:sz w:val="21"/>
                <w:szCs w:val="21"/>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snapToGrid w:val="0"/>
                <w:color w:val="000000"/>
                <w:kern w:val="0"/>
                <w:sz w:val="21"/>
                <w:szCs w:val="21"/>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snapToGrid w:val="0"/>
                <w:color w:val="000000"/>
                <w:kern w:val="0"/>
                <w:sz w:val="21"/>
                <w:szCs w:val="21"/>
                <w:u w:val="none"/>
                <w:lang w:val="en-US" w:eastAsia="zh-CN" w:bidi="ar"/>
              </w:rPr>
              <w:t>62.00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lang w:val="en-US" w:eastAsia="zh-CN"/>
              </w:rPr>
            </w:pPr>
            <w:r>
              <w:rPr>
                <w:rFonts w:hint="eastAsia" w:ascii="宋体" w:hAnsi="宋体" w:eastAsia="宋体" w:cs="宋体"/>
                <w:i w:val="0"/>
                <w:snapToGrid w:val="0"/>
                <w:color w:val="000000"/>
                <w:kern w:val="0"/>
                <w:sz w:val="22"/>
                <w:szCs w:val="22"/>
                <w:u w:val="none"/>
                <w:lang w:val="en-US" w:eastAsia="zh-CN" w:bidi="ar"/>
              </w:rPr>
              <w:t>20601</w:t>
            </w: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lang w:eastAsia="zh-CN"/>
              </w:rPr>
            </w:pPr>
            <w:r>
              <w:rPr>
                <w:rFonts w:hint="eastAsia" w:ascii="宋体" w:hAnsi="宋体" w:eastAsia="宋体" w:cs="宋体"/>
                <w:i w:val="0"/>
                <w:snapToGrid w:val="0"/>
                <w:color w:val="000000"/>
                <w:kern w:val="0"/>
                <w:sz w:val="22"/>
                <w:szCs w:val="22"/>
                <w:u w:val="none"/>
                <w:lang w:val="en-US" w:eastAsia="zh-CN" w:bidi="ar"/>
              </w:rPr>
              <w:t>科学技术管理事务</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lang w:val="en-US" w:eastAsia="zh-CN"/>
              </w:rPr>
            </w:pPr>
            <w:r>
              <w:rPr>
                <w:rFonts w:hint="eastAsia" w:ascii="宋体" w:hAnsi="宋体" w:eastAsia="宋体" w:cs="宋体"/>
                <w:i w:val="0"/>
                <w:snapToGrid w:val="0"/>
                <w:color w:val="000000"/>
                <w:kern w:val="0"/>
                <w:sz w:val="21"/>
                <w:szCs w:val="21"/>
                <w:u w:val="none"/>
                <w:lang w:val="en-US" w:eastAsia="zh-CN" w:bidi="ar"/>
              </w:rPr>
              <w:t>106.87</w:t>
            </w: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lang w:val="en-US" w:eastAsia="zh-CN"/>
              </w:rPr>
            </w:pPr>
            <w:r>
              <w:rPr>
                <w:rFonts w:hint="eastAsia" w:ascii="宋体" w:hAnsi="宋体" w:eastAsia="宋体" w:cs="宋体"/>
                <w:i w:val="0"/>
                <w:snapToGrid w:val="0"/>
                <w:color w:val="000000"/>
                <w:kern w:val="0"/>
                <w:sz w:val="21"/>
                <w:szCs w:val="21"/>
                <w:u w:val="none"/>
                <w:lang w:val="en-US" w:eastAsia="zh-CN" w:bidi="ar"/>
              </w:rPr>
              <w:t>44.87</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lang w:val="en-US" w:eastAsia="zh-CN"/>
              </w:rPr>
            </w:pPr>
            <w:r>
              <w:rPr>
                <w:rFonts w:hint="eastAsia" w:ascii="宋体" w:hAnsi="宋体" w:eastAsia="宋体" w:cs="宋体"/>
                <w:i w:val="0"/>
                <w:snapToGrid w:val="0"/>
                <w:color w:val="000000"/>
                <w:kern w:val="0"/>
                <w:sz w:val="21"/>
                <w:szCs w:val="21"/>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lang w:val="en-US"/>
              </w:rPr>
            </w:pPr>
            <w:r>
              <w:rPr>
                <w:rFonts w:hint="eastAsia" w:ascii="宋体" w:hAnsi="宋体" w:eastAsia="宋体" w:cs="宋体"/>
                <w:i w:val="0"/>
                <w:snapToGrid w:val="0"/>
                <w:color w:val="000000"/>
                <w:kern w:val="0"/>
                <w:sz w:val="21"/>
                <w:szCs w:val="21"/>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 w:val="21"/>
                <w:szCs w:val="21"/>
                <w:lang w:val="en-US" w:eastAsia="zh-CN"/>
              </w:rPr>
            </w:pPr>
            <w:r>
              <w:rPr>
                <w:rFonts w:hint="eastAsia" w:ascii="宋体" w:hAnsi="宋体" w:eastAsia="宋体" w:cs="宋体"/>
                <w:i w:val="0"/>
                <w:snapToGrid w:val="0"/>
                <w:color w:val="000000"/>
                <w:kern w:val="0"/>
                <w:sz w:val="21"/>
                <w:szCs w:val="21"/>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snapToGrid w:val="0"/>
                <w:color w:val="000000"/>
                <w:kern w:val="0"/>
                <w:sz w:val="21"/>
                <w:szCs w:val="21"/>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snapToGrid w:val="0"/>
                <w:color w:val="000000"/>
                <w:kern w:val="0"/>
                <w:sz w:val="21"/>
                <w:szCs w:val="21"/>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lang w:val="en-US" w:eastAsia="zh-CN"/>
              </w:rPr>
            </w:pPr>
            <w:r>
              <w:rPr>
                <w:rFonts w:hint="eastAsia" w:ascii="宋体" w:hAnsi="宋体" w:eastAsia="宋体" w:cs="宋体"/>
                <w:i w:val="0"/>
                <w:snapToGrid w:val="0"/>
                <w:color w:val="000000"/>
                <w:kern w:val="0"/>
                <w:sz w:val="21"/>
                <w:szCs w:val="21"/>
                <w:u w:val="none"/>
                <w:lang w:val="en-US" w:eastAsia="zh-CN" w:bidi="ar"/>
              </w:rPr>
              <w:t>62.00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lang w:val="en-US" w:eastAsia="zh-CN"/>
              </w:rPr>
            </w:pPr>
            <w:r>
              <w:rPr>
                <w:rFonts w:hint="eastAsia" w:ascii="宋体" w:hAnsi="宋体" w:eastAsia="宋体" w:cs="宋体"/>
                <w:i w:val="0"/>
                <w:snapToGrid w:val="0"/>
                <w:color w:val="000000"/>
                <w:kern w:val="0"/>
                <w:sz w:val="22"/>
                <w:szCs w:val="22"/>
                <w:u w:val="none"/>
                <w:lang w:val="en-US" w:eastAsia="zh-CN" w:bidi="ar"/>
              </w:rPr>
              <w:t>2060101</w:t>
            </w: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lang w:eastAsia="zh-CN"/>
              </w:rPr>
            </w:pPr>
            <w:r>
              <w:rPr>
                <w:rFonts w:hint="eastAsia" w:ascii="宋体" w:hAnsi="宋体" w:eastAsia="宋体" w:cs="宋体"/>
                <w:i w:val="0"/>
                <w:snapToGrid w:val="0"/>
                <w:color w:val="000000"/>
                <w:kern w:val="0"/>
                <w:sz w:val="22"/>
                <w:szCs w:val="22"/>
                <w:u w:val="none"/>
                <w:lang w:val="en-US" w:eastAsia="zh-CN" w:bidi="ar"/>
              </w:rPr>
              <w:t xml:space="preserve">  行政运行</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lang w:val="en-US" w:eastAsia="zh-CN"/>
              </w:rPr>
            </w:pPr>
            <w:r>
              <w:rPr>
                <w:rFonts w:hint="eastAsia" w:ascii="宋体" w:hAnsi="宋体" w:eastAsia="宋体" w:cs="宋体"/>
                <w:i w:val="0"/>
                <w:snapToGrid w:val="0"/>
                <w:color w:val="000000"/>
                <w:kern w:val="0"/>
                <w:sz w:val="21"/>
                <w:szCs w:val="21"/>
                <w:u w:val="none"/>
                <w:lang w:val="en-US" w:eastAsia="zh-CN" w:bidi="ar"/>
              </w:rPr>
              <w:t>35.32</w:t>
            </w: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35.32</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lang w:val="en-US" w:eastAsia="zh-CN"/>
              </w:rPr>
            </w:pPr>
            <w:r>
              <w:rPr>
                <w:rFonts w:hint="eastAsia" w:ascii="宋体" w:hAnsi="宋体" w:eastAsia="宋体" w:cs="宋体"/>
                <w:i w:val="0"/>
                <w:snapToGrid w:val="0"/>
                <w:color w:val="000000"/>
                <w:kern w:val="0"/>
                <w:sz w:val="21"/>
                <w:szCs w:val="21"/>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snapToGrid w:val="0"/>
                <w:color w:val="000000"/>
                <w:kern w:val="0"/>
                <w:sz w:val="21"/>
                <w:szCs w:val="21"/>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snapToGrid w:val="0"/>
                <w:color w:val="000000"/>
                <w:kern w:val="0"/>
                <w:sz w:val="21"/>
                <w:szCs w:val="21"/>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snapToGrid w:val="0"/>
                <w:color w:val="000000"/>
                <w:kern w:val="0"/>
                <w:sz w:val="21"/>
                <w:szCs w:val="21"/>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snapToGrid w:val="0"/>
                <w:color w:val="000000"/>
                <w:kern w:val="0"/>
                <w:sz w:val="21"/>
                <w:szCs w:val="21"/>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snapToGrid w:val="0"/>
                <w:color w:val="000000"/>
                <w:kern w:val="0"/>
                <w:sz w:val="21"/>
                <w:szCs w:val="21"/>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lang w:val="en-US" w:eastAsia="zh-CN"/>
              </w:rPr>
            </w:pPr>
            <w:r>
              <w:rPr>
                <w:rFonts w:hint="eastAsia" w:ascii="宋体" w:hAnsi="宋体" w:eastAsia="宋体" w:cs="宋体"/>
                <w:i w:val="0"/>
                <w:snapToGrid w:val="0"/>
                <w:color w:val="000000"/>
                <w:kern w:val="0"/>
                <w:sz w:val="22"/>
                <w:szCs w:val="22"/>
                <w:u w:val="none"/>
                <w:lang w:val="en-US" w:eastAsia="zh-CN" w:bidi="ar"/>
              </w:rPr>
              <w:t>2060103</w:t>
            </w: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lang w:eastAsia="zh-CN"/>
              </w:rPr>
            </w:pPr>
            <w:r>
              <w:rPr>
                <w:rFonts w:hint="eastAsia" w:ascii="宋体" w:hAnsi="宋体" w:eastAsia="宋体" w:cs="宋体"/>
                <w:i w:val="0"/>
                <w:snapToGrid w:val="0"/>
                <w:color w:val="000000"/>
                <w:kern w:val="0"/>
                <w:sz w:val="22"/>
                <w:szCs w:val="22"/>
                <w:u w:val="none"/>
                <w:lang w:val="en-US" w:eastAsia="zh-CN" w:bidi="ar"/>
              </w:rPr>
              <w:t xml:space="preserve">  机关服务</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lang w:val="en-US" w:eastAsia="zh-CN"/>
              </w:rPr>
            </w:pPr>
            <w:r>
              <w:rPr>
                <w:rFonts w:hint="eastAsia" w:ascii="宋体" w:hAnsi="宋体" w:eastAsia="宋体" w:cs="宋体"/>
                <w:i w:val="0"/>
                <w:snapToGrid w:val="0"/>
                <w:color w:val="000000"/>
                <w:kern w:val="0"/>
                <w:sz w:val="21"/>
                <w:szCs w:val="21"/>
                <w:u w:val="none"/>
                <w:lang w:val="en-US" w:eastAsia="zh-CN" w:bidi="ar"/>
              </w:rPr>
              <w:t>1.55</w:t>
            </w: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lang w:val="en-US" w:eastAsia="zh-CN"/>
              </w:rPr>
            </w:pPr>
            <w:r>
              <w:rPr>
                <w:rFonts w:hint="eastAsia" w:ascii="宋体" w:hAnsi="宋体" w:eastAsia="宋体" w:cs="宋体"/>
                <w:i w:val="0"/>
                <w:snapToGrid w:val="0"/>
                <w:color w:val="000000"/>
                <w:kern w:val="0"/>
                <w:sz w:val="21"/>
                <w:szCs w:val="21"/>
                <w:u w:val="none"/>
                <w:lang w:val="en-US" w:eastAsia="zh-CN" w:bidi="ar"/>
              </w:rPr>
              <w:t>1.55</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lang w:val="en-US" w:eastAsia="zh-CN"/>
              </w:rPr>
            </w:pPr>
            <w:r>
              <w:rPr>
                <w:rFonts w:hint="eastAsia" w:ascii="宋体" w:hAnsi="宋体" w:eastAsia="宋体" w:cs="宋体"/>
                <w:i w:val="0"/>
                <w:snapToGrid w:val="0"/>
                <w:color w:val="000000"/>
                <w:kern w:val="0"/>
                <w:sz w:val="21"/>
                <w:szCs w:val="21"/>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snapToGrid w:val="0"/>
                <w:color w:val="000000"/>
                <w:kern w:val="0"/>
                <w:sz w:val="21"/>
                <w:szCs w:val="21"/>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snapToGrid w:val="0"/>
                <w:color w:val="000000"/>
                <w:kern w:val="0"/>
                <w:sz w:val="21"/>
                <w:szCs w:val="21"/>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snapToGrid w:val="0"/>
                <w:color w:val="000000"/>
                <w:kern w:val="0"/>
                <w:sz w:val="21"/>
                <w:szCs w:val="21"/>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snapToGrid w:val="0"/>
                <w:color w:val="000000"/>
                <w:kern w:val="0"/>
                <w:sz w:val="21"/>
                <w:szCs w:val="21"/>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snapToGrid w:val="0"/>
                <w:color w:val="000000"/>
                <w:kern w:val="0"/>
                <w:sz w:val="21"/>
                <w:szCs w:val="21"/>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lang w:val="en-US" w:eastAsia="zh-CN"/>
              </w:rPr>
            </w:pPr>
            <w:r>
              <w:rPr>
                <w:rFonts w:hint="eastAsia" w:ascii="宋体" w:hAnsi="宋体" w:eastAsia="宋体" w:cs="宋体"/>
                <w:i w:val="0"/>
                <w:snapToGrid w:val="0"/>
                <w:color w:val="000000"/>
                <w:kern w:val="0"/>
                <w:sz w:val="22"/>
                <w:szCs w:val="22"/>
                <w:u w:val="none"/>
                <w:lang w:val="en-US" w:eastAsia="zh-CN" w:bidi="ar"/>
              </w:rPr>
              <w:t>2060199</w:t>
            </w: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lang w:eastAsia="zh-CN"/>
              </w:rPr>
            </w:pPr>
            <w:r>
              <w:rPr>
                <w:rFonts w:hint="eastAsia" w:ascii="宋体" w:hAnsi="宋体" w:eastAsia="宋体" w:cs="宋体"/>
                <w:i w:val="0"/>
                <w:snapToGrid w:val="0"/>
                <w:color w:val="000000"/>
                <w:kern w:val="0"/>
                <w:sz w:val="22"/>
                <w:szCs w:val="22"/>
                <w:u w:val="none"/>
                <w:lang w:val="en-US" w:eastAsia="zh-CN" w:bidi="ar"/>
              </w:rPr>
              <w:t xml:space="preserve">  其他科学技术管理事务支出</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lang w:val="en-US" w:eastAsia="zh-CN"/>
              </w:rPr>
            </w:pPr>
            <w:r>
              <w:rPr>
                <w:rFonts w:hint="eastAsia" w:ascii="宋体" w:hAnsi="宋体" w:eastAsia="宋体" w:cs="宋体"/>
                <w:i w:val="0"/>
                <w:snapToGrid w:val="0"/>
                <w:color w:val="000000"/>
                <w:kern w:val="0"/>
                <w:sz w:val="21"/>
                <w:szCs w:val="21"/>
                <w:u w:val="none"/>
                <w:lang w:val="en-US" w:eastAsia="zh-CN" w:bidi="ar"/>
              </w:rPr>
              <w:t>70.00</w:t>
            </w: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lang w:val="en-US" w:eastAsia="zh-CN"/>
              </w:rPr>
            </w:pPr>
            <w:r>
              <w:rPr>
                <w:rFonts w:hint="eastAsia" w:ascii="宋体" w:hAnsi="宋体" w:eastAsia="宋体" w:cs="宋体"/>
                <w:i w:val="0"/>
                <w:snapToGrid w:val="0"/>
                <w:color w:val="000000"/>
                <w:kern w:val="0"/>
                <w:sz w:val="21"/>
                <w:szCs w:val="21"/>
                <w:u w:val="none"/>
                <w:lang w:val="en-US" w:eastAsia="zh-CN" w:bidi="ar"/>
              </w:rPr>
              <w:t>8.00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lang w:val="en-US" w:eastAsia="zh-CN"/>
              </w:rPr>
            </w:pPr>
            <w:r>
              <w:rPr>
                <w:rFonts w:hint="eastAsia" w:ascii="宋体" w:hAnsi="宋体" w:eastAsia="宋体" w:cs="宋体"/>
                <w:i w:val="0"/>
                <w:snapToGrid w:val="0"/>
                <w:color w:val="000000"/>
                <w:kern w:val="0"/>
                <w:sz w:val="21"/>
                <w:szCs w:val="21"/>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snapToGrid w:val="0"/>
                <w:color w:val="000000"/>
                <w:kern w:val="0"/>
                <w:sz w:val="21"/>
                <w:szCs w:val="21"/>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snapToGrid w:val="0"/>
                <w:color w:val="000000"/>
                <w:kern w:val="0"/>
                <w:sz w:val="21"/>
                <w:szCs w:val="21"/>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snapToGrid w:val="0"/>
                <w:color w:val="000000"/>
                <w:kern w:val="0"/>
                <w:sz w:val="21"/>
                <w:szCs w:val="21"/>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snapToGrid w:val="0"/>
                <w:color w:val="000000"/>
                <w:kern w:val="0"/>
                <w:sz w:val="21"/>
                <w:szCs w:val="21"/>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snapToGrid w:val="0"/>
                <w:color w:val="000000"/>
                <w:kern w:val="0"/>
                <w:sz w:val="21"/>
                <w:szCs w:val="21"/>
                <w:u w:val="none"/>
                <w:lang w:val="en-US" w:eastAsia="zh-CN" w:bidi="ar"/>
              </w:rPr>
              <w:t>62.00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20607</w:t>
            </w: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科学技术普及</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1"/>
                <w:szCs w:val="21"/>
                <w:u w:val="none"/>
                <w:lang w:val="en-US" w:eastAsia="zh-CN" w:bidi="ar"/>
              </w:rPr>
              <w:t>3.00</w:t>
            </w: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1"/>
                <w:szCs w:val="21"/>
                <w:u w:val="none"/>
                <w:lang w:val="en-US" w:eastAsia="zh-CN" w:bidi="ar"/>
              </w:rPr>
              <w:t>3.00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1"/>
                <w:szCs w:val="21"/>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1"/>
                <w:szCs w:val="21"/>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1"/>
                <w:szCs w:val="21"/>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1"/>
                <w:szCs w:val="21"/>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1"/>
                <w:szCs w:val="21"/>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1"/>
                <w:szCs w:val="21"/>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2060702</w:t>
            </w:r>
          </w:p>
        </w:tc>
        <w:tc>
          <w:tcPr>
            <w:tcW w:w="177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科普活动</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3.00</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3.00</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0.00</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eastAsia="zh-CN"/>
        </w:rPr>
        <w:t>镇坪县科学技术协会（本级）</w:t>
      </w:r>
      <w:r>
        <w:rPr>
          <w:rFonts w:hint="eastAsia" w:ascii="宋体" w:hAnsi="宋体" w:cs="宋体"/>
          <w:b/>
          <w:bCs/>
          <w:szCs w:val="21"/>
        </w:rPr>
        <w:t xml:space="preserve">                                  金额单位：万元</w:t>
      </w:r>
    </w:p>
    <w:tbl>
      <w:tblPr>
        <w:tblStyle w:val="5"/>
        <w:tblW w:w="9693" w:type="dxa"/>
        <w:tblInd w:w="0" w:type="dxa"/>
        <w:tblLayout w:type="fixed"/>
        <w:tblCellMar>
          <w:top w:w="15" w:type="dxa"/>
          <w:left w:w="15" w:type="dxa"/>
          <w:bottom w:w="15" w:type="dxa"/>
          <w:right w:w="15" w:type="dxa"/>
        </w:tblCellMar>
      </w:tblPr>
      <w:tblGrid>
        <w:gridCol w:w="914"/>
        <w:gridCol w:w="83"/>
        <w:gridCol w:w="1766"/>
        <w:gridCol w:w="1260"/>
        <w:gridCol w:w="1005"/>
        <w:gridCol w:w="1155"/>
        <w:gridCol w:w="1080"/>
        <w:gridCol w:w="1035"/>
        <w:gridCol w:w="1395"/>
      </w:tblGrid>
      <w:tr>
        <w:tblPrEx>
          <w:tblCellMar>
            <w:top w:w="15" w:type="dxa"/>
            <w:left w:w="15" w:type="dxa"/>
            <w:bottom w:w="15" w:type="dxa"/>
            <w:right w:w="15" w:type="dxa"/>
          </w:tblCellMar>
        </w:tblPrEx>
        <w:trPr>
          <w:trHeight w:val="372" w:hRule="atLeast"/>
        </w:trPr>
        <w:tc>
          <w:tcPr>
            <w:tcW w:w="276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76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snapToGrid w:val="0"/>
                <w:color w:val="000000"/>
                <w:kern w:val="0"/>
                <w:sz w:val="22"/>
                <w:szCs w:val="22"/>
                <w:u w:val="none"/>
                <w:lang w:val="en-US" w:eastAsia="zh-CN" w:bidi="ar"/>
              </w:rPr>
              <w:t>94.57</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snapToGrid w:val="0"/>
                <w:color w:val="000000"/>
                <w:kern w:val="0"/>
                <w:sz w:val="22"/>
                <w:szCs w:val="22"/>
                <w:u w:val="none"/>
                <w:lang w:val="en-US" w:eastAsia="zh-CN" w:bidi="ar"/>
              </w:rPr>
              <w:t>77.57</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snapToGrid w:val="0"/>
                <w:color w:val="000000"/>
                <w:kern w:val="0"/>
                <w:sz w:val="22"/>
                <w:szCs w:val="22"/>
                <w:u w:val="none"/>
                <w:lang w:val="en-US" w:eastAsia="zh-CN" w:bidi="ar"/>
              </w:rPr>
              <w:t>17.00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206</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科学技术支出</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94.57</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77.57</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17.00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20601</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科学技术管理事务</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snapToGrid w:val="0"/>
                <w:color w:val="000000"/>
                <w:kern w:val="0"/>
                <w:sz w:val="22"/>
                <w:szCs w:val="22"/>
                <w:u w:val="none"/>
                <w:lang w:val="en-US" w:eastAsia="zh-CN" w:bidi="ar"/>
              </w:rPr>
              <w:t>74.57</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snapToGrid w:val="0"/>
                <w:color w:val="000000"/>
                <w:kern w:val="0"/>
                <w:sz w:val="22"/>
                <w:szCs w:val="22"/>
                <w:u w:val="none"/>
                <w:lang w:val="en-US" w:eastAsia="zh-CN" w:bidi="ar"/>
              </w:rPr>
              <w:t>74.57</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snapToGrid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2060101</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 xml:space="preserve">  行政运行</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30.97</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30.97</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2060103</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 xml:space="preserve">  机关服务</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snapToGrid w:val="0"/>
                <w:color w:val="000000"/>
                <w:kern w:val="0"/>
                <w:sz w:val="22"/>
                <w:szCs w:val="22"/>
                <w:u w:val="none"/>
                <w:lang w:val="en-US" w:eastAsia="zh-CN" w:bidi="ar"/>
              </w:rPr>
              <w:t>1.55</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snapToGrid w:val="0"/>
                <w:color w:val="000000"/>
                <w:kern w:val="0"/>
                <w:sz w:val="22"/>
                <w:szCs w:val="22"/>
                <w:u w:val="none"/>
                <w:lang w:val="en-US" w:eastAsia="zh-CN" w:bidi="ar"/>
              </w:rPr>
              <w:t>1.55</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snapToGrid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2060199</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 xml:space="preserve">  其他科学技术管理事务支出</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42.05</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42.05</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20607</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科学技术普及</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20.00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17.00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2060702</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 xml:space="preserve">  科普活动</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20.00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17.00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both"/>
        <w:rPr>
          <w:rFonts w:hint="eastAsia" w:ascii="宋体" w:hAnsi="宋体" w:cs="宋体"/>
          <w:b/>
          <w:bCs/>
          <w:sz w:val="32"/>
          <w:szCs w:val="32"/>
        </w:rPr>
      </w:pPr>
    </w:p>
    <w:p>
      <w:pPr>
        <w:jc w:val="both"/>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镇坪县科学技术协会（本级）</w:t>
      </w:r>
      <w:r>
        <w:rPr>
          <w:rFonts w:hint="eastAsia" w:ascii="宋体" w:hAnsi="宋体" w:cs="宋体"/>
          <w:b/>
          <w:bCs/>
          <w:szCs w:val="21"/>
        </w:rPr>
        <w:t xml:space="preserve">                           金额单位：万元</w:t>
      </w:r>
    </w:p>
    <w:tbl>
      <w:tblPr>
        <w:tblStyle w:val="5"/>
        <w:tblW w:w="9648" w:type="dxa"/>
        <w:tblInd w:w="0" w:type="dxa"/>
        <w:tblLayout w:type="fixed"/>
        <w:tblCellMar>
          <w:top w:w="15" w:type="dxa"/>
          <w:left w:w="15" w:type="dxa"/>
          <w:bottom w:w="15" w:type="dxa"/>
          <w:right w:w="15" w:type="dxa"/>
        </w:tblCellMar>
      </w:tblPr>
      <w:tblGrid>
        <w:gridCol w:w="1705"/>
        <w:gridCol w:w="1072"/>
        <w:gridCol w:w="3376"/>
        <w:gridCol w:w="915"/>
        <w:gridCol w:w="1185"/>
        <w:gridCol w:w="1395"/>
      </w:tblGrid>
      <w:tr>
        <w:tblPrEx>
          <w:tblCellMar>
            <w:top w:w="15" w:type="dxa"/>
            <w:left w:w="15" w:type="dxa"/>
            <w:bottom w:w="15" w:type="dxa"/>
            <w:right w:w="15" w:type="dxa"/>
          </w:tblCellMar>
        </w:tblPrEx>
        <w:trPr>
          <w:trHeight w:val="192"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687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449"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5"/>
                <w:szCs w:val="15"/>
              </w:rPr>
            </w:pPr>
            <w:r>
              <w:rPr>
                <w:rFonts w:hint="eastAsia" w:ascii="宋体" w:hAnsi="宋体" w:cs="宋体"/>
                <w:b/>
                <w:color w:val="000000"/>
                <w:kern w:val="0"/>
                <w:sz w:val="15"/>
                <w:szCs w:val="15"/>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5"/>
                <w:szCs w:val="15"/>
              </w:rPr>
            </w:pPr>
            <w:r>
              <w:rPr>
                <w:rFonts w:hint="eastAsia" w:ascii="宋体" w:hAnsi="宋体" w:cs="宋体"/>
                <w:b/>
                <w:color w:val="000000"/>
                <w:kern w:val="0"/>
                <w:sz w:val="15"/>
                <w:szCs w:val="15"/>
              </w:rPr>
              <w:t>决算数</w:t>
            </w: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5"/>
                <w:szCs w:val="15"/>
              </w:rPr>
            </w:pPr>
            <w:r>
              <w:rPr>
                <w:rFonts w:hint="eastAsia" w:ascii="宋体" w:hAnsi="宋体" w:cs="宋体"/>
                <w:b/>
                <w:color w:val="000000"/>
                <w:kern w:val="0"/>
                <w:sz w:val="15"/>
                <w:szCs w:val="15"/>
              </w:rPr>
              <w:t>项目</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5"/>
                <w:szCs w:val="15"/>
              </w:rPr>
            </w:pPr>
            <w:r>
              <w:rPr>
                <w:rFonts w:hint="eastAsia" w:ascii="宋体" w:hAnsi="宋体" w:cs="宋体"/>
                <w:b/>
                <w:color w:val="000000"/>
                <w:kern w:val="0"/>
                <w:sz w:val="15"/>
                <w:szCs w:val="15"/>
              </w:rPr>
              <w:t>合计</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5"/>
                <w:szCs w:val="15"/>
              </w:rPr>
            </w:pPr>
            <w:r>
              <w:rPr>
                <w:rFonts w:hint="eastAsia" w:ascii="宋体" w:hAnsi="宋体" w:cs="宋体"/>
                <w:b/>
                <w:color w:val="000000"/>
                <w:kern w:val="0"/>
                <w:sz w:val="15"/>
                <w:szCs w:val="15"/>
              </w:rPr>
              <w:t>一般公共预算财政拨款</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5"/>
                <w:szCs w:val="15"/>
              </w:rPr>
            </w:pPr>
            <w:r>
              <w:rPr>
                <w:rFonts w:hint="eastAsia" w:ascii="宋体" w:hAnsi="宋体" w:cs="宋体"/>
                <w:b/>
                <w:color w:val="000000"/>
                <w:kern w:val="0"/>
                <w:sz w:val="15"/>
                <w:szCs w:val="15"/>
              </w:rPr>
              <w:t>政府性基金预算财政拨款</w:t>
            </w:r>
          </w:p>
        </w:tc>
      </w:tr>
      <w:tr>
        <w:tblPrEx>
          <w:tblCellMar>
            <w:top w:w="15" w:type="dxa"/>
            <w:left w:w="15" w:type="dxa"/>
            <w:bottom w:w="15" w:type="dxa"/>
            <w:right w:w="15" w:type="dxa"/>
          </w:tblCellMar>
        </w:tblPrEx>
        <w:trPr>
          <w:trHeight w:val="304"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15"/>
                <w:szCs w:val="15"/>
                <w:lang w:val="en-US" w:eastAsia="zh-CN"/>
              </w:rPr>
            </w:pPr>
            <w:r>
              <w:rPr>
                <w:rFonts w:hint="eastAsia" w:ascii="宋体" w:hAnsi="宋体" w:cs="宋体"/>
                <w:color w:val="000000"/>
                <w:sz w:val="15"/>
                <w:szCs w:val="15"/>
                <w:lang w:val="en-US" w:eastAsia="zh-CN"/>
              </w:rPr>
              <w:t>47.87</w:t>
            </w: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5"/>
                <w:szCs w:val="15"/>
                <w:lang w:val="en-US" w:eastAsia="zh-CN" w:bidi="ar-SA"/>
              </w:rPr>
            </w:pPr>
            <w:r>
              <w:rPr>
                <w:rFonts w:hint="eastAsia" w:ascii="宋体" w:hAnsi="宋体" w:cs="宋体"/>
                <w:color w:val="000000"/>
                <w:kern w:val="0"/>
                <w:sz w:val="15"/>
                <w:szCs w:val="15"/>
              </w:rPr>
              <w:t>1、一般公共服务支出</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15"/>
                <w:szCs w:val="15"/>
                <w:lang w:val="en-US" w:eastAsia="zh-CN" w:bidi="ar-SA"/>
              </w:rPr>
            </w:pPr>
            <w:r>
              <w:rPr>
                <w:rFonts w:hint="eastAsia" w:ascii="宋体" w:hAnsi="宋体" w:eastAsia="宋体" w:cs="宋体"/>
                <w:i w:val="0"/>
                <w:snapToGrid w:val="0"/>
                <w:color w:val="000000"/>
                <w:kern w:val="0"/>
                <w:sz w:val="22"/>
                <w:szCs w:val="22"/>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snapToGrid w:val="0"/>
                <w:color w:val="000000"/>
                <w:kern w:val="0"/>
                <w:sz w:val="22"/>
                <w:szCs w:val="22"/>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9"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15"/>
                <w:szCs w:val="15"/>
                <w:lang w:val="en-US" w:eastAsia="zh-CN"/>
              </w:rPr>
            </w:pPr>
            <w:r>
              <w:rPr>
                <w:rFonts w:hint="eastAsia" w:ascii="宋体" w:hAnsi="宋体" w:cs="宋体"/>
                <w:color w:val="000000"/>
                <w:sz w:val="15"/>
                <w:szCs w:val="15"/>
                <w:lang w:val="en-US" w:eastAsia="zh-CN"/>
              </w:rPr>
              <w:t>0.00</w:t>
            </w: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5"/>
                <w:szCs w:val="15"/>
                <w:lang w:val="en-US" w:eastAsia="zh-CN" w:bidi="ar-SA"/>
              </w:rPr>
            </w:pPr>
            <w:r>
              <w:rPr>
                <w:rFonts w:hint="eastAsia" w:ascii="宋体" w:hAnsi="宋体" w:cs="宋体"/>
                <w:color w:val="000000"/>
                <w:kern w:val="0"/>
                <w:sz w:val="15"/>
                <w:szCs w:val="15"/>
                <w:lang w:val="en-US" w:eastAsia="zh-CN"/>
              </w:rPr>
              <w:t>2</w:t>
            </w:r>
            <w:r>
              <w:rPr>
                <w:rFonts w:hint="eastAsia" w:ascii="宋体" w:hAnsi="宋体" w:cs="宋体"/>
                <w:color w:val="000000"/>
                <w:kern w:val="0"/>
                <w:sz w:val="15"/>
                <w:szCs w:val="15"/>
              </w:rPr>
              <w:t>、外交支出</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15"/>
                <w:szCs w:val="15"/>
                <w:lang w:val="en-US" w:eastAsia="zh-CN" w:bidi="ar-SA"/>
              </w:rPr>
            </w:pPr>
            <w:r>
              <w:rPr>
                <w:rFonts w:hint="eastAsia" w:ascii="宋体" w:hAnsi="宋体" w:eastAsia="宋体" w:cs="宋体"/>
                <w:i w:val="0"/>
                <w:snapToGrid w:val="0"/>
                <w:color w:val="000000"/>
                <w:kern w:val="0"/>
                <w:sz w:val="22"/>
                <w:szCs w:val="22"/>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snapToGrid w:val="0"/>
                <w:color w:val="000000"/>
                <w:kern w:val="0"/>
                <w:sz w:val="22"/>
                <w:szCs w:val="22"/>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5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5"/>
                <w:szCs w:val="15"/>
                <w:lang w:val="en-US" w:eastAsia="zh-CN"/>
              </w:rPr>
            </w:pPr>
            <w:r>
              <w:rPr>
                <w:rFonts w:hint="eastAsia" w:ascii="宋体" w:hAnsi="宋体" w:cs="宋体"/>
                <w:color w:val="000000"/>
                <w:sz w:val="15"/>
                <w:szCs w:val="15"/>
                <w:lang w:val="en-US" w:eastAsia="zh-CN"/>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15"/>
                <w:szCs w:val="15"/>
                <w:lang w:val="en-US" w:eastAsia="zh-CN"/>
              </w:rPr>
            </w:pPr>
            <w:r>
              <w:rPr>
                <w:rFonts w:hint="eastAsia" w:ascii="宋体" w:hAnsi="宋体" w:cs="宋体"/>
                <w:color w:val="000000"/>
                <w:sz w:val="15"/>
                <w:szCs w:val="15"/>
                <w:lang w:val="en-US" w:eastAsia="zh-CN"/>
              </w:rPr>
              <w:t>0.00</w:t>
            </w: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5"/>
                <w:szCs w:val="15"/>
                <w:lang w:val="en-US" w:eastAsia="zh-CN" w:bidi="ar-SA"/>
              </w:rPr>
            </w:pPr>
            <w:r>
              <w:rPr>
                <w:rFonts w:hint="eastAsia" w:ascii="宋体" w:hAnsi="宋体" w:cs="宋体"/>
                <w:color w:val="000000"/>
                <w:kern w:val="0"/>
                <w:sz w:val="15"/>
                <w:szCs w:val="15"/>
              </w:rPr>
              <w:t>3、国防支出</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15"/>
                <w:szCs w:val="15"/>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3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5"/>
                <w:szCs w:val="15"/>
              </w:rPr>
            </w:pP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5"/>
                <w:szCs w:val="15"/>
                <w:lang w:val="en-US" w:eastAsia="zh-CN" w:bidi="ar-SA"/>
              </w:rPr>
            </w:pPr>
            <w:r>
              <w:rPr>
                <w:rFonts w:hint="eastAsia" w:ascii="宋体" w:hAnsi="宋体" w:cs="宋体"/>
                <w:color w:val="000000"/>
                <w:kern w:val="0"/>
                <w:sz w:val="15"/>
                <w:szCs w:val="15"/>
              </w:rPr>
              <w:t>4、公共安全支出</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15"/>
                <w:szCs w:val="15"/>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3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5"/>
                <w:szCs w:val="15"/>
              </w:rPr>
            </w:pP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5"/>
                <w:szCs w:val="15"/>
                <w:lang w:val="en-US" w:eastAsia="zh-CN" w:bidi="ar-SA"/>
              </w:rPr>
            </w:pPr>
            <w:r>
              <w:rPr>
                <w:rFonts w:hint="eastAsia" w:ascii="宋体" w:hAnsi="宋体" w:cs="宋体"/>
                <w:color w:val="000000"/>
                <w:kern w:val="0"/>
                <w:sz w:val="15"/>
                <w:szCs w:val="15"/>
              </w:rPr>
              <w:t>5、教育支出</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15"/>
                <w:szCs w:val="15"/>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32"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5"/>
                <w:szCs w:val="15"/>
              </w:rPr>
            </w:pP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5"/>
                <w:szCs w:val="15"/>
                <w:lang w:val="en-US" w:eastAsia="zh-CN" w:bidi="ar-SA"/>
              </w:rPr>
            </w:pPr>
            <w:r>
              <w:rPr>
                <w:rFonts w:hint="eastAsia" w:ascii="宋体" w:hAnsi="宋体" w:cs="宋体"/>
                <w:color w:val="000000"/>
                <w:kern w:val="0"/>
                <w:sz w:val="15"/>
                <w:szCs w:val="15"/>
              </w:rPr>
              <w:t>6、科学技术支出</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15"/>
                <w:szCs w:val="15"/>
                <w:lang w:val="en-US" w:eastAsia="zh-CN" w:bidi="ar-SA"/>
              </w:rPr>
            </w:pPr>
            <w:r>
              <w:rPr>
                <w:rFonts w:hint="eastAsia" w:ascii="宋体" w:hAnsi="宋体" w:cs="宋体"/>
                <w:color w:val="000000"/>
                <w:kern w:val="2"/>
                <w:sz w:val="15"/>
                <w:szCs w:val="15"/>
                <w:lang w:val="en-US" w:eastAsia="zh-CN" w:bidi="ar-SA"/>
              </w:rPr>
              <w:t>60.52</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5"/>
                <w:szCs w:val="15"/>
                <w:lang w:val="en-US" w:eastAsia="zh-CN"/>
              </w:rPr>
            </w:pPr>
            <w:r>
              <w:rPr>
                <w:rFonts w:hint="eastAsia" w:ascii="宋体" w:hAnsi="宋体" w:cs="宋体"/>
                <w:color w:val="000000"/>
                <w:sz w:val="15"/>
                <w:szCs w:val="15"/>
                <w:lang w:val="en-US" w:eastAsia="zh-CN"/>
              </w:rPr>
              <w:t>60.52</w:t>
            </w: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252"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5"/>
                <w:szCs w:val="15"/>
              </w:rPr>
            </w:pP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5"/>
                <w:szCs w:val="15"/>
                <w:lang w:val="en-US" w:eastAsia="zh-CN" w:bidi="ar-SA"/>
              </w:rPr>
            </w:pPr>
            <w:r>
              <w:rPr>
                <w:rFonts w:hint="eastAsia" w:ascii="宋体" w:hAnsi="宋体" w:cs="宋体"/>
                <w:color w:val="000000"/>
                <w:kern w:val="0"/>
                <w:sz w:val="15"/>
                <w:szCs w:val="15"/>
              </w:rPr>
              <w:t>7、</w:t>
            </w:r>
            <w:r>
              <w:rPr>
                <w:rFonts w:hint="eastAsia" w:ascii="宋体" w:hAnsi="宋体" w:cs="宋体"/>
                <w:color w:val="000000"/>
                <w:spacing w:val="-11"/>
                <w:w w:val="98"/>
                <w:kern w:val="0"/>
                <w:sz w:val="15"/>
                <w:szCs w:val="15"/>
              </w:rPr>
              <w:t>文化</w:t>
            </w:r>
            <w:r>
              <w:rPr>
                <w:rFonts w:hint="eastAsia" w:ascii="宋体" w:hAnsi="宋体" w:cs="宋体"/>
                <w:color w:val="000000"/>
                <w:spacing w:val="-11"/>
                <w:w w:val="98"/>
                <w:kern w:val="0"/>
                <w:sz w:val="15"/>
                <w:szCs w:val="15"/>
                <w:lang w:eastAsia="zh-CN"/>
              </w:rPr>
              <w:t>旅游</w:t>
            </w:r>
            <w:r>
              <w:rPr>
                <w:rFonts w:hint="eastAsia" w:ascii="宋体" w:hAnsi="宋体" w:cs="宋体"/>
                <w:color w:val="000000"/>
                <w:spacing w:val="-11"/>
                <w:w w:val="98"/>
                <w:kern w:val="0"/>
                <w:sz w:val="15"/>
                <w:szCs w:val="15"/>
              </w:rPr>
              <w:t>体育与传媒支出</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15"/>
                <w:szCs w:val="15"/>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92"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5"/>
                <w:szCs w:val="15"/>
              </w:rPr>
            </w:pP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5"/>
                <w:szCs w:val="15"/>
                <w:lang w:val="en-US" w:eastAsia="zh-CN" w:bidi="ar-SA"/>
              </w:rPr>
            </w:pPr>
            <w:r>
              <w:rPr>
                <w:rFonts w:hint="eastAsia" w:ascii="宋体" w:hAnsi="宋体" w:cs="宋体"/>
                <w:color w:val="000000"/>
                <w:kern w:val="0"/>
                <w:sz w:val="15"/>
                <w:szCs w:val="15"/>
              </w:rPr>
              <w:t>8、社会保障和就业支出</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15"/>
                <w:szCs w:val="15"/>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22"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5"/>
                <w:szCs w:val="15"/>
              </w:rPr>
            </w:pP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5"/>
                <w:szCs w:val="15"/>
                <w:lang w:val="en-US" w:eastAsia="zh-CN" w:bidi="ar-SA"/>
              </w:rPr>
            </w:pPr>
            <w:r>
              <w:rPr>
                <w:rFonts w:hint="eastAsia" w:ascii="宋体" w:hAnsi="宋体" w:cs="宋体"/>
                <w:color w:val="000000"/>
                <w:kern w:val="0"/>
                <w:sz w:val="15"/>
                <w:szCs w:val="15"/>
              </w:rPr>
              <w:t>9、</w:t>
            </w:r>
            <w:r>
              <w:rPr>
                <w:rFonts w:hint="eastAsia" w:ascii="宋体" w:hAnsi="宋体" w:cs="宋体"/>
                <w:color w:val="000000"/>
                <w:kern w:val="0"/>
                <w:sz w:val="15"/>
                <w:szCs w:val="15"/>
                <w:lang w:eastAsia="zh-CN"/>
              </w:rPr>
              <w:t>卫生健康</w:t>
            </w:r>
            <w:r>
              <w:rPr>
                <w:rFonts w:hint="eastAsia" w:ascii="宋体" w:hAnsi="宋体" w:cs="宋体"/>
                <w:color w:val="000000"/>
                <w:kern w:val="0"/>
                <w:sz w:val="15"/>
                <w:szCs w:val="15"/>
              </w:rPr>
              <w:t>支出</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15"/>
                <w:szCs w:val="15"/>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22"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5"/>
                <w:szCs w:val="15"/>
              </w:rPr>
            </w:pP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5"/>
                <w:szCs w:val="15"/>
                <w:lang w:val="en-US" w:eastAsia="zh-CN" w:bidi="ar-SA"/>
              </w:rPr>
            </w:pPr>
            <w:r>
              <w:rPr>
                <w:rFonts w:hint="eastAsia" w:ascii="宋体" w:hAnsi="宋体" w:cs="宋体"/>
                <w:color w:val="000000"/>
                <w:kern w:val="0"/>
                <w:sz w:val="15"/>
                <w:szCs w:val="15"/>
                <w:lang w:val="en-US" w:eastAsia="zh-CN"/>
              </w:rPr>
              <w:t>1</w:t>
            </w:r>
            <w:r>
              <w:rPr>
                <w:rFonts w:hint="eastAsia" w:ascii="宋体" w:hAnsi="宋体" w:cs="宋体"/>
                <w:color w:val="000000"/>
                <w:kern w:val="0"/>
                <w:sz w:val="15"/>
                <w:szCs w:val="15"/>
              </w:rPr>
              <w:t>0、节能环保支出</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15"/>
                <w:szCs w:val="15"/>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52"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5"/>
                <w:szCs w:val="15"/>
              </w:rPr>
            </w:pP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5"/>
                <w:szCs w:val="15"/>
                <w:lang w:val="en-US" w:eastAsia="zh-CN" w:bidi="ar-SA"/>
              </w:rPr>
            </w:pPr>
            <w:r>
              <w:rPr>
                <w:rFonts w:hint="eastAsia" w:ascii="宋体" w:hAnsi="宋体" w:cs="宋体"/>
                <w:color w:val="000000"/>
                <w:kern w:val="0"/>
                <w:sz w:val="15"/>
                <w:szCs w:val="15"/>
              </w:rPr>
              <w:t>11、城乡社区支出</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15"/>
                <w:szCs w:val="15"/>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2"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5"/>
                <w:szCs w:val="15"/>
              </w:rPr>
            </w:pP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5"/>
                <w:szCs w:val="15"/>
                <w:lang w:val="en-US" w:eastAsia="zh-CN" w:bidi="ar-SA"/>
              </w:rPr>
            </w:pPr>
            <w:r>
              <w:rPr>
                <w:rFonts w:hint="eastAsia" w:ascii="宋体" w:hAnsi="宋体" w:cs="宋体"/>
                <w:color w:val="000000"/>
                <w:kern w:val="0"/>
                <w:sz w:val="15"/>
                <w:szCs w:val="15"/>
              </w:rPr>
              <w:t>12、农林水支出</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15"/>
                <w:szCs w:val="15"/>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2"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5"/>
                <w:szCs w:val="15"/>
              </w:rPr>
            </w:pP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5"/>
                <w:szCs w:val="15"/>
                <w:lang w:val="en-US" w:eastAsia="zh-CN" w:bidi="ar-SA"/>
              </w:rPr>
            </w:pPr>
            <w:r>
              <w:rPr>
                <w:rFonts w:hint="eastAsia" w:ascii="宋体" w:hAnsi="宋体" w:cs="宋体"/>
                <w:color w:val="000000"/>
                <w:kern w:val="0"/>
                <w:sz w:val="15"/>
                <w:szCs w:val="15"/>
              </w:rPr>
              <w:t>13、交通运输支出</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15"/>
                <w:szCs w:val="15"/>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5"/>
                <w:szCs w:val="15"/>
              </w:rPr>
            </w:pP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5"/>
                <w:szCs w:val="15"/>
                <w:lang w:val="en-US" w:eastAsia="zh-CN" w:bidi="ar-SA"/>
              </w:rPr>
            </w:pPr>
            <w:r>
              <w:rPr>
                <w:rFonts w:hint="eastAsia" w:ascii="宋体" w:hAnsi="宋体" w:cs="宋体"/>
                <w:color w:val="000000"/>
                <w:kern w:val="0"/>
                <w:sz w:val="15"/>
                <w:szCs w:val="15"/>
              </w:rPr>
              <w:t>14、资源勘探信息等支出</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15"/>
                <w:szCs w:val="15"/>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22"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5"/>
                <w:szCs w:val="15"/>
              </w:rPr>
            </w:pP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5"/>
                <w:szCs w:val="15"/>
                <w:lang w:val="en-US" w:eastAsia="zh-CN" w:bidi="ar-SA"/>
              </w:rPr>
            </w:pPr>
            <w:r>
              <w:rPr>
                <w:rFonts w:hint="eastAsia" w:ascii="宋体" w:hAnsi="宋体" w:cs="宋体"/>
                <w:color w:val="000000"/>
                <w:kern w:val="0"/>
                <w:sz w:val="15"/>
                <w:szCs w:val="15"/>
              </w:rPr>
              <w:t>15、商业服务业等支出</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15"/>
                <w:szCs w:val="15"/>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5"/>
                <w:szCs w:val="15"/>
              </w:rPr>
            </w:pP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5"/>
                <w:szCs w:val="15"/>
                <w:lang w:val="en-US" w:eastAsia="zh-CN" w:bidi="ar-SA"/>
              </w:rPr>
            </w:pPr>
            <w:r>
              <w:rPr>
                <w:rFonts w:hint="eastAsia" w:ascii="宋体" w:hAnsi="宋体" w:cs="宋体"/>
                <w:color w:val="000000"/>
                <w:kern w:val="0"/>
                <w:sz w:val="15"/>
                <w:szCs w:val="15"/>
              </w:rPr>
              <w:t>16、金融支出</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15"/>
                <w:szCs w:val="15"/>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5"/>
                <w:szCs w:val="15"/>
              </w:rPr>
            </w:pP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5"/>
                <w:szCs w:val="15"/>
                <w:lang w:val="en-US" w:eastAsia="zh-CN" w:bidi="ar-SA"/>
              </w:rPr>
            </w:pPr>
            <w:r>
              <w:rPr>
                <w:rFonts w:hint="eastAsia" w:ascii="宋体" w:hAnsi="宋体" w:cs="宋体"/>
                <w:color w:val="000000"/>
                <w:kern w:val="0"/>
                <w:sz w:val="15"/>
                <w:szCs w:val="15"/>
              </w:rPr>
              <w:t>17、援助其他地区支出</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15"/>
                <w:szCs w:val="15"/>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5"/>
                <w:szCs w:val="15"/>
              </w:rPr>
            </w:pP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5"/>
                <w:szCs w:val="15"/>
                <w:lang w:val="en-US" w:eastAsia="zh-CN" w:bidi="ar-SA"/>
              </w:rPr>
            </w:pPr>
            <w:r>
              <w:rPr>
                <w:rFonts w:hint="eastAsia" w:ascii="宋体" w:hAnsi="宋体" w:cs="宋体"/>
                <w:color w:val="000000"/>
                <w:kern w:val="0"/>
                <w:sz w:val="15"/>
                <w:szCs w:val="15"/>
              </w:rPr>
              <w:t>18、</w:t>
            </w:r>
            <w:r>
              <w:rPr>
                <w:rFonts w:hint="eastAsia" w:ascii="宋体" w:hAnsi="宋体" w:cs="宋体"/>
                <w:color w:val="000000"/>
                <w:spacing w:val="-11"/>
                <w:w w:val="98"/>
                <w:kern w:val="0"/>
                <w:sz w:val="15"/>
                <w:szCs w:val="15"/>
                <w:lang w:eastAsia="zh-CN"/>
              </w:rPr>
              <w:t>自然资源</w:t>
            </w:r>
            <w:r>
              <w:rPr>
                <w:rFonts w:hint="eastAsia" w:ascii="宋体" w:hAnsi="宋体" w:cs="宋体"/>
                <w:color w:val="000000"/>
                <w:spacing w:val="-11"/>
                <w:w w:val="98"/>
                <w:kern w:val="0"/>
                <w:sz w:val="15"/>
                <w:szCs w:val="15"/>
              </w:rPr>
              <w:t>海洋气象等支出</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15"/>
                <w:szCs w:val="15"/>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5"/>
                <w:szCs w:val="15"/>
              </w:rPr>
            </w:pP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5"/>
                <w:szCs w:val="15"/>
                <w:lang w:val="en-US" w:eastAsia="zh-CN" w:bidi="ar-SA"/>
              </w:rPr>
            </w:pPr>
            <w:r>
              <w:rPr>
                <w:rFonts w:hint="eastAsia" w:ascii="宋体" w:hAnsi="宋体" w:cs="宋体"/>
                <w:color w:val="000000"/>
                <w:kern w:val="0"/>
                <w:sz w:val="15"/>
                <w:szCs w:val="15"/>
              </w:rPr>
              <w:t>19、住房保障支出</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15"/>
                <w:szCs w:val="15"/>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5"/>
                <w:szCs w:val="15"/>
              </w:rPr>
            </w:pP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5"/>
                <w:szCs w:val="15"/>
                <w:lang w:val="en-US" w:eastAsia="zh-CN" w:bidi="ar-SA"/>
              </w:rPr>
            </w:pPr>
            <w:r>
              <w:rPr>
                <w:rFonts w:hint="eastAsia" w:ascii="宋体" w:hAnsi="宋体" w:cs="宋体"/>
                <w:color w:val="000000"/>
                <w:kern w:val="0"/>
                <w:sz w:val="15"/>
                <w:szCs w:val="15"/>
              </w:rPr>
              <w:t>20、粮油物资储备支出</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15"/>
                <w:szCs w:val="15"/>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5"/>
                <w:szCs w:val="15"/>
              </w:rPr>
            </w:pP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15"/>
                <w:szCs w:val="15"/>
                <w:lang w:val="en-US" w:eastAsia="zh-CN" w:bidi="ar-SA"/>
              </w:rPr>
            </w:pPr>
            <w:r>
              <w:rPr>
                <w:rFonts w:hint="eastAsia" w:ascii="宋体" w:hAnsi="宋体" w:cs="宋体"/>
                <w:color w:val="000000"/>
                <w:kern w:val="0"/>
                <w:sz w:val="15"/>
                <w:szCs w:val="15"/>
              </w:rPr>
              <w:t>21、</w:t>
            </w:r>
            <w:r>
              <w:rPr>
                <w:rFonts w:hint="eastAsia" w:ascii="宋体" w:hAnsi="宋体" w:cs="宋体"/>
                <w:color w:val="000000"/>
                <w:kern w:val="0"/>
                <w:sz w:val="15"/>
                <w:szCs w:val="15"/>
                <w:lang w:eastAsia="zh-CN"/>
              </w:rPr>
              <w:t>灾害防治及应急管理支出</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15"/>
                <w:szCs w:val="15"/>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5"/>
                <w:szCs w:val="15"/>
              </w:rPr>
            </w:pP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val="en-US" w:eastAsia="zh-CN"/>
              </w:rPr>
              <w:t>22、</w:t>
            </w:r>
            <w:r>
              <w:rPr>
                <w:rFonts w:hint="eastAsia" w:ascii="宋体" w:hAnsi="宋体" w:cs="宋体"/>
                <w:color w:val="000000"/>
                <w:kern w:val="0"/>
                <w:sz w:val="15"/>
                <w:szCs w:val="15"/>
              </w:rPr>
              <w:t>其他支出</w:t>
            </w:r>
          </w:p>
        </w:tc>
        <w:tc>
          <w:tcPr>
            <w:tcW w:w="915" w:type="dxa"/>
            <w:tcBorders>
              <w:top w:val="single" w:color="000000" w:sz="4" w:space="0"/>
              <w:bottom w:val="single" w:color="000000" w:sz="4" w:space="0"/>
              <w:right w:val="single" w:color="000000" w:sz="4" w:space="0"/>
            </w:tcBorders>
            <w:vAlign w:val="center"/>
          </w:tcPr>
          <w:p>
            <w:pPr>
              <w:widowControl/>
              <w:ind w:firstLine="150" w:firstLineChars="100"/>
              <w:jc w:val="left"/>
              <w:textAlignment w:val="center"/>
              <w:rPr>
                <w:rFonts w:hint="default" w:ascii="宋体" w:hAnsi="宋体" w:eastAsia="宋体" w:cs="宋体"/>
                <w:color w:val="000000"/>
                <w:kern w:val="0"/>
                <w:sz w:val="15"/>
                <w:szCs w:val="15"/>
                <w:lang w:val="en-US" w:eastAsia="zh-CN" w:bidi="ar-SA"/>
              </w:rPr>
            </w:pPr>
          </w:p>
        </w:tc>
        <w:tc>
          <w:tcPr>
            <w:tcW w:w="1185"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 w:val="15"/>
                <w:szCs w:val="15"/>
              </w:rPr>
            </w:pPr>
          </w:p>
        </w:tc>
        <w:tc>
          <w:tcPr>
            <w:tcW w:w="1395"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5"/>
                <w:szCs w:val="15"/>
              </w:rPr>
            </w:pPr>
            <w:r>
              <w:rPr>
                <w:rFonts w:hint="eastAsia" w:ascii="宋体" w:hAnsi="宋体" w:cs="宋体"/>
                <w:color w:val="000000"/>
                <w:kern w:val="0"/>
                <w:szCs w:val="21"/>
                <w:lang w:val="en-US" w:eastAsia="zh-CN"/>
              </w:rPr>
              <w:t>47.87</w:t>
            </w: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5"/>
                <w:szCs w:val="15"/>
                <w:lang w:val="en-US" w:eastAsia="zh-CN"/>
              </w:rPr>
            </w:pPr>
            <w:r>
              <w:rPr>
                <w:rFonts w:hint="eastAsia" w:ascii="宋体" w:hAnsi="宋体" w:cs="宋体"/>
                <w:b/>
                <w:color w:val="000000"/>
                <w:kern w:val="0"/>
                <w:szCs w:val="21"/>
              </w:rPr>
              <w:t>本年支出合计</w:t>
            </w:r>
          </w:p>
        </w:tc>
        <w:tc>
          <w:tcPr>
            <w:tcW w:w="915" w:type="dxa"/>
            <w:tcBorders>
              <w:top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15"/>
                <w:szCs w:val="15"/>
                <w:lang w:val="en-US" w:eastAsia="zh-CN" w:bidi="ar-SA"/>
              </w:rPr>
            </w:pPr>
            <w:r>
              <w:rPr>
                <w:rFonts w:hint="eastAsia" w:ascii="宋体" w:hAnsi="宋体" w:cs="宋体"/>
                <w:b/>
                <w:color w:val="000000"/>
                <w:kern w:val="0"/>
                <w:szCs w:val="21"/>
                <w:lang w:val="en-US" w:eastAsia="zh-CN"/>
              </w:rPr>
              <w:t>60.52</w:t>
            </w:r>
          </w:p>
        </w:tc>
        <w:tc>
          <w:tcPr>
            <w:tcW w:w="1185"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5"/>
                <w:szCs w:val="15"/>
              </w:rPr>
            </w:pPr>
            <w:r>
              <w:rPr>
                <w:rFonts w:hint="eastAsia" w:ascii="宋体" w:hAnsi="宋体" w:cs="宋体"/>
                <w:b/>
                <w:color w:val="000000"/>
                <w:kern w:val="0"/>
                <w:szCs w:val="21"/>
                <w:lang w:val="en-US" w:eastAsia="zh-CN"/>
              </w:rPr>
              <w:t>60.52</w:t>
            </w:r>
          </w:p>
        </w:tc>
        <w:tc>
          <w:tcPr>
            <w:tcW w:w="1395"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val="en-US" w:eastAsia="zh-CN"/>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color w:val="000000"/>
                <w:kern w:val="0"/>
                <w:sz w:val="15"/>
                <w:szCs w:val="15"/>
              </w:rPr>
              <w:t>年初财政拨款结转和结余</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5"/>
                <w:szCs w:val="15"/>
              </w:rPr>
            </w:pPr>
            <w:r>
              <w:rPr>
                <w:rFonts w:hint="eastAsia" w:ascii="宋体" w:hAnsi="宋体" w:cs="宋体"/>
                <w:b/>
                <w:color w:val="000000"/>
                <w:kern w:val="0"/>
                <w:sz w:val="15"/>
                <w:szCs w:val="15"/>
                <w:lang w:val="en-US" w:eastAsia="zh-CN"/>
              </w:rPr>
              <w:t>61.96</w:t>
            </w: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5"/>
                <w:szCs w:val="15"/>
              </w:rPr>
            </w:pPr>
            <w:r>
              <w:rPr>
                <w:rFonts w:hint="eastAsia" w:ascii="宋体" w:hAnsi="宋体" w:cs="宋体"/>
                <w:color w:val="000000"/>
                <w:kern w:val="0"/>
                <w:sz w:val="15"/>
                <w:szCs w:val="15"/>
              </w:rPr>
              <w:t>年末财政拨款</w:t>
            </w:r>
          </w:p>
          <w:p>
            <w:pPr>
              <w:widowControl/>
              <w:jc w:val="center"/>
              <w:textAlignment w:val="center"/>
              <w:rPr>
                <w:rFonts w:hint="eastAsia" w:ascii="宋体" w:hAnsi="宋体" w:cs="宋体"/>
                <w:color w:val="000000"/>
                <w:kern w:val="0"/>
                <w:sz w:val="15"/>
                <w:szCs w:val="15"/>
                <w:lang w:val="en-US" w:eastAsia="zh-CN"/>
              </w:rPr>
            </w:pPr>
            <w:r>
              <w:rPr>
                <w:rFonts w:hint="eastAsia" w:ascii="宋体" w:hAnsi="宋体" w:cs="宋体"/>
                <w:color w:val="000000"/>
                <w:kern w:val="0"/>
                <w:sz w:val="15"/>
                <w:szCs w:val="15"/>
              </w:rPr>
              <w:t>结转和结余</w:t>
            </w:r>
          </w:p>
        </w:tc>
        <w:tc>
          <w:tcPr>
            <w:tcW w:w="915" w:type="dxa"/>
            <w:tcBorders>
              <w:top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15"/>
                <w:szCs w:val="15"/>
                <w:lang w:val="en-US" w:eastAsia="zh-CN" w:bidi="ar-SA"/>
              </w:rPr>
            </w:pPr>
            <w:r>
              <w:rPr>
                <w:rFonts w:hint="eastAsia" w:ascii="宋体" w:hAnsi="宋体" w:cs="宋体"/>
                <w:b/>
                <w:color w:val="000000"/>
                <w:kern w:val="0"/>
                <w:sz w:val="15"/>
                <w:szCs w:val="15"/>
                <w:lang w:val="en-US" w:eastAsia="zh-CN"/>
              </w:rPr>
              <w:t>49.31</w:t>
            </w:r>
          </w:p>
        </w:tc>
        <w:tc>
          <w:tcPr>
            <w:tcW w:w="1185"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5"/>
                <w:szCs w:val="15"/>
              </w:rPr>
            </w:pPr>
            <w:r>
              <w:rPr>
                <w:rFonts w:hint="eastAsia" w:ascii="宋体" w:hAnsi="宋体" w:cs="宋体"/>
                <w:b/>
                <w:color w:val="000000"/>
                <w:kern w:val="0"/>
                <w:sz w:val="15"/>
                <w:szCs w:val="15"/>
                <w:lang w:val="en-US" w:eastAsia="zh-CN"/>
              </w:rPr>
              <w:t>49.31</w:t>
            </w:r>
          </w:p>
        </w:tc>
        <w:tc>
          <w:tcPr>
            <w:tcW w:w="1395"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 w:val="15"/>
                <w:szCs w:val="15"/>
                <w:lang w:val="en-US" w:eastAsia="zh-CN"/>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both"/>
              <w:textAlignment w:val="center"/>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eastAsia="zh-CN"/>
              </w:rPr>
              <w:t>一、</w:t>
            </w:r>
            <w:r>
              <w:rPr>
                <w:rFonts w:hint="eastAsia" w:ascii="宋体" w:hAnsi="宋体" w:cs="宋体"/>
                <w:color w:val="000000"/>
                <w:kern w:val="0"/>
                <w:sz w:val="15"/>
                <w:szCs w:val="15"/>
              </w:rPr>
              <w:t>一般公共预</w:t>
            </w:r>
            <w:r>
              <w:rPr>
                <w:rFonts w:hint="eastAsia" w:ascii="宋体" w:hAnsi="宋体" w:cs="宋体"/>
                <w:color w:val="000000"/>
                <w:kern w:val="0"/>
                <w:sz w:val="15"/>
                <w:szCs w:val="15"/>
                <w:lang w:val="en-US" w:eastAsia="zh-CN"/>
              </w:rPr>
              <w:t xml:space="preserve">   </w:t>
            </w:r>
          </w:p>
          <w:p>
            <w:pPr>
              <w:widowControl/>
              <w:numPr>
                <w:ilvl w:val="0"/>
                <w:numId w:val="0"/>
              </w:numPr>
              <w:ind w:left="0" w:leftChars="0" w:firstLine="300" w:firstLineChars="200"/>
              <w:jc w:val="both"/>
              <w:textAlignment w:val="center"/>
              <w:rPr>
                <w:rFonts w:ascii="宋体" w:hAnsi="宋体" w:cs="宋体"/>
                <w:b/>
                <w:color w:val="000000"/>
                <w:szCs w:val="21"/>
              </w:rPr>
            </w:pPr>
            <w:r>
              <w:rPr>
                <w:rFonts w:hint="eastAsia" w:ascii="宋体" w:hAnsi="宋体" w:cs="宋体"/>
                <w:color w:val="000000"/>
                <w:kern w:val="0"/>
                <w:sz w:val="15"/>
                <w:szCs w:val="15"/>
              </w:rPr>
              <w:t>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5"/>
                <w:szCs w:val="15"/>
              </w:rPr>
            </w:pPr>
            <w:r>
              <w:rPr>
                <w:rFonts w:hint="eastAsia" w:ascii="宋体" w:hAnsi="宋体" w:cs="宋体"/>
                <w:b/>
                <w:color w:val="000000"/>
                <w:kern w:val="0"/>
                <w:sz w:val="15"/>
                <w:szCs w:val="15"/>
                <w:lang w:val="en-US" w:eastAsia="zh-CN"/>
              </w:rPr>
              <w:t>　　　　61.96</w:t>
            </w: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5"/>
                <w:szCs w:val="15"/>
                <w:lang w:val="en-US" w:eastAsia="zh-CN"/>
              </w:rPr>
            </w:pPr>
          </w:p>
        </w:tc>
        <w:tc>
          <w:tcPr>
            <w:tcW w:w="915" w:type="dxa"/>
            <w:tcBorders>
              <w:top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15"/>
                <w:szCs w:val="15"/>
                <w:lang w:val="en-US" w:eastAsia="zh-CN" w:bidi="ar-SA"/>
              </w:rPr>
            </w:pPr>
          </w:p>
        </w:tc>
        <w:tc>
          <w:tcPr>
            <w:tcW w:w="1185"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5"/>
                <w:szCs w:val="15"/>
              </w:rPr>
            </w:pPr>
          </w:p>
        </w:tc>
        <w:tc>
          <w:tcPr>
            <w:tcW w:w="1395"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Chars="0"/>
              <w:jc w:val="both"/>
              <w:textAlignment w:val="center"/>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eastAsia="zh-CN"/>
              </w:rPr>
              <w:t>二、</w:t>
            </w:r>
            <w:r>
              <w:rPr>
                <w:rFonts w:hint="eastAsia" w:ascii="宋体" w:hAnsi="宋体" w:cs="宋体"/>
                <w:color w:val="000000"/>
                <w:kern w:val="0"/>
                <w:sz w:val="15"/>
                <w:szCs w:val="15"/>
              </w:rPr>
              <w:t>政府性基金预</w:t>
            </w:r>
            <w:r>
              <w:rPr>
                <w:rFonts w:hint="eastAsia" w:ascii="宋体" w:hAnsi="宋体" w:cs="宋体"/>
                <w:color w:val="000000"/>
                <w:kern w:val="0"/>
                <w:sz w:val="15"/>
                <w:szCs w:val="15"/>
                <w:lang w:val="en-US" w:eastAsia="zh-CN"/>
              </w:rPr>
              <w:t xml:space="preserve"> </w:t>
            </w:r>
          </w:p>
          <w:p>
            <w:pPr>
              <w:widowControl/>
              <w:numPr>
                <w:ilvl w:val="0"/>
                <w:numId w:val="0"/>
              </w:numPr>
              <w:ind w:left="0" w:leftChars="0" w:firstLine="300" w:firstLineChars="200"/>
              <w:jc w:val="both"/>
              <w:textAlignment w:val="center"/>
              <w:rPr>
                <w:rFonts w:ascii="宋体" w:hAnsi="宋体" w:cs="宋体"/>
                <w:b/>
                <w:color w:val="000000"/>
                <w:szCs w:val="21"/>
              </w:rPr>
            </w:pPr>
            <w:r>
              <w:rPr>
                <w:rFonts w:hint="eastAsia" w:ascii="宋体" w:hAnsi="宋体" w:cs="宋体"/>
                <w:color w:val="000000"/>
                <w:kern w:val="0"/>
                <w:sz w:val="15"/>
                <w:szCs w:val="15"/>
              </w:rPr>
              <w:t>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5"/>
                <w:szCs w:val="15"/>
              </w:rPr>
            </w:pPr>
            <w:r>
              <w:rPr>
                <w:rFonts w:hint="eastAsia" w:ascii="宋体" w:hAnsi="宋体" w:cs="宋体"/>
                <w:b/>
                <w:color w:val="000000"/>
                <w:kern w:val="0"/>
                <w:sz w:val="15"/>
                <w:szCs w:val="15"/>
                <w:lang w:val="en-US" w:eastAsia="zh-CN"/>
              </w:rPr>
              <w:t>　　　　　0.00</w:t>
            </w: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5"/>
                <w:szCs w:val="15"/>
                <w:lang w:val="en-US" w:eastAsia="zh-CN"/>
              </w:rPr>
            </w:pPr>
          </w:p>
        </w:tc>
        <w:tc>
          <w:tcPr>
            <w:tcW w:w="915" w:type="dxa"/>
            <w:tcBorders>
              <w:top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15"/>
                <w:szCs w:val="15"/>
                <w:lang w:val="en-US" w:eastAsia="zh-CN" w:bidi="ar-SA"/>
              </w:rPr>
            </w:pPr>
          </w:p>
        </w:tc>
        <w:tc>
          <w:tcPr>
            <w:tcW w:w="1185"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5"/>
                <w:szCs w:val="15"/>
              </w:rPr>
            </w:pPr>
          </w:p>
        </w:tc>
        <w:tc>
          <w:tcPr>
            <w:tcW w:w="1395"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 w:val="15"/>
                <w:szCs w:val="15"/>
              </w:rPr>
              <w:t>收入总计</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5"/>
                <w:szCs w:val="15"/>
              </w:rPr>
            </w:pPr>
            <w:r>
              <w:rPr>
                <w:rFonts w:hint="eastAsia" w:ascii="宋体" w:hAnsi="宋体" w:cs="宋体"/>
                <w:b/>
                <w:color w:val="000000"/>
                <w:kern w:val="0"/>
                <w:sz w:val="15"/>
                <w:szCs w:val="15"/>
                <w:lang w:val="en-US" w:eastAsia="zh-CN"/>
              </w:rPr>
              <w:t>109.83</w:t>
            </w:r>
          </w:p>
        </w:tc>
        <w:tc>
          <w:tcPr>
            <w:tcW w:w="33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5"/>
                <w:szCs w:val="15"/>
                <w:lang w:val="en-US" w:eastAsia="zh-CN"/>
              </w:rPr>
            </w:pPr>
            <w:r>
              <w:rPr>
                <w:rFonts w:hint="eastAsia" w:ascii="宋体" w:hAnsi="宋体" w:cs="宋体"/>
                <w:b/>
                <w:color w:val="000000"/>
                <w:kern w:val="0"/>
                <w:sz w:val="15"/>
                <w:szCs w:val="15"/>
              </w:rPr>
              <w:t>支出总计</w:t>
            </w:r>
          </w:p>
        </w:tc>
        <w:tc>
          <w:tcPr>
            <w:tcW w:w="915" w:type="dxa"/>
            <w:tcBorders>
              <w:top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15"/>
                <w:szCs w:val="15"/>
                <w:lang w:val="en-US" w:eastAsia="zh-CN" w:bidi="ar-SA"/>
              </w:rPr>
            </w:pPr>
            <w:r>
              <w:rPr>
                <w:rFonts w:hint="eastAsia" w:ascii="宋体" w:hAnsi="宋体" w:cs="宋体"/>
                <w:b/>
                <w:color w:val="000000"/>
                <w:kern w:val="0"/>
                <w:sz w:val="15"/>
                <w:szCs w:val="15"/>
                <w:lang w:val="en-US" w:eastAsia="zh-CN"/>
              </w:rPr>
              <w:t>109.83</w:t>
            </w:r>
          </w:p>
        </w:tc>
        <w:tc>
          <w:tcPr>
            <w:tcW w:w="1185"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5"/>
                <w:szCs w:val="15"/>
              </w:rPr>
            </w:pPr>
            <w:r>
              <w:rPr>
                <w:rFonts w:hint="eastAsia" w:ascii="宋体" w:hAnsi="宋体" w:cs="宋体"/>
                <w:b/>
                <w:color w:val="000000"/>
                <w:kern w:val="0"/>
                <w:sz w:val="15"/>
                <w:szCs w:val="15"/>
                <w:lang w:val="en-US" w:eastAsia="zh-CN"/>
              </w:rPr>
              <w:t>109.83</w:t>
            </w:r>
          </w:p>
        </w:tc>
        <w:tc>
          <w:tcPr>
            <w:tcW w:w="1395"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 w:val="15"/>
                <w:szCs w:val="15"/>
                <w:lang w:val="en-US" w:eastAsia="zh-CN"/>
              </w:rPr>
              <w:t>0.00</w:t>
            </w:r>
          </w:p>
        </w:tc>
      </w:tr>
    </w:tbl>
    <w:p>
      <w:pPr>
        <w:jc w:val="center"/>
        <w:rPr>
          <w:rFonts w:hint="eastAsia" w:ascii="宋体" w:hAnsi="宋体" w:cs="宋体"/>
          <w:b/>
          <w:bCs/>
          <w:sz w:val="32"/>
          <w:szCs w:val="32"/>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镇坪县科学技术协会（本级）</w:t>
      </w:r>
      <w:r>
        <w:rPr>
          <w:rFonts w:hint="eastAsia" w:ascii="宋体" w:hAnsi="宋体" w:cs="宋体"/>
          <w:b/>
          <w:bCs/>
          <w:szCs w:val="21"/>
        </w:rPr>
        <w:t xml:space="preserve">                             金额单位：万元</w:t>
      </w:r>
    </w:p>
    <w:tbl>
      <w:tblPr>
        <w:tblStyle w:val="5"/>
        <w:tblW w:w="9843" w:type="dxa"/>
        <w:tblInd w:w="0" w:type="dxa"/>
        <w:tblLayout w:type="fixed"/>
        <w:tblCellMar>
          <w:top w:w="15" w:type="dxa"/>
          <w:left w:w="15" w:type="dxa"/>
          <w:bottom w:w="15" w:type="dxa"/>
          <w:right w:w="15" w:type="dxa"/>
        </w:tblCellMar>
      </w:tblPr>
      <w:tblGrid>
        <w:gridCol w:w="1170"/>
        <w:gridCol w:w="1983"/>
        <w:gridCol w:w="990"/>
        <w:gridCol w:w="915"/>
        <w:gridCol w:w="945"/>
        <w:gridCol w:w="1275"/>
        <w:gridCol w:w="1455"/>
        <w:gridCol w:w="1110"/>
      </w:tblGrid>
      <w:tr>
        <w:tblPrEx>
          <w:tblCellMar>
            <w:top w:w="15" w:type="dxa"/>
            <w:left w:w="15" w:type="dxa"/>
            <w:bottom w:w="15" w:type="dxa"/>
            <w:right w:w="15" w:type="dxa"/>
          </w:tblCellMar>
        </w:tblPrEx>
        <w:trPr>
          <w:trHeight w:val="414" w:hRule="atLeast"/>
        </w:trPr>
        <w:tc>
          <w:tcPr>
            <w:tcW w:w="31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3135"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31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60.52</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43.52</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30.95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snapToGrid w:val="0"/>
                <w:color w:val="000000"/>
                <w:kern w:val="0"/>
                <w:sz w:val="22"/>
                <w:szCs w:val="22"/>
                <w:u w:val="none"/>
                <w:lang w:val="en-US" w:eastAsia="zh-CN" w:bidi="ar"/>
              </w:rPr>
              <w:t>12.57</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17.00</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206</w:t>
            </w:r>
          </w:p>
        </w:tc>
        <w:tc>
          <w:tcPr>
            <w:tcW w:w="19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科学技术支出</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60.52</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43.52</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30.95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snapToGrid w:val="0"/>
                <w:color w:val="000000"/>
                <w:kern w:val="0"/>
                <w:sz w:val="22"/>
                <w:szCs w:val="22"/>
                <w:u w:val="none"/>
                <w:lang w:val="en-US" w:eastAsia="zh-CN" w:bidi="ar"/>
              </w:rPr>
              <w:t>12.57</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17.00</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20601</w:t>
            </w:r>
          </w:p>
        </w:tc>
        <w:tc>
          <w:tcPr>
            <w:tcW w:w="19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科学技术管理事务</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40.52</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40.52</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20.52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snapToGrid w:val="0"/>
                <w:color w:val="000000"/>
                <w:kern w:val="0"/>
                <w:sz w:val="22"/>
                <w:szCs w:val="22"/>
                <w:u w:val="none"/>
                <w:lang w:val="en-US" w:eastAsia="zh-CN" w:bidi="ar"/>
              </w:rPr>
              <w:t>20.00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snapToGrid w:val="0"/>
                <w:color w:val="000000"/>
                <w:kern w:val="0"/>
                <w:sz w:val="22"/>
                <w:szCs w:val="22"/>
                <w:u w:val="none"/>
                <w:lang w:val="en-US" w:eastAsia="zh-CN" w:bidi="ar"/>
              </w:rPr>
              <w:t>0.00</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2060101</w:t>
            </w:r>
          </w:p>
        </w:tc>
        <w:tc>
          <w:tcPr>
            <w:tcW w:w="19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 xml:space="preserve">  行政运行</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30.97</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30.97</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30.97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snapToGrid w:val="0"/>
                <w:color w:val="000000"/>
                <w:kern w:val="0"/>
                <w:sz w:val="22"/>
                <w:szCs w:val="22"/>
                <w:u w:val="none"/>
                <w:lang w:val="en-US" w:eastAsia="zh-CN" w:bidi="ar"/>
              </w:rPr>
              <w:t>0.00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snapToGrid w:val="0"/>
                <w:color w:val="000000"/>
                <w:kern w:val="0"/>
                <w:sz w:val="22"/>
                <w:szCs w:val="22"/>
                <w:u w:val="none"/>
                <w:lang w:val="en-US" w:eastAsia="zh-CN" w:bidi="ar"/>
              </w:rPr>
              <w:t>0.00</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2060103</w:t>
            </w:r>
          </w:p>
        </w:tc>
        <w:tc>
          <w:tcPr>
            <w:tcW w:w="19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 xml:space="preserve">  机关服务</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1.55</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1.55</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snapToGrid w:val="0"/>
                <w:color w:val="000000"/>
                <w:kern w:val="0"/>
                <w:sz w:val="22"/>
                <w:szCs w:val="22"/>
                <w:u w:val="none"/>
                <w:lang w:val="en-US" w:eastAsia="zh-CN" w:bidi="ar"/>
              </w:rPr>
              <w:t>1.55</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snapToGrid w:val="0"/>
                <w:color w:val="000000"/>
                <w:kern w:val="0"/>
                <w:sz w:val="22"/>
                <w:szCs w:val="22"/>
                <w:u w:val="none"/>
                <w:lang w:val="en-US" w:eastAsia="zh-CN" w:bidi="ar"/>
              </w:rPr>
              <w:t>0.00</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2060199</w:t>
            </w:r>
          </w:p>
        </w:tc>
        <w:tc>
          <w:tcPr>
            <w:tcW w:w="19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 xml:space="preserve">  其他科学技术管理事务支出</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8.00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snapToGrid w:val="0"/>
                <w:color w:val="000000"/>
                <w:kern w:val="0"/>
                <w:sz w:val="22"/>
                <w:szCs w:val="22"/>
                <w:u w:val="none"/>
                <w:lang w:val="en-US" w:eastAsia="zh-CN" w:bidi="ar"/>
              </w:rPr>
              <w:t>8.00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snapToGrid w:val="0"/>
                <w:color w:val="000000"/>
                <w:kern w:val="0"/>
                <w:sz w:val="22"/>
                <w:szCs w:val="22"/>
                <w:u w:val="none"/>
                <w:lang w:val="en-US" w:eastAsia="zh-CN" w:bidi="ar"/>
              </w:rPr>
              <w:t>0.00</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20607</w:t>
            </w:r>
          </w:p>
        </w:tc>
        <w:tc>
          <w:tcPr>
            <w:tcW w:w="19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科学技术普及</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20.00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17.00</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2060702</w:t>
            </w:r>
          </w:p>
        </w:tc>
        <w:tc>
          <w:tcPr>
            <w:tcW w:w="19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 xml:space="preserve">   科普活动</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20.00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wordWrap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 xml:space="preserve">0.00 </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17.00</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9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9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9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9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镇坪县科学技术协会（本级）</w:t>
      </w:r>
      <w:r>
        <w:rPr>
          <w:rFonts w:hint="eastAsia" w:ascii="宋体" w:hAnsi="宋体" w:cs="宋体"/>
          <w:b/>
          <w:bCs/>
          <w:szCs w:val="21"/>
        </w:rPr>
        <w:t xml:space="preserve">                                金额单位：万元</w:t>
      </w:r>
    </w:p>
    <w:tbl>
      <w:tblPr>
        <w:tblStyle w:val="5"/>
        <w:tblW w:w="9858" w:type="dxa"/>
        <w:tblInd w:w="0" w:type="dxa"/>
        <w:tblLayout w:type="fixed"/>
        <w:tblCellMar>
          <w:top w:w="15" w:type="dxa"/>
          <w:left w:w="15" w:type="dxa"/>
          <w:bottom w:w="15" w:type="dxa"/>
          <w:right w:w="15" w:type="dxa"/>
        </w:tblCellMar>
      </w:tblPr>
      <w:tblGrid>
        <w:gridCol w:w="1157"/>
        <w:gridCol w:w="3676"/>
        <w:gridCol w:w="1395"/>
        <w:gridCol w:w="1335"/>
        <w:gridCol w:w="1260"/>
        <w:gridCol w:w="1035"/>
      </w:tblGrid>
      <w:tr>
        <w:tblPrEx>
          <w:tblCellMar>
            <w:top w:w="15" w:type="dxa"/>
            <w:left w:w="15" w:type="dxa"/>
            <w:bottom w:w="15" w:type="dxa"/>
            <w:right w:w="15" w:type="dxa"/>
          </w:tblCellMar>
        </w:tblPrEx>
        <w:trPr>
          <w:trHeight w:val="434" w:hRule="atLeast"/>
        </w:trPr>
        <w:tc>
          <w:tcPr>
            <w:tcW w:w="48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3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50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254" w:hRule="atLeast"/>
        </w:trPr>
        <w:tc>
          <w:tcPr>
            <w:tcW w:w="48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395"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43.52</w:t>
            </w:r>
          </w:p>
        </w:tc>
        <w:tc>
          <w:tcPr>
            <w:tcW w:w="1335"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30.95</w:t>
            </w:r>
          </w:p>
        </w:tc>
        <w:tc>
          <w:tcPr>
            <w:tcW w:w="126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12.57</w:t>
            </w:r>
          </w:p>
        </w:tc>
        <w:tc>
          <w:tcPr>
            <w:tcW w:w="1035" w:type="dxa"/>
            <w:tcBorders>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312"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301</w:t>
            </w:r>
          </w:p>
        </w:tc>
        <w:tc>
          <w:tcPr>
            <w:tcW w:w="3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工资福利支出</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30.19</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30.19</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30101</w:t>
            </w:r>
          </w:p>
        </w:tc>
        <w:tc>
          <w:tcPr>
            <w:tcW w:w="3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 xml:space="preserve">  基本工资</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16.36</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16.36</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30102</w:t>
            </w:r>
          </w:p>
        </w:tc>
        <w:tc>
          <w:tcPr>
            <w:tcW w:w="3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 xml:space="preserve">  津贴补贴</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0.74</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0.74</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lang w:eastAsia="zh-CN"/>
              </w:rPr>
            </w:pPr>
            <w:r>
              <w:rPr>
                <w:rFonts w:hint="eastAsia" w:ascii="宋体" w:hAnsi="宋体" w:eastAsia="宋体" w:cs="宋体"/>
                <w:i w:val="0"/>
                <w:snapToGrid w:val="0"/>
                <w:color w:val="000000"/>
                <w:kern w:val="0"/>
                <w:sz w:val="22"/>
                <w:szCs w:val="22"/>
                <w:u w:val="none"/>
                <w:lang w:val="en-US" w:eastAsia="zh-CN" w:bidi="ar"/>
              </w:rPr>
              <w:t>30103</w:t>
            </w:r>
          </w:p>
        </w:tc>
        <w:tc>
          <w:tcPr>
            <w:tcW w:w="3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lang w:eastAsia="zh-CN"/>
              </w:rPr>
            </w:pPr>
            <w:r>
              <w:rPr>
                <w:rFonts w:hint="eastAsia" w:ascii="宋体" w:hAnsi="宋体" w:eastAsia="宋体" w:cs="宋体"/>
                <w:i w:val="0"/>
                <w:snapToGrid w:val="0"/>
                <w:color w:val="000000"/>
                <w:kern w:val="0"/>
                <w:sz w:val="22"/>
                <w:szCs w:val="22"/>
                <w:u w:val="none"/>
                <w:lang w:val="en-US" w:eastAsia="zh-CN" w:bidi="ar"/>
              </w:rPr>
              <w:t xml:space="preserve">  奖金</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1.08</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1.08</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30108</w:t>
            </w:r>
          </w:p>
        </w:tc>
        <w:tc>
          <w:tcPr>
            <w:tcW w:w="3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 xml:space="preserve">  机关事业单位基本养老保险缴费</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2.90</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2.90</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30109</w:t>
            </w:r>
          </w:p>
        </w:tc>
        <w:tc>
          <w:tcPr>
            <w:tcW w:w="3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 xml:space="preserve">  职业年金缴费</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0.85</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0.85</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30110</w:t>
            </w:r>
          </w:p>
        </w:tc>
        <w:tc>
          <w:tcPr>
            <w:tcW w:w="3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 xml:space="preserve">  职工基本医疗保险缴费</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0.47</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0.47</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30111</w:t>
            </w:r>
          </w:p>
        </w:tc>
        <w:tc>
          <w:tcPr>
            <w:tcW w:w="3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 xml:space="preserve">  公务员医疗补助缴费</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1.32</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1.32</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30112</w:t>
            </w:r>
          </w:p>
        </w:tc>
        <w:tc>
          <w:tcPr>
            <w:tcW w:w="3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 xml:space="preserve"> 其他社会保障缴费</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3.04</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3.04</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30113</w:t>
            </w:r>
          </w:p>
        </w:tc>
        <w:tc>
          <w:tcPr>
            <w:tcW w:w="3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 xml:space="preserve">  住房公积金</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3.45</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3.45</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302</w:t>
            </w:r>
          </w:p>
        </w:tc>
        <w:tc>
          <w:tcPr>
            <w:tcW w:w="3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商品和服务支出</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12.57</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12.57</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30201</w:t>
            </w:r>
          </w:p>
        </w:tc>
        <w:tc>
          <w:tcPr>
            <w:tcW w:w="3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 xml:space="preserve">  办公费</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3.69</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3.69</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30202</w:t>
            </w:r>
          </w:p>
        </w:tc>
        <w:tc>
          <w:tcPr>
            <w:tcW w:w="3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 xml:space="preserve">  印刷费</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2.36</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2.36</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30207</w:t>
            </w:r>
          </w:p>
        </w:tc>
        <w:tc>
          <w:tcPr>
            <w:tcW w:w="3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 xml:space="preserve">  邮电费</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0.80</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0.80</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30211</w:t>
            </w:r>
          </w:p>
        </w:tc>
        <w:tc>
          <w:tcPr>
            <w:tcW w:w="3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 xml:space="preserve">  差旅费</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3.64</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3.64</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115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30217</w:t>
            </w:r>
          </w:p>
        </w:tc>
        <w:tc>
          <w:tcPr>
            <w:tcW w:w="367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 xml:space="preserve">  公务接待费</w:t>
            </w:r>
          </w:p>
        </w:tc>
        <w:tc>
          <w:tcPr>
            <w:tcW w:w="1395"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0.78</w:t>
            </w:r>
          </w:p>
        </w:tc>
        <w:tc>
          <w:tcPr>
            <w:tcW w:w="1335"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0.78</w:t>
            </w:r>
          </w:p>
        </w:tc>
        <w:tc>
          <w:tcPr>
            <w:tcW w:w="1035" w:type="dxa"/>
            <w:tcBorders>
              <w:top w:val="single" w:color="000000" w:sz="4" w:space="0"/>
              <w:left w:val="single" w:color="000000" w:sz="4" w:space="0"/>
              <w:bottom w:val="single" w:color="auto"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30226</w:t>
            </w:r>
          </w:p>
        </w:tc>
        <w:tc>
          <w:tcPr>
            <w:tcW w:w="3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 xml:space="preserve">  劳务费</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1.24</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1.24</w:t>
            </w:r>
          </w:p>
        </w:tc>
        <w:tc>
          <w:tcPr>
            <w:tcW w:w="10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303</w:t>
            </w:r>
          </w:p>
        </w:tc>
        <w:tc>
          <w:tcPr>
            <w:tcW w:w="3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 xml:space="preserve"> 对个人和家庭的补助</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0.76</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0.76</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0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30305</w:t>
            </w:r>
          </w:p>
        </w:tc>
        <w:tc>
          <w:tcPr>
            <w:tcW w:w="3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 xml:space="preserve"> 生活补助</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0.76</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0.76</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snapToGrid w:val="0"/>
                <w:color w:val="000000"/>
                <w:kern w:val="0"/>
                <w:sz w:val="22"/>
                <w:szCs w:val="22"/>
                <w:u w:val="none"/>
                <w:lang w:val="en-US" w:eastAsia="zh-CN" w:bidi="ar"/>
              </w:rPr>
              <w:t>0.00</w:t>
            </w:r>
          </w:p>
        </w:tc>
        <w:tc>
          <w:tcPr>
            <w:tcW w:w="10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5"/>
        <w:tblW w:w="9843"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1084"/>
        <w:gridCol w:w="1635"/>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10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16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10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10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0.8</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0.8</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0.78</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0.78</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上年决算数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0.8</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0.8</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增减额</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减少</w:t>
            </w:r>
            <w:r>
              <w:rPr>
                <w:rFonts w:hint="eastAsia" w:ascii="宋体" w:hAnsi="宋体" w:cs="宋体"/>
                <w:b/>
                <w:color w:val="000000"/>
                <w:szCs w:val="21"/>
                <w:lang w:val="en-US" w:eastAsia="zh-CN"/>
              </w:rPr>
              <w:t>0.02</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减少</w:t>
            </w:r>
            <w:r>
              <w:rPr>
                <w:rFonts w:hint="eastAsia" w:ascii="宋体" w:hAnsi="宋体" w:cs="宋体"/>
                <w:b/>
                <w:color w:val="000000"/>
                <w:szCs w:val="21"/>
                <w:lang w:val="en-US" w:eastAsia="zh-CN"/>
              </w:rPr>
              <w:t>0.02</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val="en-US" w:eastAsia="zh-CN"/>
              </w:rPr>
              <w:t>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增减率</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减少</w:t>
            </w:r>
            <w:r>
              <w:rPr>
                <w:rFonts w:hint="eastAsia" w:ascii="宋体" w:hAnsi="宋体" w:cs="宋体"/>
                <w:b/>
                <w:color w:val="000000"/>
                <w:szCs w:val="21"/>
                <w:lang w:val="en-US" w:eastAsia="zh-CN"/>
              </w:rPr>
              <w:t>25%</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eastAsia="zh-CN"/>
              </w:rPr>
              <w:t>减少</w:t>
            </w:r>
            <w:r>
              <w:rPr>
                <w:rFonts w:hint="eastAsia" w:ascii="宋体" w:hAnsi="宋体" w:cs="宋体"/>
                <w:b/>
                <w:color w:val="000000"/>
                <w:szCs w:val="21"/>
                <w:lang w:val="en-US" w:eastAsia="zh-CN"/>
              </w:rPr>
              <w:t>25%</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以及本年决算与上年决算对比情况</w:t>
      </w:r>
      <w:r>
        <w:rPr>
          <w:rFonts w:hint="eastAsia" w:ascii="宋体" w:hAnsi="宋体" w:cs="宋体"/>
          <w:szCs w:val="21"/>
        </w:rPr>
        <w:t>。</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5"/>
        <w:tblW w:w="9843"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2437"/>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2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2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2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Cs w:val="21"/>
                <w:lang w:eastAsia="zh-CN"/>
              </w:rPr>
            </w:pPr>
            <w:r>
              <w:rPr>
                <w:rFonts w:hint="eastAsia" w:ascii="宋体" w:hAnsi="宋体" w:cs="宋体"/>
                <w:color w:val="000000"/>
                <w:szCs w:val="21"/>
                <w:lang w:eastAsia="zh-CN"/>
              </w:rPr>
              <w:t>无</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jc w:val="center"/>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 20</w:t>
      </w:r>
      <w:r>
        <w:rPr>
          <w:rFonts w:hint="eastAsia" w:ascii="黑体" w:hAnsi="宋体" w:eastAsia="黑体"/>
          <w:color w:val="000000"/>
          <w:kern w:val="0"/>
          <w:sz w:val="44"/>
          <w:szCs w:val="44"/>
          <w:lang w:val="en-US" w:eastAsia="zh-CN" w:bidi="ar"/>
        </w:rPr>
        <w:t>21</w:t>
      </w:r>
      <w:r>
        <w:rPr>
          <w:rFonts w:hint="eastAsia" w:ascii="黑体" w:hAnsi="宋体" w:eastAsia="黑体"/>
          <w:color w:val="000000"/>
          <w:kern w:val="0"/>
          <w:sz w:val="44"/>
          <w:szCs w:val="44"/>
          <w:lang w:bidi="ar"/>
        </w:rPr>
        <w:t>年部门决算情况</w:t>
      </w:r>
      <w:r>
        <w:rPr>
          <w:rFonts w:hint="eastAsia" w:ascii="黑体" w:hAnsi="宋体" w:eastAsia="黑体"/>
          <w:color w:val="000000"/>
          <w:kern w:val="0"/>
          <w:sz w:val="44"/>
          <w:szCs w:val="44"/>
          <w:lang w:eastAsia="zh-CN" w:bidi="ar"/>
        </w:rPr>
        <w:t>说明</w:t>
      </w:r>
    </w:p>
    <w:p>
      <w:pPr>
        <w:widowControl/>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eastAsia="zh-CN" w:bidi="ar"/>
        </w:rPr>
        <w:t>　　</w:t>
      </w: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年收入总体情况及比上年增长（减少）情况，分析增减变化的主要原因。</w:t>
      </w:r>
    </w:p>
    <w:p>
      <w:pPr>
        <w:spacing w:line="360" w:lineRule="auto"/>
        <w:ind w:firstLine="720" w:firstLineChars="225"/>
        <w:rPr>
          <w:rFonts w:hint="eastAsia" w:ascii="仿宋_GB2312" w:hAnsi="仿宋" w:eastAsia="仿宋_GB2312"/>
          <w:sz w:val="32"/>
          <w:szCs w:val="32"/>
        </w:rPr>
      </w:pPr>
      <w:r>
        <w:rPr>
          <w:rFonts w:ascii="仿宋_GB2312" w:hAnsi="仿宋" w:eastAsia="仿宋_GB2312"/>
          <w:sz w:val="32"/>
          <w:szCs w:val="32"/>
        </w:rPr>
        <w:drawing>
          <wp:anchor distT="0" distB="0" distL="114300" distR="114300" simplePos="0" relativeHeight="251658240" behindDoc="1" locked="0" layoutInCell="1" allowOverlap="1">
            <wp:simplePos x="0" y="0"/>
            <wp:positionH relativeFrom="column">
              <wp:posOffset>13970</wp:posOffset>
            </wp:positionH>
            <wp:positionV relativeFrom="paragraph">
              <wp:posOffset>1449705</wp:posOffset>
            </wp:positionV>
            <wp:extent cx="5661660" cy="3095625"/>
            <wp:effectExtent l="4445" t="4445" r="10795" b="5080"/>
            <wp:wrapTight wrapText="bothSides">
              <wp:wrapPolygon>
                <wp:start x="-17" y="-31"/>
                <wp:lineTo x="-17" y="21503"/>
                <wp:lineTo x="21569" y="21503"/>
                <wp:lineTo x="21569" y="-31"/>
                <wp:lineTo x="-17" y="-31"/>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_GB2312" w:hAnsi="仿宋" w:eastAsia="仿宋_GB2312"/>
          <w:sz w:val="32"/>
          <w:szCs w:val="32"/>
        </w:rPr>
        <w:t>本年度收入</w:t>
      </w:r>
      <w:r>
        <w:rPr>
          <w:rFonts w:hint="eastAsia" w:ascii="仿宋_GB2312" w:hAnsi="仿宋" w:eastAsia="仿宋_GB2312"/>
          <w:sz w:val="32"/>
          <w:szCs w:val="32"/>
          <w:lang w:val="en-US" w:eastAsia="zh-CN"/>
        </w:rPr>
        <w:t>109.87</w:t>
      </w:r>
      <w:r>
        <w:rPr>
          <w:rFonts w:hint="eastAsia" w:ascii="仿宋_GB2312" w:hAnsi="仿宋" w:eastAsia="仿宋_GB2312"/>
          <w:sz w:val="32"/>
          <w:szCs w:val="32"/>
        </w:rPr>
        <w:t>万元，上年收入</w:t>
      </w:r>
      <w:r>
        <w:rPr>
          <w:rFonts w:hint="eastAsia" w:ascii="仿宋_GB2312" w:hAnsi="仿宋" w:eastAsia="仿宋_GB2312"/>
          <w:sz w:val="32"/>
          <w:szCs w:val="32"/>
          <w:lang w:val="en-US" w:eastAsia="zh-CN"/>
        </w:rPr>
        <w:t>63.2</w:t>
      </w:r>
      <w:r>
        <w:rPr>
          <w:rFonts w:hint="eastAsia" w:ascii="仿宋_GB2312" w:hAnsi="仿宋" w:eastAsia="仿宋_GB2312"/>
          <w:sz w:val="32"/>
          <w:szCs w:val="32"/>
        </w:rPr>
        <w:t>万元，本年度较上年</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收入</w:t>
      </w:r>
      <w:r>
        <w:rPr>
          <w:rFonts w:hint="eastAsia" w:ascii="仿宋_GB2312" w:hAnsi="仿宋" w:eastAsia="仿宋_GB2312"/>
          <w:sz w:val="32"/>
          <w:szCs w:val="32"/>
          <w:lang w:val="en-US" w:eastAsia="zh-CN"/>
        </w:rPr>
        <w:t>73.84</w:t>
      </w:r>
      <w:r>
        <w:rPr>
          <w:rFonts w:hint="eastAsia" w:ascii="仿宋_GB2312" w:hAnsi="仿宋" w:eastAsia="仿宋_GB2312"/>
          <w:sz w:val="32"/>
          <w:szCs w:val="32"/>
        </w:rPr>
        <w:t>%。</w:t>
      </w:r>
    </w:p>
    <w:p>
      <w:pPr>
        <w:spacing w:line="360" w:lineRule="auto"/>
        <w:ind w:firstLine="720" w:firstLineChars="225"/>
        <w:rPr>
          <w:rFonts w:ascii="仿宋_GB2312" w:hAnsi="仿宋" w:eastAsia="仿宋_GB2312"/>
          <w:sz w:val="32"/>
          <w:szCs w:val="32"/>
        </w:rPr>
      </w:pPr>
      <w:r>
        <w:rPr>
          <w:rFonts w:hint="eastAsia" w:ascii="仿宋_GB2312" w:hAnsi="仿宋" w:eastAsia="仿宋_GB2312"/>
          <w:sz w:val="32"/>
          <w:szCs w:val="32"/>
          <w:lang w:val="en-US" w:eastAsia="zh-CN"/>
        </w:rPr>
        <w:t>增加</w:t>
      </w:r>
      <w:r>
        <w:rPr>
          <w:rFonts w:hint="eastAsia" w:ascii="仿宋_GB2312" w:hAnsi="仿宋" w:eastAsia="仿宋_GB2312"/>
          <w:sz w:val="32"/>
          <w:szCs w:val="32"/>
        </w:rPr>
        <w:t>原因：</w:t>
      </w:r>
      <w:r>
        <w:rPr>
          <w:rFonts w:hint="eastAsia" w:ascii="仿宋_GB2312" w:hAnsi="仿宋" w:eastAsia="仿宋_GB2312"/>
          <w:sz w:val="32"/>
          <w:szCs w:val="32"/>
          <w:lang w:val="en-US" w:eastAsia="zh-CN"/>
        </w:rPr>
        <w:t>本年度增加了上级财政专项拨款收入</w:t>
      </w:r>
      <w:r>
        <w:rPr>
          <w:rFonts w:hint="eastAsia" w:ascii="仿宋_GB2312" w:hAnsi="仿宋" w:eastAsia="仿宋_GB2312"/>
          <w:sz w:val="32"/>
          <w:szCs w:val="32"/>
        </w:rPr>
        <w:t>。</w:t>
      </w:r>
    </w:p>
    <w:p>
      <w:pPr>
        <w:spacing w:line="360" w:lineRule="auto"/>
        <w:ind w:firstLine="720" w:firstLineChars="225"/>
        <w:rPr>
          <w:rFonts w:ascii="仿宋_GB2312" w:hAnsi="仿宋" w:eastAsia="仿宋_GB2312"/>
          <w:sz w:val="32"/>
          <w:szCs w:val="32"/>
        </w:rPr>
      </w:pPr>
    </w:p>
    <w:p>
      <w:pPr>
        <w:widowControl/>
        <w:ind w:firstLine="640"/>
        <w:jc w:val="left"/>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年支出总体情况及比上年增长（减少）情况，分析增减变化的主要原因。</w:t>
      </w:r>
    </w:p>
    <w:p>
      <w:pPr>
        <w:spacing w:line="360" w:lineRule="auto"/>
        <w:ind w:firstLine="720" w:firstLineChars="225"/>
        <w:rPr>
          <w:rFonts w:ascii="仿宋_GB2312" w:hAnsi="仿宋" w:eastAsia="仿宋_GB2312"/>
          <w:sz w:val="32"/>
          <w:szCs w:val="32"/>
        </w:rPr>
      </w:pPr>
      <w:r>
        <w:rPr>
          <w:rFonts w:hint="eastAsia" w:ascii="仿宋_GB2312" w:hAnsi="仿宋" w:eastAsia="仿宋_GB2312"/>
          <w:sz w:val="32"/>
          <w:szCs w:val="32"/>
        </w:rPr>
        <w:t>本年度支出</w:t>
      </w:r>
      <w:r>
        <w:rPr>
          <w:rFonts w:hint="eastAsia" w:ascii="仿宋_GB2312" w:hAnsi="仿宋" w:eastAsia="仿宋_GB2312"/>
          <w:sz w:val="32"/>
          <w:szCs w:val="32"/>
          <w:lang w:val="en-US" w:eastAsia="zh-CN"/>
        </w:rPr>
        <w:t>94.57</w:t>
      </w:r>
      <w:r>
        <w:rPr>
          <w:rFonts w:hint="eastAsia" w:ascii="仿宋_GB2312" w:hAnsi="仿宋" w:eastAsia="仿宋_GB2312"/>
          <w:sz w:val="32"/>
          <w:szCs w:val="32"/>
        </w:rPr>
        <w:t>万元，上年支出</w:t>
      </w:r>
      <w:r>
        <w:rPr>
          <w:rFonts w:hint="eastAsia" w:ascii="仿宋_GB2312" w:hAnsi="仿宋" w:eastAsia="仿宋_GB2312"/>
          <w:sz w:val="32"/>
          <w:szCs w:val="32"/>
          <w:lang w:val="en-US" w:eastAsia="zh-CN"/>
        </w:rPr>
        <w:t>84.43</w:t>
      </w:r>
      <w:r>
        <w:rPr>
          <w:rFonts w:hint="eastAsia" w:ascii="仿宋_GB2312" w:hAnsi="仿宋" w:eastAsia="仿宋_GB2312"/>
          <w:sz w:val="32"/>
          <w:szCs w:val="32"/>
        </w:rPr>
        <w:t>万元，本年度较上年</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支出</w:t>
      </w:r>
      <w:r>
        <w:rPr>
          <w:rFonts w:hint="eastAsia" w:ascii="仿宋_GB2312" w:hAnsi="仿宋" w:eastAsia="仿宋_GB2312"/>
          <w:sz w:val="32"/>
          <w:szCs w:val="32"/>
          <w:lang w:val="en-US" w:eastAsia="zh-CN"/>
        </w:rPr>
        <w:t>12</w:t>
      </w:r>
      <w:r>
        <w:rPr>
          <w:rFonts w:hint="eastAsia" w:ascii="仿宋_GB2312" w:hAnsi="仿宋" w:eastAsia="仿宋_GB2312"/>
          <w:sz w:val="32"/>
          <w:szCs w:val="32"/>
        </w:rPr>
        <w:t>%。</w:t>
      </w:r>
    </w:p>
    <w:p>
      <w:pPr>
        <w:spacing w:line="360" w:lineRule="auto"/>
        <w:ind w:firstLine="720" w:firstLineChars="225"/>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增加</w:t>
      </w:r>
      <w:r>
        <w:rPr>
          <w:rFonts w:hint="eastAsia" w:ascii="仿宋_GB2312" w:hAnsi="仿宋" w:eastAsia="仿宋_GB2312"/>
          <w:sz w:val="32"/>
          <w:szCs w:val="32"/>
        </w:rPr>
        <w:t>原因：</w:t>
      </w:r>
      <w:r>
        <w:rPr>
          <w:rFonts w:hint="eastAsia" w:ascii="仿宋_GB2312" w:hAnsi="仿宋" w:eastAsia="仿宋_GB2312"/>
          <w:sz w:val="32"/>
          <w:szCs w:val="32"/>
          <w:lang w:eastAsia="zh-CN"/>
        </w:rPr>
        <w:t>本年度</w:t>
      </w:r>
      <w:r>
        <w:rPr>
          <w:rFonts w:hint="eastAsia" w:ascii="仿宋_GB2312" w:hAnsi="仿宋" w:eastAsia="仿宋_GB2312"/>
          <w:sz w:val="32"/>
          <w:szCs w:val="32"/>
          <w:lang w:val="en-US" w:eastAsia="zh-CN"/>
        </w:rPr>
        <w:t>增加了人员经费</w:t>
      </w:r>
      <w:r>
        <w:rPr>
          <w:rFonts w:hint="eastAsia" w:ascii="仿宋_GB2312" w:hAnsi="仿宋" w:eastAsia="仿宋_GB2312"/>
          <w:sz w:val="32"/>
          <w:szCs w:val="32"/>
          <w:lang w:eastAsia="zh-CN"/>
        </w:rPr>
        <w:t>及其他项目等支出。</w:t>
      </w:r>
    </w:p>
    <w:p>
      <w:pPr>
        <w:spacing w:line="360" w:lineRule="auto"/>
        <w:rPr>
          <w:rFonts w:hint="eastAsia" w:ascii="黑体" w:hAnsi="黑体" w:eastAsia="黑体"/>
          <w:color w:val="000000"/>
          <w:kern w:val="0"/>
          <w:sz w:val="32"/>
          <w:szCs w:val="32"/>
          <w:lang w:eastAsia="zh-CN" w:bidi="ar"/>
        </w:rPr>
      </w:pPr>
    </w:p>
    <w:p>
      <w:pPr>
        <w:widowControl/>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w:t>
      </w:r>
      <w:r>
        <w:rPr>
          <w:rFonts w:hint="eastAsia" w:ascii="黑体" w:hAnsi="黑体" w:eastAsia="黑体"/>
          <w:color w:val="000000"/>
          <w:kern w:val="0"/>
          <w:sz w:val="32"/>
          <w:szCs w:val="32"/>
          <w:lang w:eastAsia="zh-CN" w:bidi="ar"/>
        </w:rPr>
        <w:t>说明</w:t>
      </w:r>
    </w:p>
    <w:p>
      <w:pPr>
        <w:widowControl/>
        <w:ind w:firstLine="640" w:firstLineChars="200"/>
        <w:jc w:val="left"/>
      </w:pPr>
      <w:r>
        <w:rPr>
          <w:rFonts w:hint="eastAsia"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21</w:t>
      </w:r>
      <w:r>
        <w:rPr>
          <w:rFonts w:ascii="仿宋_GB2312" w:hAnsi="宋体" w:eastAsia="仿宋_GB2312" w:cs="仿宋_GB2312"/>
          <w:color w:val="000000"/>
          <w:kern w:val="0"/>
          <w:sz w:val="32"/>
          <w:szCs w:val="32"/>
          <w:lang w:bidi="ar"/>
        </w:rPr>
        <w:t>年收入合计</w:t>
      </w:r>
      <w:r>
        <w:rPr>
          <w:rFonts w:hint="eastAsia" w:ascii="仿宋_GB2312" w:hAnsi="宋体" w:eastAsia="仿宋_GB2312" w:cs="仿宋_GB2312"/>
          <w:color w:val="000000"/>
          <w:kern w:val="0"/>
          <w:sz w:val="32"/>
          <w:szCs w:val="32"/>
          <w:lang w:val="en-US" w:eastAsia="zh-CN" w:bidi="ar"/>
        </w:rPr>
        <w:t>109.87</w:t>
      </w:r>
      <w:r>
        <w:rPr>
          <w:rFonts w:ascii="仿宋_GB2312" w:hAnsi="宋体" w:eastAsia="仿宋_GB2312" w:cs="仿宋_GB2312"/>
          <w:color w:val="000000"/>
          <w:kern w:val="0"/>
          <w:sz w:val="32"/>
          <w:szCs w:val="32"/>
          <w:lang w:bidi="ar"/>
        </w:rPr>
        <w:t>万元，其中：财政拨款收入</w:t>
      </w:r>
      <w:r>
        <w:rPr>
          <w:rFonts w:hint="eastAsia" w:ascii="仿宋_GB2312" w:hAnsi="宋体" w:eastAsia="仿宋_GB2312" w:cs="仿宋_GB2312"/>
          <w:color w:val="000000"/>
          <w:kern w:val="0"/>
          <w:sz w:val="32"/>
          <w:szCs w:val="32"/>
          <w:lang w:val="en-US" w:eastAsia="zh-CN" w:bidi="ar"/>
        </w:rPr>
        <w:t>47.87</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43.57</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其他</w:t>
      </w:r>
      <w:r>
        <w:rPr>
          <w:rFonts w:ascii="仿宋_GB2312" w:hAnsi="宋体" w:eastAsia="仿宋_GB2312" w:cs="仿宋_GB2312"/>
          <w:color w:val="000000"/>
          <w:kern w:val="0"/>
          <w:sz w:val="32"/>
          <w:szCs w:val="32"/>
          <w:lang w:bidi="ar"/>
        </w:rPr>
        <w:t>收入</w:t>
      </w:r>
      <w:r>
        <w:rPr>
          <w:rFonts w:hint="eastAsia" w:ascii="仿宋_GB2312" w:hAnsi="宋体" w:eastAsia="仿宋_GB2312" w:cs="仿宋_GB2312"/>
          <w:color w:val="000000"/>
          <w:kern w:val="0"/>
          <w:sz w:val="32"/>
          <w:szCs w:val="32"/>
          <w:lang w:val="en-US" w:eastAsia="zh-CN" w:bidi="ar"/>
        </w:rPr>
        <w:t>62</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56.43</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drawing>
          <wp:inline distT="0" distB="0" distL="114300" distR="114300">
            <wp:extent cx="6079490" cy="3191510"/>
            <wp:effectExtent l="4445" t="4445" r="12065" b="234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numPr>
          <w:ilvl w:val="0"/>
          <w:numId w:val="1"/>
        </w:numPr>
        <w:ind w:firstLine="640" w:firstLineChars="200"/>
        <w:jc w:val="left"/>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bidi="ar"/>
        </w:rPr>
        <w:t>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numPr>
          <w:ilvl w:val="0"/>
          <w:numId w:val="0"/>
        </w:numPr>
        <w:jc w:val="left"/>
        <w:rPr>
          <w:rFonts w:hint="eastAsia" w:ascii="黑体" w:hAnsi="黑体" w:eastAsia="黑体"/>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　　</w:t>
      </w:r>
      <w:r>
        <w:rPr>
          <w:rFonts w:hint="eastAsia"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21</w:t>
      </w:r>
      <w:r>
        <w:rPr>
          <w:rFonts w:ascii="仿宋_GB2312" w:hAnsi="宋体" w:eastAsia="仿宋_GB2312" w:cs="仿宋_GB2312"/>
          <w:color w:val="000000"/>
          <w:kern w:val="0"/>
          <w:sz w:val="32"/>
          <w:szCs w:val="32"/>
          <w:lang w:bidi="ar"/>
        </w:rPr>
        <w:t>年支出合计</w:t>
      </w:r>
      <w:r>
        <w:rPr>
          <w:rFonts w:hint="eastAsia" w:ascii="仿宋_GB2312" w:hAnsi="宋体" w:eastAsia="仿宋_GB2312" w:cs="仿宋_GB2312"/>
          <w:color w:val="000000"/>
          <w:kern w:val="0"/>
          <w:sz w:val="32"/>
          <w:szCs w:val="32"/>
          <w:lang w:val="en-US" w:eastAsia="zh-CN" w:bidi="ar"/>
        </w:rPr>
        <w:t>94.57</w:t>
      </w:r>
      <w:r>
        <w:rPr>
          <w:rFonts w:ascii="仿宋_GB2312" w:hAnsi="宋体" w:eastAsia="仿宋_GB2312" w:cs="仿宋_GB2312"/>
          <w:color w:val="000000"/>
          <w:kern w:val="0"/>
          <w:sz w:val="32"/>
          <w:szCs w:val="32"/>
          <w:lang w:bidi="ar"/>
        </w:rPr>
        <w:t>万元，其中：基本支出</w:t>
      </w:r>
      <w:r>
        <w:rPr>
          <w:rFonts w:hint="eastAsia" w:ascii="仿宋_GB2312" w:hAnsi="宋体" w:eastAsia="仿宋_GB2312" w:cs="仿宋_GB2312"/>
          <w:color w:val="000000"/>
          <w:kern w:val="0"/>
          <w:sz w:val="32"/>
          <w:szCs w:val="32"/>
          <w:lang w:val="en-US" w:eastAsia="zh-CN" w:bidi="ar"/>
        </w:rPr>
        <w:t>77.57</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82.02</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项目支出</w:t>
      </w:r>
      <w:r>
        <w:rPr>
          <w:rFonts w:hint="eastAsia" w:ascii="仿宋_GB2312" w:hAnsi="宋体" w:eastAsia="仿宋_GB2312" w:cs="仿宋_GB2312"/>
          <w:color w:val="000000"/>
          <w:kern w:val="0"/>
          <w:sz w:val="32"/>
          <w:szCs w:val="32"/>
          <w:lang w:val="en-US" w:eastAsia="zh-CN" w:bidi="ar"/>
        </w:rPr>
        <w:t>17</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17.98</w:t>
      </w:r>
      <w:r>
        <w:rPr>
          <w:rFonts w:ascii="仿宋_GB2312" w:hAnsi="宋体" w:eastAsia="仿宋_GB2312" w:cs="仿宋_GB2312"/>
          <w:color w:val="000000"/>
          <w:kern w:val="0"/>
          <w:sz w:val="32"/>
          <w:szCs w:val="32"/>
          <w:lang w:bidi="ar"/>
        </w:rPr>
        <w:t>%。</w:t>
      </w:r>
      <w:r>
        <w:drawing>
          <wp:inline distT="0" distB="0" distL="114300" distR="114300">
            <wp:extent cx="6022340" cy="2876550"/>
            <wp:effectExtent l="4445" t="4445" r="1206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hint="eastAsia" w:ascii="黑体" w:hAnsi="黑体" w:eastAsia="黑体"/>
          <w:color w:val="000000"/>
          <w:kern w:val="0"/>
          <w:sz w:val="32"/>
          <w:szCs w:val="32"/>
          <w:lang w:eastAsia="zh-CN" w:bidi="ar"/>
        </w:rPr>
        <w:t>　　　　　　　　　　　　　　　　</w:t>
      </w:r>
    </w:p>
    <w:p>
      <w:pPr>
        <w:widowControl/>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eastAsia="zh-CN" w:bidi="ar"/>
        </w:rPr>
        <w:t>　　</w:t>
      </w: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spacing w:line="360" w:lineRule="auto"/>
        <w:ind w:firstLine="720" w:firstLineChars="225"/>
        <w:rPr>
          <w:rFonts w:ascii="仿宋_GB2312" w:hAnsi="仿宋" w:eastAsia="仿宋_GB2312"/>
          <w:sz w:val="32"/>
          <w:szCs w:val="32"/>
        </w:rPr>
      </w:pPr>
      <w:r>
        <w:rPr>
          <w:rFonts w:hint="eastAsia" w:ascii="仿宋_GB2312" w:hAnsi="仿宋_GB2312" w:eastAsia="仿宋_GB2312" w:cs="仿宋_GB2312"/>
          <w:sz w:val="32"/>
          <w:szCs w:val="32"/>
        </w:rPr>
        <w:t>1、20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color w:val="000000"/>
          <w:kern w:val="0"/>
          <w:sz w:val="32"/>
          <w:szCs w:val="32"/>
          <w:lang w:bidi="ar"/>
        </w:rPr>
        <w:t>财政拨款</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47.87</w:t>
      </w:r>
      <w:r>
        <w:rPr>
          <w:rFonts w:hint="eastAsia" w:ascii="仿宋_GB2312" w:hAnsi="仿宋_GB2312" w:eastAsia="仿宋_GB2312" w:cs="仿宋_GB2312"/>
          <w:sz w:val="32"/>
          <w:szCs w:val="32"/>
        </w:rPr>
        <w:t>万元，</w:t>
      </w:r>
      <w:r>
        <w:rPr>
          <w:rFonts w:hint="eastAsia" w:ascii="仿宋_GB2312" w:hAnsi="仿宋" w:eastAsia="仿宋_GB2312"/>
          <w:sz w:val="32"/>
          <w:szCs w:val="32"/>
        </w:rPr>
        <w:t>上年收入</w:t>
      </w:r>
      <w:r>
        <w:rPr>
          <w:rFonts w:hint="eastAsia" w:ascii="仿宋_GB2312" w:hAnsi="仿宋" w:eastAsia="仿宋_GB2312"/>
          <w:sz w:val="32"/>
          <w:szCs w:val="32"/>
          <w:lang w:val="en-US" w:eastAsia="zh-CN"/>
        </w:rPr>
        <w:t>63.2</w:t>
      </w:r>
      <w:r>
        <w:rPr>
          <w:rFonts w:hint="eastAsia" w:ascii="仿宋_GB2312" w:hAnsi="仿宋" w:eastAsia="仿宋_GB2312"/>
          <w:sz w:val="32"/>
          <w:szCs w:val="32"/>
        </w:rPr>
        <w:t>万元，本年度较上年</w:t>
      </w:r>
      <w:r>
        <w:rPr>
          <w:rFonts w:hint="eastAsia" w:ascii="仿宋_GB2312" w:hAnsi="仿宋" w:eastAsia="仿宋_GB2312"/>
          <w:sz w:val="32"/>
          <w:szCs w:val="32"/>
          <w:lang w:eastAsia="zh-CN"/>
        </w:rPr>
        <w:t>减少</w:t>
      </w:r>
      <w:r>
        <w:rPr>
          <w:rFonts w:hint="eastAsia" w:ascii="仿宋_GB2312" w:hAnsi="仿宋" w:eastAsia="仿宋_GB2312"/>
          <w:sz w:val="32"/>
          <w:szCs w:val="32"/>
        </w:rPr>
        <w:t>收入</w:t>
      </w:r>
      <w:r>
        <w:rPr>
          <w:rFonts w:hint="eastAsia" w:ascii="仿宋_GB2312" w:hAnsi="仿宋" w:eastAsia="仿宋_GB2312"/>
          <w:sz w:val="32"/>
          <w:szCs w:val="32"/>
          <w:lang w:val="en-US" w:eastAsia="zh-CN"/>
        </w:rPr>
        <w:t>24.26</w:t>
      </w:r>
      <w:r>
        <w:rPr>
          <w:rFonts w:hint="eastAsia" w:ascii="仿宋_GB2312" w:hAnsi="仿宋" w:eastAsia="仿宋_GB2312"/>
          <w:sz w:val="32"/>
          <w:szCs w:val="32"/>
        </w:rPr>
        <w:t>%。</w:t>
      </w:r>
      <w:r>
        <w:rPr>
          <w:rFonts w:hint="eastAsia" w:ascii="仿宋_GB2312" w:hAnsi="仿宋" w:eastAsia="仿宋_GB2312"/>
          <w:sz w:val="32"/>
          <w:szCs w:val="32"/>
          <w:lang w:eastAsia="zh-CN"/>
        </w:rPr>
        <w:t>减少</w:t>
      </w:r>
      <w:r>
        <w:rPr>
          <w:rFonts w:hint="eastAsia" w:ascii="仿宋_GB2312" w:hAnsi="仿宋" w:eastAsia="仿宋_GB2312"/>
          <w:sz w:val="32"/>
          <w:szCs w:val="32"/>
        </w:rPr>
        <w:t>原因：上年结余较大，本年度安排较少，本年度</w:t>
      </w:r>
      <w:r>
        <w:rPr>
          <w:rFonts w:hint="eastAsia" w:ascii="仿宋_GB2312" w:hAnsi="仿宋" w:eastAsia="仿宋_GB2312"/>
          <w:sz w:val="32"/>
          <w:szCs w:val="32"/>
          <w:lang w:eastAsia="zh-CN"/>
        </w:rPr>
        <w:t>减少</w:t>
      </w:r>
      <w:r>
        <w:rPr>
          <w:rFonts w:hint="eastAsia" w:ascii="仿宋_GB2312" w:hAnsi="仿宋" w:eastAsia="仿宋_GB2312"/>
          <w:sz w:val="32"/>
          <w:szCs w:val="32"/>
        </w:rPr>
        <w:t>了财政拨款收入。</w:t>
      </w:r>
    </w:p>
    <w:p>
      <w:pPr>
        <w:spacing w:line="360" w:lineRule="auto"/>
        <w:ind w:firstLine="720" w:firstLineChars="225"/>
        <w:rPr>
          <w:rFonts w:ascii="仿宋_GB2312" w:hAnsi="仿宋" w:eastAsia="仿宋_GB2312"/>
          <w:sz w:val="32"/>
          <w:szCs w:val="32"/>
        </w:rPr>
      </w:pPr>
      <w:r>
        <w:rPr>
          <w:rFonts w:hint="eastAsia" w:ascii="仿宋_GB2312" w:hAnsi="仿宋" w:eastAsia="仿宋_GB2312"/>
          <w:sz w:val="32"/>
          <w:szCs w:val="32"/>
        </w:rPr>
        <w:t>本年度支出</w:t>
      </w:r>
      <w:r>
        <w:rPr>
          <w:rFonts w:hint="eastAsia" w:ascii="仿宋_GB2312" w:hAnsi="仿宋" w:eastAsia="仿宋_GB2312"/>
          <w:sz w:val="32"/>
          <w:szCs w:val="32"/>
          <w:lang w:val="en-US" w:eastAsia="zh-CN"/>
        </w:rPr>
        <w:t>94.57</w:t>
      </w:r>
      <w:r>
        <w:rPr>
          <w:rFonts w:hint="eastAsia" w:ascii="仿宋_GB2312" w:hAnsi="仿宋" w:eastAsia="仿宋_GB2312"/>
          <w:sz w:val="32"/>
          <w:szCs w:val="32"/>
        </w:rPr>
        <w:t>万元，上年支出</w:t>
      </w:r>
      <w:r>
        <w:rPr>
          <w:rFonts w:hint="eastAsia" w:ascii="仿宋_GB2312" w:hAnsi="仿宋" w:eastAsia="仿宋_GB2312"/>
          <w:sz w:val="32"/>
          <w:szCs w:val="32"/>
          <w:lang w:val="en-US" w:eastAsia="zh-CN"/>
        </w:rPr>
        <w:t>84.43</w:t>
      </w:r>
      <w:r>
        <w:rPr>
          <w:rFonts w:hint="eastAsia" w:ascii="仿宋_GB2312" w:hAnsi="仿宋" w:eastAsia="仿宋_GB2312"/>
          <w:sz w:val="32"/>
          <w:szCs w:val="32"/>
        </w:rPr>
        <w:t>万元，本年度较上年</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支出</w:t>
      </w:r>
      <w:r>
        <w:rPr>
          <w:rFonts w:hint="eastAsia" w:ascii="仿宋_GB2312" w:hAnsi="仿宋" w:eastAsia="仿宋_GB2312"/>
          <w:sz w:val="32"/>
          <w:szCs w:val="32"/>
          <w:lang w:val="en-US" w:eastAsia="zh-CN"/>
        </w:rPr>
        <w:t>12.00</w:t>
      </w:r>
      <w:r>
        <w:rPr>
          <w:rFonts w:hint="eastAsia" w:ascii="仿宋_GB2312" w:hAnsi="仿宋" w:eastAsia="仿宋_GB2312"/>
          <w:sz w:val="32"/>
          <w:szCs w:val="32"/>
        </w:rPr>
        <w:t>%。</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原因：</w:t>
      </w:r>
      <w:r>
        <w:rPr>
          <w:rFonts w:hint="eastAsia" w:ascii="仿宋_GB2312" w:hAnsi="仿宋" w:eastAsia="仿宋_GB2312"/>
          <w:sz w:val="32"/>
          <w:szCs w:val="32"/>
          <w:lang w:eastAsia="zh-CN"/>
        </w:rPr>
        <w:t>本年度</w:t>
      </w:r>
      <w:r>
        <w:rPr>
          <w:rFonts w:hint="eastAsia" w:ascii="仿宋_GB2312" w:hAnsi="仿宋" w:eastAsia="仿宋_GB2312"/>
          <w:sz w:val="32"/>
          <w:szCs w:val="32"/>
          <w:lang w:val="en-US" w:eastAsia="zh-CN"/>
        </w:rPr>
        <w:t>增加了人员经费及</w:t>
      </w:r>
      <w:r>
        <w:rPr>
          <w:rFonts w:hint="eastAsia" w:ascii="仿宋_GB2312" w:hAnsi="仿宋" w:eastAsia="仿宋_GB2312"/>
          <w:sz w:val="32"/>
          <w:szCs w:val="32"/>
          <w:lang w:eastAsia="zh-CN"/>
        </w:rPr>
        <w:t>其他项目等支出。</w:t>
      </w:r>
    </w:p>
    <w:p>
      <w:pPr>
        <w:spacing w:line="360" w:lineRule="auto"/>
        <w:ind w:firstLine="720" w:firstLineChars="225"/>
        <w:rPr>
          <w:rFonts w:ascii="仿宋_GB2312" w:hAnsi="宋体" w:eastAsia="仿宋_GB2312" w:cs="宋体"/>
          <w:sz w:val="32"/>
          <w:szCs w:val="32"/>
        </w:rPr>
      </w:pPr>
      <w:r>
        <w:rPr>
          <w:rFonts w:hint="eastAsia" w:ascii="仿宋_GB2312" w:hAnsi="仿宋" w:eastAsia="仿宋_GB2312"/>
          <w:sz w:val="32"/>
          <w:szCs w:val="32"/>
        </w:rPr>
        <w:t>2、</w:t>
      </w:r>
      <w:r>
        <w:rPr>
          <w:rFonts w:hint="eastAsia" w:ascii="仿宋_GB2312" w:hAnsi="宋体" w:eastAsia="仿宋_GB2312" w:cs="宋体"/>
          <w:sz w:val="32"/>
          <w:szCs w:val="32"/>
        </w:rPr>
        <w:t>一般</w:t>
      </w:r>
      <w:r>
        <w:rPr>
          <w:rFonts w:hint="eastAsia" w:ascii="仿宋_GB2312" w:hAnsi="仿宋" w:eastAsia="仿宋_GB2312"/>
          <w:sz w:val="32"/>
          <w:szCs w:val="32"/>
        </w:rPr>
        <w:t>公共预算财政拨款支出情况。20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年度县科协一般公共预算财政拨款支出总计为</w:t>
      </w:r>
      <w:r>
        <w:rPr>
          <w:rFonts w:hint="eastAsia" w:ascii="仿宋_GB2312" w:hAnsi="仿宋" w:eastAsia="仿宋_GB2312"/>
          <w:sz w:val="32"/>
          <w:szCs w:val="32"/>
          <w:lang w:val="en-US" w:eastAsia="zh-CN"/>
        </w:rPr>
        <w:t>60.52</w:t>
      </w:r>
      <w:r>
        <w:rPr>
          <w:rFonts w:hint="eastAsia" w:ascii="仿宋_GB2312" w:hAnsi="仿宋" w:eastAsia="仿宋_GB2312"/>
          <w:sz w:val="32"/>
          <w:szCs w:val="32"/>
        </w:rPr>
        <w:t>万元，</w:t>
      </w:r>
      <w:r>
        <w:rPr>
          <w:rFonts w:hint="eastAsia" w:ascii="仿宋_GB2312" w:hAnsi="宋体" w:eastAsia="仿宋_GB2312" w:cs="宋体"/>
          <w:sz w:val="32"/>
          <w:szCs w:val="32"/>
        </w:rPr>
        <w:t>功能分类科目：</w:t>
      </w:r>
    </w:p>
    <w:p>
      <w:pPr>
        <w:spacing w:line="360" w:lineRule="auto"/>
        <w:ind w:firstLine="720" w:firstLineChars="225"/>
        <w:rPr>
          <w:rFonts w:hint="eastAsia" w:ascii="仿宋_GB2312" w:hAnsi="仿宋" w:eastAsia="仿宋_GB2312"/>
          <w:sz w:val="32"/>
          <w:szCs w:val="32"/>
          <w:lang w:val="en-US" w:eastAsia="zh-CN"/>
        </w:rPr>
      </w:pPr>
      <w:r>
        <w:rPr>
          <w:rFonts w:hint="eastAsia" w:ascii="仿宋_GB2312" w:hAnsi="宋体" w:eastAsia="仿宋_GB2312" w:cs="宋体"/>
          <w:sz w:val="32"/>
          <w:szCs w:val="32"/>
        </w:rPr>
        <w:t>（1）科学技术支出</w:t>
      </w:r>
      <w:r>
        <w:rPr>
          <w:rFonts w:hint="eastAsia" w:ascii="仿宋_GB2312" w:hAnsi="仿宋" w:eastAsia="仿宋_GB2312"/>
          <w:sz w:val="32"/>
          <w:szCs w:val="32"/>
        </w:rPr>
        <w:t>（206），支出</w:t>
      </w:r>
      <w:r>
        <w:rPr>
          <w:rFonts w:hint="eastAsia" w:ascii="仿宋_GB2312" w:hAnsi="仿宋" w:eastAsia="仿宋_GB2312"/>
          <w:sz w:val="32"/>
          <w:szCs w:val="32"/>
          <w:lang w:val="en-US" w:eastAsia="zh-CN"/>
        </w:rPr>
        <w:t>60.52</w:t>
      </w:r>
      <w:r>
        <w:rPr>
          <w:rFonts w:hint="eastAsia" w:ascii="仿宋_GB2312" w:hAnsi="仿宋" w:eastAsia="仿宋_GB2312"/>
          <w:sz w:val="32"/>
          <w:szCs w:val="32"/>
        </w:rPr>
        <w:t>万元；①科学技术管理事务支出（20601）支出</w:t>
      </w:r>
      <w:r>
        <w:rPr>
          <w:rFonts w:hint="eastAsia" w:ascii="仿宋_GB2312" w:hAnsi="仿宋" w:eastAsia="仿宋_GB2312"/>
          <w:sz w:val="32"/>
          <w:szCs w:val="32"/>
          <w:lang w:val="en-US" w:eastAsia="zh-CN"/>
        </w:rPr>
        <w:t>40.52</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包括：行政运行（2060101）支出数为</w:t>
      </w:r>
      <w:r>
        <w:rPr>
          <w:rFonts w:hint="eastAsia" w:ascii="仿宋_GB2312" w:hAnsi="仿宋" w:eastAsia="仿宋_GB2312"/>
          <w:sz w:val="32"/>
          <w:szCs w:val="32"/>
          <w:lang w:val="en-US" w:eastAsia="zh-CN"/>
        </w:rPr>
        <w:t>30.97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机关服务</w:t>
      </w:r>
      <w:r>
        <w:rPr>
          <w:rFonts w:hint="eastAsia" w:ascii="仿宋_GB2312" w:hAnsi="仿宋" w:eastAsia="仿宋_GB2312"/>
          <w:sz w:val="32"/>
          <w:szCs w:val="32"/>
        </w:rPr>
        <w:t>（206010</w:t>
      </w:r>
      <w:r>
        <w:rPr>
          <w:rFonts w:hint="eastAsia" w:ascii="仿宋_GB2312" w:hAnsi="仿宋" w:eastAsia="仿宋_GB2312"/>
          <w:sz w:val="32"/>
          <w:szCs w:val="32"/>
          <w:lang w:val="en-US" w:eastAsia="zh-CN"/>
        </w:rPr>
        <w:t>3</w:t>
      </w:r>
      <w:r>
        <w:rPr>
          <w:rFonts w:hint="eastAsia" w:ascii="仿宋_GB2312" w:hAnsi="仿宋" w:eastAsia="仿宋_GB2312"/>
          <w:sz w:val="32"/>
          <w:szCs w:val="32"/>
        </w:rPr>
        <w:t>）支出数为</w:t>
      </w:r>
      <w:r>
        <w:rPr>
          <w:rFonts w:hint="eastAsia" w:ascii="仿宋_GB2312" w:hAnsi="仿宋" w:eastAsia="仿宋_GB2312"/>
          <w:sz w:val="32"/>
          <w:szCs w:val="32"/>
          <w:lang w:val="en-US" w:eastAsia="zh-CN"/>
        </w:rPr>
        <w:t>1.55万元；</w:t>
      </w:r>
      <w:r>
        <w:rPr>
          <w:rFonts w:hint="eastAsia" w:ascii="仿宋_GB2312" w:hAnsi="仿宋" w:eastAsia="仿宋_GB2312"/>
          <w:sz w:val="32"/>
          <w:szCs w:val="32"/>
          <w:lang w:eastAsia="zh-CN"/>
        </w:rPr>
        <w:t>其他</w:t>
      </w:r>
      <w:r>
        <w:rPr>
          <w:rFonts w:hint="eastAsia" w:ascii="仿宋_GB2312" w:hAnsi="仿宋" w:eastAsia="仿宋_GB2312"/>
          <w:sz w:val="32"/>
          <w:szCs w:val="32"/>
        </w:rPr>
        <w:t>科学技术管理事务支出（2060</w:t>
      </w:r>
      <w:r>
        <w:rPr>
          <w:rFonts w:hint="eastAsia" w:ascii="仿宋_GB2312" w:hAnsi="仿宋" w:eastAsia="仿宋_GB2312"/>
          <w:sz w:val="32"/>
          <w:szCs w:val="32"/>
          <w:lang w:val="en-US" w:eastAsia="zh-CN"/>
        </w:rPr>
        <w:t>199</w:t>
      </w:r>
      <w:r>
        <w:rPr>
          <w:rFonts w:hint="eastAsia" w:ascii="仿宋_GB2312" w:hAnsi="仿宋" w:eastAsia="仿宋_GB2312"/>
          <w:sz w:val="32"/>
          <w:szCs w:val="32"/>
        </w:rPr>
        <w:t>）</w:t>
      </w:r>
      <w:r>
        <w:rPr>
          <w:rFonts w:hint="eastAsia" w:ascii="仿宋_GB2312" w:hAnsi="仿宋" w:eastAsia="仿宋_GB2312"/>
          <w:sz w:val="32"/>
          <w:szCs w:val="32"/>
          <w:lang w:eastAsia="zh-CN"/>
        </w:rPr>
        <w:t>支出</w:t>
      </w:r>
      <w:r>
        <w:rPr>
          <w:rFonts w:hint="eastAsia" w:ascii="仿宋_GB2312" w:hAnsi="仿宋" w:eastAsia="仿宋_GB2312"/>
          <w:sz w:val="32"/>
          <w:szCs w:val="32"/>
          <w:lang w:val="en-US" w:eastAsia="zh-CN"/>
        </w:rPr>
        <w:t>8万元；</w:t>
      </w:r>
      <w:r>
        <w:rPr>
          <w:rFonts w:hint="eastAsia" w:ascii="仿宋_GB2312" w:hAnsi="仿宋" w:eastAsia="仿宋_GB2312"/>
          <w:sz w:val="32"/>
          <w:szCs w:val="32"/>
          <w:lang w:val="en-US" w:eastAsia="zh-CN"/>
        </w:rPr>
        <w:sym w:font="Wingdings" w:char="F082"/>
      </w:r>
      <w:r>
        <w:rPr>
          <w:rFonts w:hint="eastAsia" w:ascii="仿宋_GB2312" w:hAnsi="仿宋" w:eastAsia="仿宋_GB2312"/>
          <w:sz w:val="32"/>
          <w:szCs w:val="32"/>
        </w:rPr>
        <w:t>科学技术普及</w:t>
      </w:r>
      <w:r>
        <w:rPr>
          <w:rFonts w:hint="eastAsia" w:ascii="仿宋_GB2312" w:hAnsi="仿宋" w:eastAsia="仿宋_GB2312"/>
          <w:sz w:val="32"/>
          <w:szCs w:val="32"/>
          <w:lang w:val="en-US" w:eastAsia="zh-CN"/>
        </w:rPr>
        <w:t>-科普活动</w:t>
      </w:r>
      <w:r>
        <w:rPr>
          <w:rFonts w:hint="eastAsia" w:ascii="仿宋_GB2312" w:hAnsi="仿宋" w:eastAsia="仿宋_GB2312"/>
          <w:sz w:val="32"/>
          <w:szCs w:val="32"/>
        </w:rPr>
        <w:t>（20607</w:t>
      </w:r>
      <w:r>
        <w:rPr>
          <w:rFonts w:hint="eastAsia" w:ascii="仿宋_GB2312" w:hAnsi="仿宋" w:eastAsia="仿宋_GB2312"/>
          <w:sz w:val="32"/>
          <w:szCs w:val="32"/>
          <w:lang w:val="en-US" w:eastAsia="zh-CN"/>
        </w:rPr>
        <w:t>02</w:t>
      </w:r>
      <w:r>
        <w:rPr>
          <w:rFonts w:hint="eastAsia" w:ascii="仿宋_GB2312" w:hAnsi="仿宋" w:eastAsia="仿宋_GB2312"/>
          <w:sz w:val="32"/>
          <w:szCs w:val="32"/>
        </w:rPr>
        <w:t>）支出</w:t>
      </w:r>
      <w:r>
        <w:rPr>
          <w:rFonts w:hint="eastAsia" w:ascii="仿宋_GB2312" w:hAnsi="仿宋" w:eastAsia="仿宋_GB2312"/>
          <w:sz w:val="32"/>
          <w:szCs w:val="32"/>
          <w:lang w:val="en-US" w:eastAsia="zh-CN"/>
        </w:rPr>
        <w:t>20.00</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其中</w:t>
      </w:r>
      <w:r>
        <w:rPr>
          <w:rFonts w:hint="eastAsia" w:ascii="仿宋_GB2312" w:hAnsi="仿宋" w:eastAsia="仿宋_GB2312"/>
          <w:sz w:val="32"/>
          <w:szCs w:val="32"/>
          <w:lang w:val="en-US" w:eastAsia="zh-CN"/>
        </w:rPr>
        <w:t>基本支出3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项目支出17.00</w:t>
      </w:r>
      <w:r>
        <w:rPr>
          <w:rFonts w:hint="eastAsia" w:ascii="仿宋_GB2312" w:hAnsi="仿宋" w:eastAsia="仿宋_GB2312"/>
          <w:sz w:val="32"/>
          <w:szCs w:val="32"/>
        </w:rPr>
        <w:t>万</w:t>
      </w:r>
      <w:r>
        <w:rPr>
          <w:rFonts w:hint="eastAsia" w:ascii="仿宋_GB2312" w:hAnsi="仿宋" w:eastAsia="仿宋_GB2312"/>
          <w:sz w:val="32"/>
          <w:szCs w:val="32"/>
          <w:lang w:val="en-US" w:eastAsia="zh-CN"/>
        </w:rPr>
        <w:t>元元）。</w:t>
      </w:r>
    </w:p>
    <w:p>
      <w:pPr>
        <w:spacing w:line="360" w:lineRule="auto"/>
        <w:rPr>
          <w:rFonts w:hint="eastAsia" w:ascii="仿宋_GB2312" w:hAnsi="仿宋" w:eastAsia="仿宋_GB2312"/>
          <w:sz w:val="32"/>
          <w:szCs w:val="32"/>
        </w:rPr>
      </w:pPr>
      <w:r>
        <w:rPr>
          <w:rFonts w:ascii="仿宋_GB2312" w:hAnsi="仿宋" w:eastAsia="仿宋_GB2312"/>
          <w:sz w:val="32"/>
          <w:szCs w:val="32"/>
        </w:rPr>
        <w:drawing>
          <wp:inline distT="0" distB="0" distL="114300" distR="114300">
            <wp:extent cx="5774690" cy="3105785"/>
            <wp:effectExtent l="4445" t="4445" r="12065" b="1397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ind w:firstLine="640" w:firstLineChars="200"/>
        <w:jc w:val="left"/>
        <w:rPr>
          <w:rFonts w:hint="eastAsia" w:ascii="仿宋_GB2312" w:hAnsi="仿宋" w:eastAsia="仿宋_GB2312"/>
          <w:sz w:val="32"/>
          <w:szCs w:val="32"/>
        </w:rPr>
      </w:pPr>
    </w:p>
    <w:p>
      <w:pPr>
        <w:widowControl/>
        <w:numPr>
          <w:ilvl w:val="0"/>
          <w:numId w:val="2"/>
        </w:numPr>
        <w:jc w:val="left"/>
        <w:rPr>
          <w:rFonts w:hint="eastAsia" w:ascii="黑体" w:hAnsi="黑体" w:eastAsia="黑体"/>
          <w:color w:val="000000"/>
          <w:kern w:val="0"/>
          <w:sz w:val="32"/>
          <w:szCs w:val="32"/>
          <w:lang w:eastAsia="zh-CN" w:bidi="ar"/>
        </w:rPr>
      </w:pPr>
      <w:r>
        <w:rPr>
          <w:rFonts w:hint="eastAsia" w:ascii="黑体" w:hAnsi="黑体" w:eastAsia="黑体"/>
          <w:color w:val="000000"/>
          <w:kern w:val="0"/>
          <w:sz w:val="32"/>
          <w:szCs w:val="32"/>
          <w:lang w:bidi="ar"/>
        </w:rPr>
        <w:t>一般公共预算财政拨款支出决算情况</w:t>
      </w:r>
      <w:r>
        <w:rPr>
          <w:rFonts w:hint="eastAsia" w:ascii="黑体" w:hAnsi="黑体" w:eastAsia="黑体"/>
          <w:color w:val="000000"/>
          <w:kern w:val="0"/>
          <w:sz w:val="32"/>
          <w:szCs w:val="32"/>
          <w:lang w:eastAsia="zh-CN" w:bidi="ar"/>
        </w:rPr>
        <w:t>说明</w:t>
      </w:r>
    </w:p>
    <w:p>
      <w:pPr>
        <w:widowControl/>
        <w:numPr>
          <w:ilvl w:val="0"/>
          <w:numId w:val="0"/>
        </w:numPr>
        <w:kinsoku w:val="0"/>
        <w:autoSpaceDE w:val="0"/>
        <w:autoSpaceDN w:val="0"/>
        <w:adjustRightInd w:val="0"/>
        <w:snapToGrid w:val="0"/>
        <w:spacing w:line="240" w:lineRule="auto"/>
        <w:jc w:val="left"/>
        <w:textAlignment w:val="baseline"/>
        <w:rPr>
          <w:rFonts w:hint="eastAsia" w:ascii="黑体" w:hAnsi="黑体" w:eastAsia="黑体"/>
          <w:color w:val="000000"/>
          <w:kern w:val="0"/>
          <w:sz w:val="32"/>
          <w:szCs w:val="32"/>
          <w:lang w:eastAsia="zh-CN" w:bidi="ar"/>
        </w:rPr>
      </w:pPr>
    </w:p>
    <w:p>
      <w:pPr>
        <w:widowControl/>
        <w:numPr>
          <w:ilvl w:val="0"/>
          <w:numId w:val="0"/>
        </w:numPr>
        <w:kinsoku w:val="0"/>
        <w:autoSpaceDE w:val="0"/>
        <w:autoSpaceDN w:val="0"/>
        <w:adjustRightInd w:val="0"/>
        <w:snapToGrid w:val="0"/>
        <w:spacing w:line="240" w:lineRule="auto"/>
        <w:jc w:val="left"/>
        <w:textAlignment w:val="baseline"/>
        <w:rPr>
          <w:rFonts w:hint="eastAsia" w:ascii="黑体" w:hAnsi="黑体" w:eastAsia="黑体"/>
          <w:color w:val="000000"/>
          <w:kern w:val="0"/>
          <w:sz w:val="32"/>
          <w:szCs w:val="32"/>
          <w:lang w:eastAsia="zh-CN" w:bidi="ar"/>
        </w:rPr>
      </w:pP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3" w:firstLineChars="200"/>
        <w:jc w:val="left"/>
        <w:rPr>
          <w:rFonts w:ascii="楷体_GB2312" w:hAnsi="宋体" w:eastAsia="楷体_GB2312" w:cs="楷体_GB2312"/>
          <w:b/>
          <w:color w:val="000000"/>
          <w:kern w:val="0"/>
          <w:sz w:val="32"/>
          <w:szCs w:val="32"/>
          <w:lang w:bidi="ar"/>
        </w:rPr>
      </w:pPr>
    </w:p>
    <w:p>
      <w:pPr>
        <w:widowControl/>
        <w:ind w:firstLine="640"/>
        <w:jc w:val="left"/>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21</w:t>
      </w:r>
      <w:r>
        <w:rPr>
          <w:rFonts w:ascii="仿宋_GB2312" w:hAnsi="宋体" w:eastAsia="仿宋_GB2312" w:cs="仿宋_GB2312"/>
          <w:color w:val="000000"/>
          <w:kern w:val="0"/>
          <w:sz w:val="32"/>
          <w:szCs w:val="32"/>
          <w:lang w:bidi="ar"/>
        </w:rPr>
        <w:t>年财政拨款支出</w:t>
      </w:r>
      <w:r>
        <w:rPr>
          <w:rFonts w:hint="eastAsia" w:ascii="仿宋_GB2312" w:hAnsi="宋体" w:eastAsia="仿宋_GB2312" w:cs="仿宋_GB2312"/>
          <w:color w:val="000000"/>
          <w:kern w:val="0"/>
          <w:sz w:val="32"/>
          <w:szCs w:val="32"/>
          <w:lang w:val="en-US" w:eastAsia="zh-CN" w:bidi="ar"/>
        </w:rPr>
        <w:t>60.52</w:t>
      </w:r>
      <w:r>
        <w:rPr>
          <w:rFonts w:ascii="仿宋_GB2312" w:hAnsi="宋体" w:eastAsia="仿宋_GB2312" w:cs="仿宋_GB2312"/>
          <w:color w:val="000000"/>
          <w:kern w:val="0"/>
          <w:sz w:val="32"/>
          <w:szCs w:val="32"/>
          <w:lang w:bidi="ar"/>
        </w:rPr>
        <w:t>万元，占本年支出合计的</w:t>
      </w:r>
      <w:r>
        <w:rPr>
          <w:rFonts w:hint="eastAsia" w:ascii="仿宋_GB2312" w:hAnsi="宋体" w:eastAsia="仿宋_GB2312" w:cs="仿宋_GB2312"/>
          <w:color w:val="000000"/>
          <w:kern w:val="0"/>
          <w:sz w:val="32"/>
          <w:szCs w:val="32"/>
          <w:lang w:val="en-US" w:eastAsia="zh-CN" w:bidi="ar"/>
        </w:rPr>
        <w:t>63.99</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_GB2312" w:hAnsi="宋体" w:eastAsia="仿宋_GB2312" w:cs="仿宋_GB2312"/>
          <w:color w:val="000000"/>
          <w:kern w:val="0"/>
          <w:sz w:val="32"/>
          <w:szCs w:val="32"/>
          <w:lang w:val="en-US" w:eastAsia="zh-CN" w:bidi="ar"/>
        </w:rPr>
        <w:t>增加11.71</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增加</w:t>
      </w:r>
      <w:r>
        <w:rPr>
          <w:rFonts w:hint="eastAsia" w:ascii="仿宋_GB2312" w:hAnsi="仿宋" w:eastAsia="仿宋_GB2312"/>
          <w:sz w:val="32"/>
          <w:szCs w:val="32"/>
          <w:lang w:val="en-US" w:eastAsia="zh-CN"/>
        </w:rPr>
        <w:t>23.99</w:t>
      </w:r>
      <w:r>
        <w:rPr>
          <w:rFonts w:ascii="仿宋_GB2312" w:hAnsi="宋体" w:eastAsia="仿宋_GB2312" w:cs="仿宋_GB2312"/>
          <w:color w:val="000000"/>
          <w:kern w:val="0"/>
          <w:sz w:val="32"/>
          <w:szCs w:val="32"/>
          <w:lang w:bidi="ar"/>
        </w:rPr>
        <w:t>%，主要</w:t>
      </w:r>
      <w:r>
        <w:rPr>
          <w:rFonts w:hint="eastAsia" w:ascii="仿宋_GB2312" w:hAnsi="宋体" w:eastAsia="仿宋_GB2312" w:cs="仿宋_GB2312"/>
          <w:color w:val="000000"/>
          <w:kern w:val="0"/>
          <w:sz w:val="32"/>
          <w:szCs w:val="32"/>
          <w:lang w:bidi="ar"/>
        </w:rPr>
        <w:t>原因是</w:t>
      </w:r>
      <w:r>
        <w:rPr>
          <w:rFonts w:hint="eastAsia" w:ascii="仿宋_GB2312" w:hAnsi="宋体" w:eastAsia="仿宋_GB2312" w:cs="仿宋_GB2312"/>
          <w:color w:val="000000"/>
          <w:kern w:val="0"/>
          <w:sz w:val="32"/>
          <w:szCs w:val="32"/>
          <w:lang w:val="en-US" w:eastAsia="zh-CN" w:bidi="ar"/>
        </w:rPr>
        <w:t>增加了人员经费及</w:t>
      </w:r>
      <w:r>
        <w:rPr>
          <w:rFonts w:hint="eastAsia" w:ascii="仿宋_GB2312" w:hAnsi="仿宋" w:eastAsia="仿宋_GB2312"/>
          <w:sz w:val="32"/>
          <w:szCs w:val="32"/>
        </w:rPr>
        <w:t>项目支出</w:t>
      </w:r>
      <w:r>
        <w:rPr>
          <w:rFonts w:hint="eastAsia" w:ascii="仿宋_GB2312" w:hAnsi="宋体" w:eastAsia="仿宋_GB2312" w:cs="仿宋_GB2312"/>
          <w:color w:val="000000"/>
          <w:kern w:val="0"/>
          <w:sz w:val="32"/>
          <w:szCs w:val="32"/>
          <w:lang w:bidi="ar"/>
        </w:rPr>
        <w:t>。</w:t>
      </w:r>
    </w:p>
    <w:p>
      <w:pPr>
        <w:widowControl/>
        <w:ind w:firstLine="420" w:firstLineChars="200"/>
        <w:jc w:val="left"/>
      </w:pPr>
    </w:p>
    <w:p>
      <w:pPr>
        <w:widowControl/>
        <w:ind w:firstLine="420" w:firstLineChars="200"/>
        <w:jc w:val="left"/>
        <w:rPr>
          <w:rFonts w:hint="eastAsia" w:ascii="仿宋_GB2312" w:hAnsi="宋体" w:eastAsia="仿宋_GB2312" w:cs="仿宋_GB2312"/>
          <w:color w:val="000000"/>
          <w:kern w:val="0"/>
          <w:sz w:val="32"/>
          <w:szCs w:val="32"/>
          <w:lang w:eastAsia="zh-CN" w:bidi="ar"/>
        </w:rPr>
      </w:pPr>
      <w:r>
        <w:drawing>
          <wp:inline distT="0" distB="0" distL="114300" distR="114300">
            <wp:extent cx="5450205" cy="2847975"/>
            <wp:effectExtent l="4445" t="4445" r="12700" b="50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widowControl/>
        <w:ind w:firstLine="640" w:firstLineChars="200"/>
        <w:jc w:val="left"/>
        <w:rPr>
          <w:rFonts w:hint="eastAsia" w:ascii="仿宋_GB2312" w:hAnsi="宋体" w:eastAsia="仿宋_GB2312" w:cs="仿宋_GB2312"/>
          <w:color w:val="000000"/>
          <w:kern w:val="0"/>
          <w:sz w:val="32"/>
          <w:szCs w:val="32"/>
          <w:lang w:eastAsia="zh-CN" w:bidi="ar"/>
        </w:rPr>
      </w:pPr>
    </w:p>
    <w:p>
      <w:pPr>
        <w:widowControl/>
        <w:ind w:firstLine="420" w:firstLineChars="200"/>
        <w:jc w:val="left"/>
      </w:pP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21</w:t>
      </w:r>
      <w:r>
        <w:rPr>
          <w:rFonts w:ascii="仿宋_GB2312" w:hAnsi="宋体" w:eastAsia="仿宋_GB2312" w:cs="仿宋_GB2312"/>
          <w:color w:val="000000"/>
          <w:kern w:val="0"/>
          <w:sz w:val="32"/>
          <w:szCs w:val="32"/>
          <w:lang w:bidi="ar"/>
        </w:rPr>
        <w:t>年财政拨款支出年初预算为</w:t>
      </w:r>
      <w:r>
        <w:rPr>
          <w:rFonts w:hint="eastAsia" w:ascii="仿宋_GB2312" w:hAnsi="宋体" w:eastAsia="仿宋_GB2312" w:cs="仿宋_GB2312"/>
          <w:color w:val="000000"/>
          <w:kern w:val="0"/>
          <w:sz w:val="32"/>
          <w:szCs w:val="32"/>
          <w:lang w:val="en-US" w:eastAsia="zh-CN" w:bidi="ar"/>
        </w:rPr>
        <w:t>46.87</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60.52</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129.12</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决算数大于预算数的原因是增加了聘用人员工资支出。</w:t>
      </w:r>
      <w:r>
        <w:rPr>
          <w:rFonts w:hint="eastAsia" w:ascii="仿宋_GB2312" w:hAnsi="宋体" w:eastAsia="仿宋_GB2312" w:cs="仿宋_GB2312"/>
          <w:color w:val="000000"/>
          <w:kern w:val="0"/>
          <w:sz w:val="32"/>
          <w:szCs w:val="32"/>
          <w:lang w:bidi="ar"/>
        </w:rPr>
        <w:t>按照政府功能分类科目</w:t>
      </w:r>
      <w:r>
        <w:rPr>
          <w:rFonts w:hint="eastAsia" w:ascii="仿宋_GB2312" w:hAnsi="宋体" w:eastAsia="仿宋_GB2312" w:cs="仿宋_GB2312"/>
          <w:color w:val="000000"/>
          <w:kern w:val="0"/>
          <w:sz w:val="32"/>
          <w:szCs w:val="32"/>
          <w:lang w:eastAsia="zh-CN" w:bidi="ar"/>
        </w:rPr>
        <w:t>（科学技术支出</w:t>
      </w:r>
      <w:r>
        <w:rPr>
          <w:rFonts w:hint="eastAsia" w:ascii="仿宋_GB2312" w:hAnsi="宋体" w:eastAsia="仿宋_GB2312" w:cs="仿宋_GB2312"/>
          <w:color w:val="000000"/>
          <w:kern w:val="0"/>
          <w:sz w:val="32"/>
          <w:szCs w:val="32"/>
          <w:lang w:val="en-US" w:eastAsia="zh-CN" w:bidi="ar"/>
        </w:rPr>
        <w:t>60.52万元</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 xml:space="preserve">其中： </w:t>
      </w:r>
    </w:p>
    <w:p>
      <w:pPr>
        <w:widowControl/>
        <w:numPr>
          <w:ilvl w:val="0"/>
          <w:numId w:val="3"/>
        </w:numPr>
        <w:ind w:firstLine="640" w:firstLineChars="200"/>
        <w:jc w:val="left"/>
        <w:rPr>
          <w:rFonts w:ascii="仿宋_GB2312" w:hAnsi="宋体" w:eastAsia="仿宋_GB2312" w:cs="仿宋_GB2312"/>
          <w:b w:val="0"/>
          <w:bCs/>
          <w:color w:val="000000"/>
          <w:kern w:val="0"/>
          <w:sz w:val="32"/>
          <w:szCs w:val="32"/>
          <w:lang w:bidi="ar"/>
        </w:rPr>
      </w:pPr>
      <w:r>
        <w:rPr>
          <w:rFonts w:hint="eastAsia" w:ascii="仿宋_GB2312" w:hAnsi="宋体" w:eastAsia="仿宋_GB2312" w:cs="仿宋_GB2312"/>
          <w:b w:val="0"/>
          <w:bCs/>
          <w:color w:val="000000"/>
          <w:kern w:val="0"/>
          <w:sz w:val="32"/>
          <w:szCs w:val="32"/>
          <w:lang w:eastAsia="zh-CN" w:bidi="ar"/>
        </w:rPr>
        <w:t>科学技术管理事务支出</w:t>
      </w:r>
      <w:r>
        <w:rPr>
          <w:rFonts w:hint="eastAsia" w:ascii="仿宋_GB2312" w:hAnsi="宋体" w:eastAsia="仿宋_GB2312" w:cs="仿宋_GB2312"/>
          <w:b w:val="0"/>
          <w:bCs/>
          <w:color w:val="000000"/>
          <w:kern w:val="0"/>
          <w:sz w:val="32"/>
          <w:szCs w:val="32"/>
          <w:lang w:val="en-US" w:eastAsia="zh-CN" w:bidi="ar"/>
        </w:rPr>
        <w:t>40.52万元</w:t>
      </w:r>
      <w:r>
        <w:rPr>
          <w:rFonts w:ascii="仿宋_GB2312" w:hAnsi="宋体" w:eastAsia="仿宋_GB2312" w:cs="仿宋_GB2312"/>
          <w:b w:val="0"/>
          <w:bCs/>
          <w:color w:val="000000"/>
          <w:kern w:val="0"/>
          <w:sz w:val="32"/>
          <w:szCs w:val="32"/>
          <w:lang w:bidi="ar"/>
        </w:rPr>
        <w:t>。</w:t>
      </w:r>
    </w:p>
    <w:p>
      <w:pPr>
        <w:widowControl/>
        <w:numPr>
          <w:ilvl w:val="0"/>
          <w:numId w:val="0"/>
        </w:numPr>
        <w:ind w:firstLine="640"/>
        <w:jc w:val="left"/>
      </w:pPr>
      <w:r>
        <w:rPr>
          <w:rFonts w:hint="eastAsia" w:ascii="仿宋_GB2312" w:hAnsi="宋体" w:eastAsia="仿宋_GB2312" w:cs="仿宋_GB2312"/>
          <w:b w:val="0"/>
          <w:bCs/>
          <w:color w:val="000000"/>
          <w:kern w:val="0"/>
          <w:sz w:val="32"/>
          <w:szCs w:val="32"/>
          <w:lang w:val="en-US" w:eastAsia="zh-CN" w:bidi="ar"/>
        </w:rPr>
        <w:t>2.</w:t>
      </w:r>
      <w:r>
        <w:rPr>
          <w:rFonts w:hint="eastAsia" w:ascii="仿宋_GB2312" w:hAnsi="宋体" w:eastAsia="仿宋_GB2312" w:cs="仿宋_GB2312"/>
          <w:b w:val="0"/>
          <w:bCs/>
          <w:color w:val="000000"/>
          <w:kern w:val="0"/>
          <w:sz w:val="32"/>
          <w:szCs w:val="32"/>
          <w:lang w:eastAsia="zh-CN" w:bidi="ar"/>
        </w:rPr>
        <w:t>科学技术普及活动出出</w:t>
      </w:r>
      <w:r>
        <w:rPr>
          <w:rFonts w:hint="eastAsia" w:ascii="仿宋_GB2312" w:hAnsi="宋体" w:eastAsia="仿宋_GB2312" w:cs="仿宋_GB2312"/>
          <w:b w:val="0"/>
          <w:bCs/>
          <w:color w:val="000000"/>
          <w:kern w:val="0"/>
          <w:sz w:val="32"/>
          <w:szCs w:val="32"/>
          <w:lang w:val="en-US" w:eastAsia="zh-CN" w:bidi="ar"/>
        </w:rPr>
        <w:t>20万元。</w:t>
      </w:r>
      <w:r>
        <w:rPr>
          <w:rFonts w:ascii="仿宋_GB2312" w:hAnsi="宋体" w:eastAsia="仿宋_GB2312" w:cs="仿宋_GB2312"/>
          <w:b/>
          <w:color w:val="000000"/>
          <w:kern w:val="0"/>
          <w:sz w:val="32"/>
          <w:szCs w:val="32"/>
          <w:lang w:bidi="ar"/>
        </w:rPr>
        <w:t xml:space="preserve"> </w:t>
      </w:r>
    </w:p>
    <w:p>
      <w:pPr>
        <w:spacing w:line="360" w:lineRule="auto"/>
        <w:rPr>
          <w:rFonts w:ascii="仿宋_GB2312" w:hAnsi="仿宋" w:eastAsia="仿宋_GB2312"/>
          <w:sz w:val="32"/>
          <w:szCs w:val="32"/>
        </w:rPr>
      </w:pPr>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20" w:firstLineChars="20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w:t>
      </w:r>
      <w:r>
        <w:rPr>
          <w:rFonts w:hint="eastAsia" w:ascii="仿宋_GB2312" w:hAnsi="仿宋_GB2312" w:eastAsia="仿宋_GB2312" w:cs="仿宋_GB2312"/>
          <w:color w:val="000000"/>
          <w:kern w:val="0"/>
          <w:sz w:val="31"/>
          <w:szCs w:val="31"/>
          <w:lang w:val="en-US" w:eastAsia="zh-CN" w:bidi="ar"/>
        </w:rPr>
        <w:t>21</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val="en-US" w:eastAsia="zh-CN" w:bidi="ar"/>
        </w:rPr>
        <w:t>43.52</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val="en-US" w:eastAsia="zh-CN" w:bidi="ar"/>
        </w:rPr>
        <w:t>30.95</w:t>
      </w:r>
      <w:r>
        <w:rPr>
          <w:rFonts w:ascii="仿宋_GB2312" w:hAnsi="仿宋_GB2312" w:eastAsia="仿宋_GB2312" w:cs="仿宋_GB2312"/>
          <w:color w:val="000000"/>
          <w:kern w:val="0"/>
          <w:sz w:val="31"/>
          <w:szCs w:val="31"/>
          <w:lang w:bidi="ar"/>
        </w:rPr>
        <w:t>万元和公用经费支出</w:t>
      </w:r>
      <w:r>
        <w:rPr>
          <w:rFonts w:hint="eastAsia" w:ascii="仿宋_GB2312" w:hAnsi="仿宋_GB2312" w:eastAsia="仿宋_GB2312" w:cs="仿宋_GB2312"/>
          <w:color w:val="000000"/>
          <w:kern w:val="0"/>
          <w:sz w:val="31"/>
          <w:szCs w:val="31"/>
          <w:lang w:val="en-US" w:eastAsia="zh-CN" w:bidi="ar"/>
        </w:rPr>
        <w:t>12.57</w:t>
      </w:r>
      <w:r>
        <w:rPr>
          <w:rFonts w:ascii="仿宋_GB2312" w:hAnsi="仿宋_GB2312" w:eastAsia="仿宋_GB2312" w:cs="仿宋_GB2312"/>
          <w:color w:val="000000"/>
          <w:kern w:val="0"/>
          <w:sz w:val="31"/>
          <w:szCs w:val="31"/>
          <w:lang w:bidi="ar"/>
        </w:rPr>
        <w:t>万元。</w:t>
      </w:r>
    </w:p>
    <w:p>
      <w:pPr>
        <w:spacing w:line="360" w:lineRule="auto"/>
        <w:ind w:firstLine="723" w:firstLineChars="225"/>
        <w:rPr>
          <w:rFonts w:ascii="仿宋_GB2312" w:hAnsi="仿宋" w:eastAsia="仿宋_GB2312"/>
          <w:sz w:val="32"/>
          <w:szCs w:val="32"/>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val="en-US" w:eastAsia="zh-CN" w:bidi="ar"/>
        </w:rPr>
        <w:t>30.95</w:t>
      </w:r>
      <w:r>
        <w:rPr>
          <w:rFonts w:ascii="仿宋_GB2312" w:hAnsi="宋体" w:eastAsia="仿宋_GB2312" w:cs="仿宋_GB2312"/>
          <w:color w:val="000000"/>
          <w:kern w:val="0"/>
          <w:sz w:val="32"/>
          <w:szCs w:val="32"/>
          <w:lang w:bidi="ar"/>
        </w:rPr>
        <w:t>万元，主要包括</w:t>
      </w:r>
      <w:r>
        <w:rPr>
          <w:rFonts w:hint="eastAsia" w:ascii="仿宋_GB2312" w:hAnsi="仿宋" w:eastAsia="仿宋_GB2312"/>
          <w:sz w:val="32"/>
          <w:szCs w:val="32"/>
        </w:rPr>
        <w:t>工资福利支出和对个人和家庭的补助：</w:t>
      </w:r>
    </w:p>
    <w:p>
      <w:pPr>
        <w:spacing w:line="360" w:lineRule="auto"/>
        <w:ind w:firstLine="720" w:firstLineChars="225"/>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工资福利支出</w:t>
      </w:r>
      <w:r>
        <w:rPr>
          <w:rFonts w:hint="eastAsia" w:ascii="仿宋_GB2312" w:hAnsi="仿宋" w:eastAsia="仿宋_GB2312"/>
          <w:sz w:val="32"/>
          <w:szCs w:val="32"/>
          <w:lang w:val="en-US" w:eastAsia="zh-CN"/>
        </w:rPr>
        <w:t>30.19</w:t>
      </w:r>
      <w:r>
        <w:rPr>
          <w:rFonts w:hint="eastAsia" w:ascii="仿宋_GB2312" w:hAnsi="仿宋" w:eastAsia="仿宋_GB2312"/>
          <w:sz w:val="32"/>
          <w:szCs w:val="32"/>
        </w:rPr>
        <w:t>万元（其中：基本工资支出</w:t>
      </w:r>
      <w:r>
        <w:rPr>
          <w:rFonts w:hint="eastAsia" w:ascii="仿宋_GB2312" w:hAnsi="仿宋" w:eastAsia="仿宋_GB2312"/>
          <w:sz w:val="32"/>
          <w:szCs w:val="32"/>
          <w:lang w:val="en-US" w:eastAsia="zh-CN"/>
        </w:rPr>
        <w:t>16.36</w:t>
      </w:r>
      <w:r>
        <w:rPr>
          <w:rFonts w:hint="eastAsia" w:ascii="仿宋_GB2312" w:hAnsi="仿宋" w:eastAsia="仿宋_GB2312"/>
          <w:sz w:val="32"/>
          <w:szCs w:val="32"/>
        </w:rPr>
        <w:t>万元、津贴补贴支出</w:t>
      </w:r>
      <w:r>
        <w:rPr>
          <w:rFonts w:hint="eastAsia" w:ascii="仿宋_GB2312" w:hAnsi="仿宋" w:eastAsia="仿宋_GB2312"/>
          <w:sz w:val="32"/>
          <w:szCs w:val="32"/>
          <w:lang w:val="en-US" w:eastAsia="zh-CN"/>
        </w:rPr>
        <w:t>0.74</w:t>
      </w:r>
      <w:r>
        <w:rPr>
          <w:rFonts w:hint="eastAsia" w:ascii="仿宋_GB2312" w:hAnsi="仿宋" w:eastAsia="仿宋_GB2312"/>
          <w:sz w:val="32"/>
          <w:szCs w:val="32"/>
        </w:rPr>
        <w:t>万元、奖金</w:t>
      </w:r>
      <w:r>
        <w:rPr>
          <w:rFonts w:hint="eastAsia" w:ascii="仿宋_GB2312" w:hAnsi="仿宋" w:eastAsia="仿宋_GB2312"/>
          <w:sz w:val="32"/>
          <w:szCs w:val="32"/>
          <w:lang w:val="en-US" w:eastAsia="zh-CN"/>
        </w:rPr>
        <w:t>1.08</w:t>
      </w:r>
      <w:r>
        <w:rPr>
          <w:rFonts w:hint="eastAsia" w:ascii="仿宋_GB2312" w:hAnsi="仿宋" w:eastAsia="仿宋_GB2312"/>
          <w:sz w:val="32"/>
          <w:szCs w:val="32"/>
        </w:rPr>
        <w:t>万元、其他社会保障缴费</w:t>
      </w:r>
      <w:r>
        <w:rPr>
          <w:rFonts w:hint="eastAsia" w:ascii="仿宋_GB2312" w:hAnsi="仿宋" w:eastAsia="仿宋_GB2312"/>
          <w:sz w:val="32"/>
          <w:szCs w:val="32"/>
          <w:lang w:eastAsia="zh-CN"/>
        </w:rPr>
        <w:t>及住房公积金</w:t>
      </w:r>
      <w:r>
        <w:rPr>
          <w:rFonts w:hint="eastAsia" w:ascii="仿宋_GB2312" w:hAnsi="仿宋" w:eastAsia="仿宋_GB2312"/>
          <w:sz w:val="32"/>
          <w:szCs w:val="32"/>
          <w:lang w:val="en-US" w:eastAsia="zh-CN"/>
        </w:rPr>
        <w:t>12.01</w:t>
      </w:r>
      <w:r>
        <w:rPr>
          <w:rFonts w:hint="eastAsia" w:ascii="仿宋_GB2312" w:hAnsi="仿宋" w:eastAsia="仿宋_GB2312"/>
          <w:sz w:val="32"/>
          <w:szCs w:val="32"/>
        </w:rPr>
        <w:t>万元）</w:t>
      </w:r>
    </w:p>
    <w:p>
      <w:pPr>
        <w:spacing w:line="360" w:lineRule="auto"/>
        <w:ind w:firstLine="720" w:firstLineChars="225"/>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2.对个人和家庭的补助-生活补助0.76万元。</w:t>
      </w:r>
    </w:p>
    <w:p>
      <w:pPr>
        <w:spacing w:line="360" w:lineRule="auto"/>
        <w:ind w:firstLine="723" w:firstLineChars="225"/>
        <w:rPr>
          <w:rFonts w:ascii="仿宋_GB2312" w:hAnsi="仿宋" w:eastAsia="仿宋_GB2312"/>
          <w:sz w:val="32"/>
          <w:szCs w:val="32"/>
        </w:rPr>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val="en-US" w:eastAsia="zh-CN" w:bidi="ar"/>
        </w:rPr>
        <w:t>12.57</w:t>
      </w:r>
      <w:r>
        <w:rPr>
          <w:rFonts w:ascii="仿宋_GB2312" w:hAnsi="宋体" w:eastAsia="仿宋_GB2312" w:cs="仿宋_GB2312"/>
          <w:color w:val="000000"/>
          <w:kern w:val="0"/>
          <w:sz w:val="32"/>
          <w:szCs w:val="32"/>
          <w:lang w:bidi="ar"/>
        </w:rPr>
        <w:t>万元，主要包括</w:t>
      </w:r>
      <w:r>
        <w:rPr>
          <w:rFonts w:hint="eastAsia" w:ascii="仿宋_GB2312" w:hAnsi="仿宋" w:eastAsia="仿宋_GB2312"/>
          <w:sz w:val="32"/>
          <w:szCs w:val="32"/>
        </w:rPr>
        <w:t>公用经费（商品和服务支出）支出</w:t>
      </w:r>
      <w:r>
        <w:rPr>
          <w:rFonts w:hint="eastAsia" w:ascii="仿宋_GB2312" w:hAnsi="仿宋" w:eastAsia="仿宋_GB2312"/>
          <w:sz w:val="32"/>
          <w:szCs w:val="32"/>
          <w:lang w:val="en-US" w:eastAsia="zh-CN"/>
        </w:rPr>
        <w:t>12.57</w:t>
      </w:r>
      <w:r>
        <w:rPr>
          <w:rFonts w:hint="eastAsia" w:ascii="仿宋_GB2312" w:hAnsi="仿宋" w:eastAsia="仿宋_GB2312"/>
          <w:sz w:val="32"/>
          <w:szCs w:val="32"/>
        </w:rPr>
        <w:t>万元（其中:办公费</w:t>
      </w:r>
      <w:r>
        <w:rPr>
          <w:rFonts w:hint="eastAsia" w:ascii="仿宋_GB2312" w:hAnsi="仿宋" w:eastAsia="仿宋_GB2312"/>
          <w:sz w:val="32"/>
          <w:szCs w:val="32"/>
          <w:lang w:val="en-US" w:eastAsia="zh-CN"/>
        </w:rPr>
        <w:t>3.69</w:t>
      </w:r>
      <w:r>
        <w:rPr>
          <w:rFonts w:hint="eastAsia" w:ascii="仿宋_GB2312" w:hAnsi="仿宋" w:eastAsia="仿宋_GB2312"/>
          <w:sz w:val="32"/>
          <w:szCs w:val="32"/>
        </w:rPr>
        <w:t>万元、印刷费</w:t>
      </w:r>
      <w:r>
        <w:rPr>
          <w:rFonts w:hint="eastAsia" w:ascii="仿宋_GB2312" w:hAnsi="仿宋" w:eastAsia="仿宋_GB2312"/>
          <w:sz w:val="32"/>
          <w:szCs w:val="32"/>
          <w:lang w:val="en-US" w:eastAsia="zh-CN"/>
        </w:rPr>
        <w:t>2.36</w:t>
      </w:r>
      <w:r>
        <w:rPr>
          <w:rFonts w:hint="eastAsia" w:ascii="仿宋_GB2312" w:hAnsi="仿宋" w:eastAsia="仿宋_GB2312"/>
          <w:sz w:val="32"/>
          <w:szCs w:val="32"/>
        </w:rPr>
        <w:t>万元、</w:t>
      </w:r>
      <w:r>
        <w:rPr>
          <w:rFonts w:hint="eastAsia" w:ascii="仿宋_GB2312" w:hAnsi="仿宋" w:eastAsia="仿宋_GB2312"/>
          <w:sz w:val="32"/>
          <w:szCs w:val="32"/>
          <w:lang w:eastAsia="zh-CN"/>
        </w:rPr>
        <w:t>邮电费</w:t>
      </w:r>
      <w:r>
        <w:rPr>
          <w:rFonts w:hint="eastAsia" w:ascii="仿宋_GB2312" w:hAnsi="仿宋" w:eastAsia="仿宋_GB2312"/>
          <w:sz w:val="32"/>
          <w:szCs w:val="32"/>
          <w:lang w:val="en-US" w:eastAsia="zh-CN"/>
        </w:rPr>
        <w:t>0.80万元、</w:t>
      </w:r>
      <w:r>
        <w:rPr>
          <w:rFonts w:hint="eastAsia" w:ascii="仿宋_GB2312" w:hAnsi="仿宋" w:eastAsia="仿宋_GB2312"/>
          <w:sz w:val="32"/>
          <w:szCs w:val="32"/>
        </w:rPr>
        <w:t>差旅费</w:t>
      </w:r>
      <w:r>
        <w:rPr>
          <w:rFonts w:hint="eastAsia" w:ascii="仿宋_GB2312" w:hAnsi="仿宋" w:eastAsia="仿宋_GB2312"/>
          <w:sz w:val="32"/>
          <w:szCs w:val="32"/>
          <w:lang w:val="en-US" w:eastAsia="zh-CN"/>
        </w:rPr>
        <w:t>3.64</w:t>
      </w:r>
      <w:r>
        <w:rPr>
          <w:rFonts w:hint="eastAsia" w:ascii="仿宋_GB2312" w:hAnsi="仿宋" w:eastAsia="仿宋_GB2312"/>
          <w:sz w:val="32"/>
          <w:szCs w:val="32"/>
        </w:rPr>
        <w:t>万元、公务接待费</w:t>
      </w:r>
      <w:r>
        <w:rPr>
          <w:rFonts w:hint="eastAsia" w:ascii="仿宋_GB2312" w:hAnsi="仿宋" w:eastAsia="仿宋_GB2312"/>
          <w:sz w:val="32"/>
          <w:szCs w:val="32"/>
          <w:lang w:val="en-US" w:eastAsia="zh-CN"/>
        </w:rPr>
        <w:t>0.78</w:t>
      </w:r>
      <w:r>
        <w:rPr>
          <w:rFonts w:hint="eastAsia" w:ascii="仿宋_GB2312" w:hAnsi="仿宋" w:eastAsia="仿宋_GB2312"/>
          <w:sz w:val="32"/>
          <w:szCs w:val="32"/>
        </w:rPr>
        <w:t>万元、劳务费</w:t>
      </w:r>
      <w:r>
        <w:rPr>
          <w:rFonts w:hint="eastAsia" w:ascii="仿宋_GB2312" w:hAnsi="仿宋" w:eastAsia="仿宋_GB2312"/>
          <w:sz w:val="32"/>
          <w:szCs w:val="32"/>
          <w:lang w:val="en-US" w:eastAsia="zh-CN"/>
        </w:rPr>
        <w:t>1.24</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w:t>
      </w:r>
    </w:p>
    <w:p>
      <w:pPr>
        <w:widowControl/>
        <w:ind w:firstLine="420" w:firstLineChars="200"/>
        <w:jc w:val="left"/>
      </w:pP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21</w:t>
      </w:r>
      <w:r>
        <w:rPr>
          <w:rFonts w:ascii="仿宋_GB2312" w:hAnsi="宋体" w:eastAsia="仿宋_GB2312" w:cs="仿宋_GB2312"/>
          <w:color w:val="000000"/>
          <w:kern w:val="0"/>
          <w:sz w:val="32"/>
          <w:szCs w:val="32"/>
          <w:lang w:bidi="ar"/>
        </w:rPr>
        <w:t>年“三公”经费财政拨款支出预算为</w:t>
      </w:r>
      <w:r>
        <w:rPr>
          <w:rFonts w:hint="eastAsia" w:ascii="仿宋_GB2312" w:hAnsi="宋体" w:eastAsia="仿宋_GB2312" w:cs="仿宋_GB2312"/>
          <w:color w:val="000000"/>
          <w:kern w:val="0"/>
          <w:sz w:val="32"/>
          <w:szCs w:val="32"/>
          <w:lang w:val="en-US" w:eastAsia="zh-CN" w:bidi="ar"/>
        </w:rPr>
        <w:t>0.8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0.78</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97.5</w:t>
      </w:r>
      <w:r>
        <w:rPr>
          <w:rFonts w:ascii="仿宋_GB2312" w:hAnsi="宋体" w:eastAsia="仿宋_GB2312" w:cs="仿宋_GB2312"/>
          <w:color w:val="000000"/>
          <w:kern w:val="0"/>
          <w:sz w:val="32"/>
          <w:szCs w:val="32"/>
          <w:lang w:bidi="ar"/>
        </w:rPr>
        <w:t>%。</w:t>
      </w:r>
    </w:p>
    <w:p>
      <w:pPr>
        <w:numPr>
          <w:ilvl w:val="0"/>
          <w:numId w:val="4"/>
        </w:numPr>
        <w:spacing w:line="360" w:lineRule="auto"/>
        <w:ind w:firstLine="643" w:firstLineChars="200"/>
        <w:rPr>
          <w:rFonts w:ascii="仿宋_GB2312" w:hAnsi="仿宋_GB2312" w:eastAsia="仿宋_GB2312" w:cs="仿宋_GB2312"/>
          <w:sz w:val="32"/>
          <w:szCs w:val="32"/>
        </w:rPr>
      </w:pP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仿宋_GB2312" w:hAnsi="仿宋_GB2312" w:eastAsia="仿宋_GB2312" w:cs="仿宋_GB2312"/>
          <w:sz w:val="32"/>
          <w:szCs w:val="32"/>
        </w:rPr>
        <w:t>（</w:t>
      </w:r>
      <w:r>
        <w:rPr>
          <w:rFonts w:hint="eastAsia" w:ascii="仿宋_GB2312" w:hAnsi="仿宋" w:eastAsia="仿宋_GB2312"/>
          <w:sz w:val="32"/>
          <w:szCs w:val="32"/>
        </w:rPr>
        <w:t>具体说明因公出国（境）团组情况、公务用车购置情况、公务用车运行情况、公务接待情况等</w:t>
      </w:r>
      <w:r>
        <w:rPr>
          <w:rFonts w:hint="eastAsia" w:ascii="仿宋_GB2312" w:hAnsi="仿宋" w:eastAsia="仿宋_GB2312"/>
          <w:sz w:val="32"/>
          <w:szCs w:val="32"/>
          <w:lang w:eastAsia="zh-CN"/>
        </w:rPr>
        <w:t>。</w:t>
      </w:r>
    </w:p>
    <w:p>
      <w:pPr>
        <w:widowControl/>
        <w:ind w:firstLine="640" w:firstLineChars="200"/>
        <w:jc w:val="left"/>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21</w:t>
      </w:r>
      <w:r>
        <w:rPr>
          <w:rFonts w:ascii="仿宋_GB2312" w:hAnsi="宋体" w:eastAsia="仿宋_GB2312" w:cs="仿宋_GB2312"/>
          <w:color w:val="000000"/>
          <w:kern w:val="0"/>
          <w:sz w:val="32"/>
          <w:szCs w:val="32"/>
          <w:lang w:bidi="ar"/>
        </w:rPr>
        <w:t>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万元；公务接待费支出决算</w:t>
      </w:r>
      <w:r>
        <w:rPr>
          <w:rFonts w:hint="eastAsia" w:ascii="仿宋_GB2312" w:hAnsi="宋体" w:eastAsia="仿宋_GB2312" w:cs="仿宋_GB2312"/>
          <w:color w:val="000000"/>
          <w:kern w:val="0"/>
          <w:sz w:val="32"/>
          <w:szCs w:val="32"/>
          <w:lang w:val="en-US" w:eastAsia="zh-CN" w:bidi="ar"/>
        </w:rPr>
        <w:t>0.78</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97.5</w:t>
      </w:r>
      <w:r>
        <w:rPr>
          <w:rFonts w:ascii="仿宋_GB2312" w:hAnsi="宋体" w:eastAsia="仿宋_GB2312" w:cs="仿宋_GB2312"/>
          <w:color w:val="000000"/>
          <w:kern w:val="0"/>
          <w:sz w:val="32"/>
          <w:szCs w:val="32"/>
          <w:lang w:bidi="ar"/>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lang w:eastAsia="zh-CN"/>
        </w:rPr>
        <w:t>本单位</w:t>
      </w: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r>
        <w:rPr>
          <w:rFonts w:hint="eastAsia" w:ascii="仿宋_GB2312" w:hAnsi="仿宋" w:eastAsia="仿宋_GB2312"/>
          <w:sz w:val="32"/>
          <w:szCs w:val="32"/>
          <w:lang w:eastAsia="zh-CN"/>
        </w:rPr>
        <w:t>无</w:t>
      </w:r>
      <w:r>
        <w:rPr>
          <w:rFonts w:hint="eastAsia" w:ascii="仿宋_GB2312" w:hAnsi="仿宋" w:eastAsia="仿宋_GB2312"/>
          <w:sz w:val="32"/>
          <w:szCs w:val="32"/>
        </w:rPr>
        <w:t>因公出国（境）</w:t>
      </w:r>
      <w:r>
        <w:rPr>
          <w:rFonts w:hint="eastAsia" w:ascii="仿宋_GB2312" w:hAnsi="仿宋" w:eastAsia="仿宋_GB2312"/>
          <w:sz w:val="32"/>
          <w:szCs w:val="32"/>
          <w:lang w:eastAsia="zh-CN"/>
        </w:rPr>
        <w:t>费用支出</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lang w:eastAsia="zh-CN"/>
        </w:rPr>
        <w:t>本单位</w:t>
      </w: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r>
        <w:rPr>
          <w:rFonts w:hint="eastAsia" w:ascii="仿宋_GB2312" w:hAnsi="仿宋" w:eastAsia="仿宋_GB2312"/>
          <w:sz w:val="32"/>
          <w:szCs w:val="32"/>
          <w:lang w:eastAsia="zh-CN"/>
        </w:rPr>
        <w:t>无</w:t>
      </w:r>
      <w:r>
        <w:rPr>
          <w:rFonts w:hint="eastAsia" w:ascii="仿宋_GB2312" w:hAnsi="仿宋" w:eastAsia="仿宋_GB2312"/>
          <w:sz w:val="32"/>
          <w:szCs w:val="32"/>
        </w:rPr>
        <w:t>购置车辆</w:t>
      </w:r>
      <w:r>
        <w:rPr>
          <w:rFonts w:hint="eastAsia" w:ascii="仿宋_GB2312" w:hAnsi="仿宋_GB2312" w:eastAsia="仿宋_GB2312" w:cs="仿宋_GB2312"/>
          <w:sz w:val="32"/>
          <w:szCs w:val="32"/>
          <w:lang w:eastAsia="zh-CN"/>
        </w:rPr>
        <w:t>费用支出</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lang w:eastAsia="zh-CN"/>
        </w:rPr>
        <w:t>本单位</w:t>
      </w: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r>
        <w:rPr>
          <w:rFonts w:hint="eastAsia" w:ascii="仿宋_GB2312" w:hAnsi="仿宋" w:eastAsia="仿宋_GB2312"/>
          <w:sz w:val="32"/>
          <w:szCs w:val="32"/>
          <w:lang w:eastAsia="zh-CN"/>
        </w:rPr>
        <w:t>无</w:t>
      </w:r>
      <w:r>
        <w:rPr>
          <w:rFonts w:hint="eastAsia" w:ascii="仿宋_GB2312" w:hAnsi="仿宋_GB2312" w:eastAsia="仿宋_GB2312" w:cs="仿宋_GB2312"/>
          <w:sz w:val="32"/>
          <w:szCs w:val="32"/>
        </w:rPr>
        <w:t>公务用车运行维护费</w:t>
      </w:r>
      <w:r>
        <w:rPr>
          <w:rFonts w:hint="eastAsia" w:ascii="仿宋_GB2312" w:hAnsi="宋体" w:eastAsia="仿宋_GB2312" w:cs="仿宋_GB2312"/>
          <w:color w:val="000000"/>
          <w:kern w:val="0"/>
          <w:sz w:val="32"/>
          <w:szCs w:val="32"/>
          <w:lang w:eastAsia="zh-CN" w:bidi="ar"/>
        </w:rPr>
        <w:t>用支出</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spacing w:line="360" w:lineRule="auto"/>
        <w:ind w:firstLine="720" w:firstLineChars="225"/>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年公务接待</w:t>
      </w:r>
      <w:r>
        <w:rPr>
          <w:rFonts w:hint="eastAsia" w:ascii="仿宋_GB2312" w:hAnsi="仿宋" w:eastAsia="仿宋_GB2312"/>
          <w:sz w:val="32"/>
          <w:szCs w:val="32"/>
          <w:lang w:val="en-US" w:eastAsia="zh-CN"/>
        </w:rPr>
        <w:t>13</w:t>
      </w:r>
      <w:r>
        <w:rPr>
          <w:rFonts w:hint="eastAsia" w:ascii="仿宋_GB2312" w:hAnsi="仿宋" w:eastAsia="仿宋_GB2312"/>
          <w:sz w:val="32"/>
          <w:szCs w:val="32"/>
        </w:rPr>
        <w:t>批次，共计1</w:t>
      </w:r>
      <w:r>
        <w:rPr>
          <w:rFonts w:hint="eastAsia" w:ascii="仿宋_GB2312" w:hAnsi="仿宋" w:eastAsia="仿宋_GB2312"/>
          <w:sz w:val="32"/>
          <w:szCs w:val="32"/>
          <w:lang w:val="en-US" w:eastAsia="zh-CN"/>
        </w:rPr>
        <w:t>14</w:t>
      </w:r>
      <w:r>
        <w:rPr>
          <w:rFonts w:hint="eastAsia" w:ascii="仿宋_GB2312" w:hAnsi="仿宋" w:eastAsia="仿宋_GB2312"/>
          <w:sz w:val="32"/>
          <w:szCs w:val="32"/>
        </w:rPr>
        <w:t>人次，共计支出</w:t>
      </w:r>
      <w:r>
        <w:rPr>
          <w:rFonts w:hint="eastAsia" w:ascii="仿宋_GB2312" w:hAnsi="仿宋" w:eastAsia="仿宋_GB2312"/>
          <w:sz w:val="32"/>
          <w:szCs w:val="32"/>
          <w:lang w:val="en-US" w:eastAsia="zh-CN"/>
        </w:rPr>
        <w:t>0.78</w:t>
      </w:r>
      <w:r>
        <w:rPr>
          <w:rFonts w:hint="eastAsia" w:ascii="仿宋_GB2312" w:hAnsi="仿宋" w:eastAsia="仿宋_GB2312"/>
          <w:sz w:val="32"/>
          <w:szCs w:val="32"/>
        </w:rPr>
        <w:t>万元，主要用于接待省、市科协领导来县开展调研、检查、指导、交流等工作的接待。</w:t>
      </w:r>
      <w:r>
        <w:rPr>
          <w:rFonts w:hint="eastAsia" w:ascii="仿宋_GB2312" w:hAnsi="仿宋_GB2312" w:eastAsia="仿宋_GB2312" w:cs="仿宋_GB2312"/>
          <w:sz w:val="32"/>
          <w:szCs w:val="32"/>
          <w:lang w:val="en-US" w:eastAsia="zh-CN"/>
        </w:rPr>
        <w:t>年初</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0.78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0.78</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97.5</w:t>
      </w:r>
      <w:r>
        <w:rPr>
          <w:rFonts w:hint="eastAsia" w:ascii="仿宋_GB2312" w:hAnsi="宋体" w:eastAsia="仿宋_GB2312" w:cs="仿宋_GB2312"/>
          <w:color w:val="000000"/>
          <w:kern w:val="0"/>
          <w:sz w:val="32"/>
          <w:szCs w:val="32"/>
          <w:lang w:bidi="ar"/>
        </w:rPr>
        <w:t>%。</w:t>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lang w:eastAsia="zh-CN"/>
        </w:rPr>
        <w:t>本单位</w:t>
      </w: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r>
        <w:rPr>
          <w:rFonts w:hint="eastAsia" w:ascii="仿宋_GB2312" w:hAnsi="仿宋" w:eastAsia="仿宋_GB2312"/>
          <w:sz w:val="32"/>
          <w:szCs w:val="32"/>
          <w:lang w:eastAsia="zh-CN"/>
        </w:rPr>
        <w:t>无</w:t>
      </w:r>
      <w:r>
        <w:rPr>
          <w:rFonts w:hint="eastAsia" w:ascii="仿宋_GB2312" w:hAnsi="仿宋_GB2312" w:eastAsia="仿宋_GB2312" w:cs="仿宋_GB2312"/>
          <w:sz w:val="32"/>
          <w:szCs w:val="32"/>
        </w:rPr>
        <w:t>培训费</w:t>
      </w:r>
      <w:r>
        <w:rPr>
          <w:rFonts w:hint="eastAsia" w:ascii="仿宋_GB2312" w:hAnsi="宋体" w:eastAsia="仿宋_GB2312" w:cs="仿宋_GB2312"/>
          <w:color w:val="000000"/>
          <w:kern w:val="0"/>
          <w:sz w:val="32"/>
          <w:szCs w:val="32"/>
          <w:lang w:eastAsia="zh-CN" w:bidi="ar"/>
        </w:rPr>
        <w:t>支出</w:t>
      </w:r>
      <w:r>
        <w:rPr>
          <w:rFonts w:hint="eastAsia" w:ascii="仿宋_GB2312" w:hAnsi="宋体" w:eastAsia="仿宋_GB2312" w:cs="仿宋_GB2312"/>
          <w:color w:val="000000"/>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lang w:eastAsia="zh-CN"/>
        </w:rPr>
        <w:t>本单位</w:t>
      </w: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r>
        <w:rPr>
          <w:rFonts w:hint="eastAsia" w:ascii="仿宋_GB2312" w:hAnsi="仿宋" w:eastAsia="仿宋_GB2312"/>
          <w:sz w:val="32"/>
          <w:szCs w:val="32"/>
          <w:lang w:eastAsia="zh-CN"/>
        </w:rPr>
        <w:t>无</w:t>
      </w:r>
      <w:r>
        <w:rPr>
          <w:rFonts w:hint="eastAsia" w:ascii="仿宋_GB2312" w:hAnsi="仿宋_GB2312" w:eastAsia="仿宋_GB2312" w:cs="仿宋_GB2312"/>
          <w:sz w:val="32"/>
          <w:szCs w:val="32"/>
        </w:rPr>
        <w:t>会议费</w:t>
      </w:r>
      <w:r>
        <w:rPr>
          <w:rFonts w:hint="eastAsia" w:ascii="仿宋_GB2312" w:hAnsi="宋体" w:eastAsia="仿宋_GB2312" w:cs="仿宋_GB2312"/>
          <w:color w:val="000000"/>
          <w:kern w:val="0"/>
          <w:sz w:val="32"/>
          <w:szCs w:val="32"/>
          <w:lang w:eastAsia="zh-CN" w:bidi="ar"/>
        </w:rPr>
        <w:t>支出</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w:t>
      </w:r>
      <w:r>
        <w:rPr>
          <w:rFonts w:hint="eastAsia" w:ascii="黑体" w:hAnsi="黑体" w:eastAsia="黑体"/>
          <w:color w:val="000000"/>
          <w:kern w:val="0"/>
          <w:sz w:val="32"/>
          <w:szCs w:val="32"/>
          <w:lang w:eastAsia="zh-CN" w:bidi="ar"/>
        </w:rPr>
        <w:t>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spacing w:line="640" w:lineRule="exact"/>
        <w:ind w:firstLine="640"/>
        <w:rPr>
          <w:rFonts w:hint="eastAsia" w:ascii="黑体" w:hAnsi="黑体" w:eastAsia="仿宋_GB2312" w:cs="黑体"/>
          <w:sz w:val="32"/>
          <w:szCs w:val="32"/>
          <w:lang w:val="en-US" w:eastAsia="zh-CN" w:bidi="ar"/>
        </w:rPr>
      </w:pPr>
      <w:r>
        <w:rPr>
          <w:rFonts w:hint="eastAsia" w:ascii="仿宋_GB2312" w:hAnsi="仿宋_GB2312" w:eastAsia="仿宋_GB2312" w:cs="仿宋_GB2312"/>
          <w:sz w:val="32"/>
          <w:szCs w:val="32"/>
          <w:lang w:val="en-US" w:eastAsia="zh-CN"/>
        </w:rPr>
        <w:t xml:space="preserve"> 2021年</w:t>
      </w:r>
      <w:r>
        <w:rPr>
          <w:rFonts w:hint="eastAsia" w:ascii="仿宋_GB2312" w:hAnsi="仿宋_GB2312" w:eastAsia="仿宋_GB2312" w:cs="仿宋_GB2312"/>
          <w:sz w:val="32"/>
          <w:szCs w:val="32"/>
          <w:lang w:eastAsia="zh-CN" w:bidi="ar"/>
        </w:rPr>
        <w:t>年初部门预算收入</w:t>
      </w:r>
      <w:r>
        <w:rPr>
          <w:rFonts w:hint="eastAsia" w:ascii="仿宋_GB2312" w:hAnsi="仿宋_GB2312" w:eastAsia="仿宋_GB2312" w:cs="仿宋_GB2312"/>
          <w:sz w:val="32"/>
          <w:szCs w:val="32"/>
          <w:lang w:val="en-US" w:eastAsia="zh-CN" w:bidi="ar"/>
        </w:rPr>
        <w:t xml:space="preserve">46.86万元，其中人员经费及公用经费37.32万元，专项业务经费9.55万元。 </w:t>
      </w:r>
    </w:p>
    <w:p>
      <w:pPr>
        <w:keepNext w:val="0"/>
        <w:keepLines w:val="0"/>
        <w:pageBreakBefore w:val="0"/>
        <w:widowControl w:val="0"/>
        <w:numPr>
          <w:ilvl w:val="0"/>
          <w:numId w:val="0"/>
        </w:numPr>
        <w:kinsoku/>
        <w:wordWrap/>
        <w:overflowPunct/>
        <w:topLinePunct w:val="0"/>
        <w:bidi w:val="0"/>
        <w:adjustRightInd/>
        <w:snapToGrid/>
        <w:spacing w:line="560" w:lineRule="exact"/>
        <w:ind w:right="0" w:rightChars="0"/>
        <w:jc w:val="both"/>
        <w:textAlignment w:val="auto"/>
        <w:outlineLvl w:val="9"/>
        <w:rPr>
          <w:rFonts w:ascii="仿宋" w:hAnsi="仿宋" w:eastAsia="仿宋"/>
          <w:sz w:val="32"/>
          <w:szCs w:val="32"/>
        </w:rPr>
      </w:pPr>
      <w:r>
        <w:rPr>
          <w:rFonts w:hint="eastAsia" w:ascii="楷体_GB2312" w:hAnsi="宋体" w:eastAsia="楷体_GB2312" w:cs="楷体_GB2312"/>
          <w:b w:val="0"/>
          <w:bCs/>
          <w:color w:val="000000"/>
          <w:kern w:val="0"/>
          <w:sz w:val="32"/>
          <w:szCs w:val="32"/>
          <w:lang w:val="en-US" w:eastAsia="zh-CN" w:bidi="ar"/>
        </w:rPr>
        <w:t xml:space="preserve">     预算绩效管理工作开展情况：</w:t>
      </w:r>
      <w:r>
        <w:rPr>
          <w:rFonts w:hint="eastAsia" w:ascii="仿宋_GB2312" w:hAnsi="仿宋_GB2312" w:eastAsia="仿宋_GB2312" w:cs="仿宋_GB2312"/>
          <w:sz w:val="32"/>
          <w:szCs w:val="32"/>
        </w:rPr>
        <w:t>一是认真开展“科技之春”宣传月活动。</w:t>
      </w:r>
      <w:r>
        <w:rPr>
          <w:rFonts w:hint="eastAsia" w:ascii="仿宋" w:hAnsi="仿宋" w:eastAsia="仿宋" w:cs="宋体"/>
          <w:sz w:val="32"/>
          <w:szCs w:val="32"/>
        </w:rPr>
        <w:t>从</w:t>
      </w:r>
      <w:r>
        <w:rPr>
          <w:rFonts w:hint="eastAsia" w:ascii="仿宋" w:hAnsi="仿宋" w:eastAsia="仿宋"/>
          <w:sz w:val="32"/>
          <w:szCs w:val="32"/>
        </w:rPr>
        <w:t xml:space="preserve"> 3 月 8日开始</w:t>
      </w:r>
      <w:r>
        <w:rPr>
          <w:rFonts w:hint="eastAsia" w:ascii="仿宋" w:hAnsi="仿宋" w:eastAsia="仿宋" w:cs="宋体"/>
          <w:sz w:val="32"/>
          <w:szCs w:val="32"/>
        </w:rPr>
        <w:t>到</w:t>
      </w:r>
      <w:r>
        <w:rPr>
          <w:rFonts w:hint="eastAsia" w:ascii="仿宋" w:hAnsi="仿宋" w:eastAsia="仿宋"/>
          <w:sz w:val="32"/>
          <w:szCs w:val="32"/>
        </w:rPr>
        <w:t xml:space="preserve"> 4 月 20日结束</w:t>
      </w:r>
      <w:r>
        <w:rPr>
          <w:rFonts w:hint="eastAsia" w:ascii="仿宋" w:hAnsi="仿宋" w:eastAsia="仿宋" w:cs="宋体"/>
          <w:sz w:val="32"/>
          <w:szCs w:val="32"/>
        </w:rPr>
        <w:t>共</w:t>
      </w:r>
      <w:r>
        <w:rPr>
          <w:rFonts w:hint="eastAsia" w:ascii="仿宋" w:hAnsi="仿宋" w:eastAsia="仿宋"/>
          <w:sz w:val="32"/>
          <w:szCs w:val="32"/>
        </w:rPr>
        <w:t>42 天时间。突</w:t>
      </w:r>
      <w:r>
        <w:rPr>
          <w:rFonts w:hint="eastAsia" w:ascii="仿宋" w:hAnsi="仿宋" w:eastAsia="仿宋" w:cs="宋体"/>
          <w:sz w:val="32"/>
          <w:szCs w:val="32"/>
        </w:rPr>
        <w:t>出“</w:t>
      </w:r>
      <w:r>
        <w:rPr>
          <w:rFonts w:hint="eastAsia" w:ascii="仿宋" w:hAnsi="仿宋" w:eastAsia="仿宋"/>
          <w:sz w:val="32"/>
          <w:szCs w:val="32"/>
        </w:rPr>
        <w:t>科技引领未来·创造美好生活</w:t>
      </w:r>
      <w:r>
        <w:rPr>
          <w:rFonts w:hint="eastAsia" w:ascii="仿宋" w:hAnsi="仿宋" w:eastAsia="仿宋" w:cs="宋体"/>
          <w:sz w:val="32"/>
          <w:szCs w:val="32"/>
        </w:rPr>
        <w:t>”为主题</w:t>
      </w:r>
      <w:r>
        <w:rPr>
          <w:rFonts w:hint="eastAsia" w:ascii="仿宋" w:hAnsi="仿宋" w:eastAsia="仿宋"/>
          <w:sz w:val="32"/>
          <w:szCs w:val="32"/>
        </w:rPr>
        <w:t>，有针对性的开展形式多样的科普宣传活动。共组织重点示范活动 6项，组成科技、文化、卫生、 “三下乡”小分队 8 支，</w:t>
      </w:r>
      <w:r>
        <w:rPr>
          <w:rFonts w:hint="eastAsia" w:ascii="仿宋" w:hAnsi="仿宋" w:eastAsia="仿宋" w:cs="宋体"/>
          <w:sz w:val="32"/>
          <w:szCs w:val="32"/>
        </w:rPr>
        <w:t>参与宣传、服务活动的科技工作者和干部职工</w:t>
      </w:r>
      <w:r>
        <w:rPr>
          <w:rFonts w:hint="eastAsia" w:ascii="仿宋" w:hAnsi="仿宋" w:eastAsia="仿宋"/>
          <w:sz w:val="32"/>
          <w:szCs w:val="32"/>
        </w:rPr>
        <w:t xml:space="preserve"> 85 多人，举办各类培训班 3 场</w:t>
      </w:r>
      <w:r>
        <w:rPr>
          <w:rFonts w:hint="eastAsia" w:ascii="仿宋" w:hAnsi="仿宋" w:eastAsia="仿宋" w:cs="宋体"/>
          <w:sz w:val="32"/>
          <w:szCs w:val="32"/>
        </w:rPr>
        <w:t>次，组织文艺、戏剧演出、放映科技电影、录像</w:t>
      </w:r>
      <w:r>
        <w:rPr>
          <w:rFonts w:hint="eastAsia" w:ascii="仿宋" w:hAnsi="仿宋" w:eastAsia="仿宋"/>
          <w:sz w:val="32"/>
          <w:szCs w:val="32"/>
        </w:rPr>
        <w:t xml:space="preserve"> 5 场</w:t>
      </w:r>
      <w:r>
        <w:rPr>
          <w:rFonts w:hint="eastAsia" w:ascii="仿宋" w:hAnsi="仿宋" w:eastAsia="仿宋" w:cs="宋体"/>
          <w:sz w:val="32"/>
          <w:szCs w:val="32"/>
        </w:rPr>
        <w:t>次，组织青少</w:t>
      </w:r>
      <w:r>
        <w:rPr>
          <w:rFonts w:hint="eastAsia" w:ascii="仿宋" w:hAnsi="仿宋" w:eastAsia="仿宋"/>
          <w:sz w:val="32"/>
          <w:szCs w:val="32"/>
        </w:rPr>
        <w:t>年科技教育活动 2 次，受教育群众达 1.2 万多人。</w:t>
      </w:r>
    </w:p>
    <w:p>
      <w:pPr>
        <w:keepNext w:val="0"/>
        <w:keepLines w:val="0"/>
        <w:pageBreakBefore w:val="0"/>
        <w:widowControl w:val="0"/>
        <w:kinsoku/>
        <w:wordWrap/>
        <w:overflowPunct/>
        <w:topLinePunct w:val="0"/>
        <w:bidi w:val="0"/>
        <w:adjustRightInd/>
        <w:snapToGrid/>
        <w:spacing w:line="560" w:lineRule="exact"/>
        <w:ind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二是扎实开展农村实用技术培训。围绕新农村建设总体要求</w:t>
      </w:r>
      <w:r>
        <w:rPr>
          <w:rFonts w:hint="eastAsia" w:ascii="仿宋" w:hAnsi="仿宋" w:eastAsia="仿宋" w:cs="宋体"/>
          <w:sz w:val="32"/>
          <w:szCs w:val="32"/>
        </w:rPr>
        <w:t>积极推广农村先进实用技术。组织县农林</w:t>
      </w:r>
      <w:r>
        <w:rPr>
          <w:rFonts w:hint="eastAsia" w:ascii="仿宋" w:hAnsi="仿宋" w:eastAsia="仿宋"/>
          <w:sz w:val="32"/>
          <w:szCs w:val="32"/>
        </w:rPr>
        <w:t>科技局、农技中心与县电视台联合举办“麦油作物春管”、“农作物病虫害防治”等专题节目的同时</w:t>
      </w:r>
      <w:r>
        <w:rPr>
          <w:rFonts w:hint="eastAsia" w:ascii="仿宋" w:hAnsi="仿宋" w:eastAsia="仿宋" w:cs="宋体"/>
          <w:sz w:val="32"/>
          <w:szCs w:val="32"/>
        </w:rPr>
        <w:t>印发了《农产品质量法》</w:t>
      </w:r>
      <w:r>
        <w:rPr>
          <w:rFonts w:hint="eastAsia" w:ascii="仿宋" w:hAnsi="仿宋" w:eastAsia="仿宋"/>
          <w:sz w:val="32"/>
          <w:szCs w:val="32"/>
        </w:rPr>
        <w:t>、《种子法》 、“农药的安全使用办法” 、“真假玉米种子的辨别”等法律法规和农村实用技术手册200多份、科技书籍100 多册</w:t>
      </w:r>
      <w:r>
        <w:rPr>
          <w:rFonts w:hint="eastAsia" w:ascii="仿宋" w:hAnsi="仿宋" w:eastAsia="仿宋" w:cs="MingLiU_HKSCS"/>
          <w:sz w:val="32"/>
          <w:szCs w:val="32"/>
        </w:rPr>
        <w:t>。</w:t>
      </w:r>
    </w:p>
    <w:p>
      <w:pPr>
        <w:keepNext w:val="0"/>
        <w:keepLines w:val="0"/>
        <w:pageBreakBefore w:val="0"/>
        <w:widowControl w:val="0"/>
        <w:kinsoku/>
        <w:wordWrap/>
        <w:overflowPunct/>
        <w:topLinePunct w:val="0"/>
        <w:bidi w:val="0"/>
        <w:adjustRightInd/>
        <w:snapToGrid/>
        <w:spacing w:line="560" w:lineRule="exact"/>
        <w:ind w:right="0" w:rightChars="0" w:firstLine="640" w:firstLineChars="200"/>
        <w:jc w:val="both"/>
        <w:textAlignment w:val="auto"/>
        <w:outlineLvl w:val="9"/>
        <w:rPr>
          <w:rFonts w:hint="eastAsia" w:ascii="仿宋" w:hAnsi="仿宋" w:eastAsia="仿宋"/>
          <w:sz w:val="32"/>
          <w:szCs w:val="32"/>
          <w:lang w:eastAsia="zh-CN"/>
        </w:rPr>
      </w:pPr>
      <w:r>
        <w:rPr>
          <w:rFonts w:hint="eastAsia" w:ascii="仿宋" w:hAnsi="仿宋" w:eastAsia="仿宋"/>
          <w:sz w:val="32"/>
          <w:szCs w:val="32"/>
        </w:rPr>
        <w:t>三是围绕科技志愿服务专业分队积极开展活动。4月8日，县科协牵头，以“专家服务基层、乡村振兴有我”为主题，以巩固脱贫攻坚成果、助力乡村振兴为抓手，广泛组织动员社会各界力量进农村、进茶园，创新开展科技志愿服务，科技志愿服务专业分队，深入欣陕农业科技有限公司茶叶种植基地开展茶叶实用技术培训和科技咨询等服务，旨在延伸科协组织服务基层的“手臂”，打通科技成果转化的“最后一公里”，把科技志愿服务落到满足群众需求的实处</w:t>
      </w:r>
      <w:r>
        <w:rPr>
          <w:rFonts w:hint="eastAsia" w:ascii="仿宋" w:hAnsi="仿宋" w:eastAsia="仿宋"/>
          <w:sz w:val="32"/>
          <w:szCs w:val="32"/>
          <w:lang w:eastAsia="zh-CN"/>
        </w:rPr>
        <w:t>。</w:t>
      </w:r>
    </w:p>
    <w:p>
      <w:pPr>
        <w:pStyle w:val="2"/>
        <w:keepNext w:val="0"/>
        <w:keepLines w:val="0"/>
        <w:pageBreakBefore w:val="0"/>
        <w:widowControl w:val="0"/>
        <w:kinsoku/>
        <w:wordWrap/>
        <w:overflowPunct/>
        <w:topLinePunct w:val="0"/>
        <w:bidi w:val="0"/>
        <w:adjustRightInd/>
        <w:snapToGrid/>
        <w:spacing w:line="560" w:lineRule="exact"/>
        <w:ind w:right="0" w:rightChars="0"/>
        <w:jc w:val="both"/>
        <w:textAlignment w:val="auto"/>
        <w:outlineLvl w:val="9"/>
        <w:rPr>
          <w:rFonts w:hint="eastAsia"/>
          <w:lang w:val="en-US" w:eastAsia="zh-CN"/>
        </w:rPr>
      </w:pPr>
      <w:r>
        <w:rPr>
          <w:rFonts w:hint="eastAsia" w:ascii="仿宋" w:hAnsi="仿宋" w:eastAsia="仿宋"/>
          <w:sz w:val="32"/>
          <w:szCs w:val="32"/>
          <w:lang w:val="en-US" w:eastAsia="zh-CN"/>
        </w:rPr>
        <w:t xml:space="preserve">     四是组织开展“关爱未成年人思想道德建设”主题的科普宣传进校园活动。组织科普专家宣讲团深入中小学校举办科技报告会，开拓青少年科技视野，普及防灾应急、身心健康等知识。</w:t>
      </w:r>
    </w:p>
    <w:p>
      <w:pPr>
        <w:widowControl/>
        <w:numPr>
          <w:ilvl w:val="0"/>
          <w:numId w:val="0"/>
        </w:numPr>
        <w:jc w:val="left"/>
        <w:rPr>
          <w:rFonts w:hint="eastAsia" w:ascii="楷体_GB2312" w:hAnsi="宋体" w:eastAsia="楷体_GB2312" w:cs="楷体_GB2312"/>
          <w:b w:val="0"/>
          <w:bCs/>
          <w:color w:val="000000"/>
          <w:kern w:val="0"/>
          <w:sz w:val="32"/>
          <w:szCs w:val="32"/>
          <w:lang w:val="en-US" w:eastAsia="zh-CN" w:bidi="ar"/>
        </w:rPr>
      </w:pPr>
    </w:p>
    <w:p>
      <w:pPr>
        <w:widowControl/>
        <w:numPr>
          <w:ilvl w:val="0"/>
          <w:numId w:val="0"/>
        </w:numPr>
        <w:jc w:val="left"/>
        <w:rPr>
          <w:rFonts w:hint="eastAsia" w:ascii="仿宋_GB2312" w:hAnsi="仿宋_GB2312" w:eastAsia="仿宋_GB2312" w:cs="仿宋_GB2312"/>
          <w:color w:val="000000"/>
          <w:kern w:val="0"/>
          <w:sz w:val="32"/>
          <w:szCs w:val="32"/>
          <w:lang w:eastAsia="zh-CN" w:bidi="ar"/>
        </w:rPr>
      </w:pPr>
      <w:r>
        <w:rPr>
          <w:rFonts w:hint="eastAsia" w:ascii="楷体_GB2312" w:hAnsi="宋体" w:eastAsia="楷体_GB2312" w:cs="楷体_GB2312"/>
          <w:b/>
          <w:color w:val="000000"/>
          <w:kern w:val="0"/>
          <w:sz w:val="32"/>
          <w:szCs w:val="32"/>
          <w:lang w:val="en-US" w:eastAsia="zh-CN" w:bidi="ar"/>
        </w:rPr>
        <w:t xml:space="preserve">    </w:t>
      </w:r>
      <w:r>
        <w:rPr>
          <w:rFonts w:hint="eastAsia" w:ascii="楷体_GB2312" w:hAnsi="宋体" w:eastAsia="楷体_GB2312" w:cs="楷体_GB2312"/>
          <w:b/>
          <w:bCs w:val="0"/>
          <w:color w:val="000000"/>
          <w:kern w:val="0"/>
          <w:sz w:val="32"/>
          <w:szCs w:val="32"/>
          <w:lang w:val="en-US" w:eastAsia="zh-CN" w:bidi="ar"/>
        </w:rPr>
        <w:t>（二）</w:t>
      </w:r>
      <w:r>
        <w:rPr>
          <w:rFonts w:hint="eastAsia" w:ascii="仿宋_GB2312" w:hAnsi="仿宋_GB2312" w:eastAsia="仿宋_GB2312" w:cs="仿宋_GB2312"/>
          <w:b/>
          <w:bCs w:val="0"/>
          <w:sz w:val="32"/>
          <w:szCs w:val="32"/>
        </w:rPr>
        <w:t xml:space="preserve">部门整体支出绩效自评结果。 </w:t>
      </w:r>
    </w:p>
    <w:p>
      <w:pPr>
        <w:spacing w:line="640" w:lineRule="exact"/>
        <w:ind w:firstLine="640"/>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sz w:val="32"/>
          <w:szCs w:val="32"/>
          <w:lang w:val="en-US" w:eastAsia="zh-CN"/>
        </w:rPr>
        <w:t xml:space="preserve">  </w:t>
      </w: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21</w:t>
      </w:r>
      <w:r>
        <w:rPr>
          <w:rFonts w:ascii="仿宋_GB2312" w:hAnsi="宋体" w:eastAsia="仿宋_GB2312" w:cs="仿宋_GB2312"/>
          <w:color w:val="000000"/>
          <w:kern w:val="0"/>
          <w:sz w:val="32"/>
          <w:szCs w:val="32"/>
          <w:lang w:bidi="ar"/>
        </w:rPr>
        <w:t>年财政拨款支出年初预算为</w:t>
      </w:r>
      <w:r>
        <w:rPr>
          <w:rFonts w:hint="eastAsia" w:ascii="仿宋_GB2312" w:hAnsi="宋体" w:eastAsia="仿宋_GB2312" w:cs="仿宋_GB2312"/>
          <w:color w:val="000000"/>
          <w:kern w:val="0"/>
          <w:sz w:val="32"/>
          <w:szCs w:val="32"/>
          <w:lang w:val="en-US" w:eastAsia="zh-CN" w:bidi="ar"/>
        </w:rPr>
        <w:t>46.87</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lang w:eastAsia="zh-CN" w:bidi="ar"/>
        </w:rPr>
        <w:t>年初部门预算收入</w:t>
      </w:r>
      <w:r>
        <w:rPr>
          <w:rFonts w:hint="eastAsia" w:ascii="仿宋_GB2312" w:hAnsi="仿宋_GB2312" w:eastAsia="仿宋_GB2312" w:cs="仿宋_GB2312"/>
          <w:sz w:val="32"/>
          <w:szCs w:val="32"/>
          <w:lang w:val="en-US" w:eastAsia="zh-CN" w:bidi="ar"/>
        </w:rPr>
        <w:t>46.86万元，其中人员经费及公用经费37.32万元，专项业务经费9.55万元。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60.52</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129.12</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val="en-US" w:eastAsia="zh-CN" w:bidi="ar"/>
        </w:rPr>
        <w:t>自评等级“优”。</w:t>
      </w:r>
      <w:r>
        <w:rPr>
          <w:rFonts w:hint="eastAsia" w:ascii="仿宋_GB2312" w:hAnsi="仿宋_GB2312" w:eastAsia="仿宋_GB2312" w:cs="仿宋_GB2312"/>
          <w:sz w:val="32"/>
          <w:szCs w:val="32"/>
        </w:rPr>
        <w:t>本年度部门总体运行情况及取得的成绩：2021年，本部门紧紧围绕县委县政府中心工作和部门业务工作紧密结合，充分发挥群团组织优势，圆满完成了各项工作任务。</w:t>
      </w:r>
    </w:p>
    <w:p>
      <w:pPr>
        <w:pStyle w:val="4"/>
        <w:keepNext w:val="0"/>
        <w:keepLines w:val="0"/>
        <w:widowControl/>
        <w:numPr>
          <w:ilvl w:val="0"/>
          <w:numId w:val="0"/>
        </w:numPr>
        <w:suppressLineNumbers w:val="0"/>
        <w:spacing w:before="0" w:beforeAutospacing="1" w:after="0" w:afterAutospacing="1"/>
        <w:ind w:right="0" w:rightChars="0"/>
        <w:rPr>
          <w:rFonts w:hint="eastAsia" w:ascii="仿宋_GB2312" w:hAnsi="仿宋_GB2312" w:eastAsia="仿宋_GB2312" w:cs="仿宋_GB2312"/>
          <w:color w:val="000000"/>
          <w:kern w:val="0"/>
          <w:sz w:val="32"/>
          <w:szCs w:val="32"/>
          <w:lang w:eastAsia="zh-CN" w:bidi="ar"/>
        </w:rPr>
      </w:pPr>
      <w:r>
        <w:rPr>
          <w:rFonts w:hint="eastAsia" w:ascii="楷体_GB2312" w:hAnsi="宋体" w:eastAsia="楷体_GB2312" w:cs="楷体_GB2312"/>
          <w:b/>
          <w:color w:val="000000"/>
          <w:kern w:val="0"/>
          <w:sz w:val="32"/>
          <w:szCs w:val="32"/>
          <w:lang w:val="en-US" w:eastAsia="zh-CN" w:bidi="ar"/>
        </w:rPr>
        <w:t xml:space="preserve">    （三）</w:t>
      </w:r>
      <w:r>
        <w:rPr>
          <w:rFonts w:ascii="楷体_GB2312" w:hAnsi="宋体" w:eastAsia="楷体_GB2312" w:cs="楷体_GB2312"/>
          <w:b/>
          <w:color w:val="000000"/>
          <w:kern w:val="0"/>
          <w:sz w:val="32"/>
          <w:szCs w:val="32"/>
          <w:lang w:bidi="ar"/>
        </w:rPr>
        <w:t>部门决算中项目绩效自评结果。</w:t>
      </w:r>
    </w:p>
    <w:p>
      <w:pPr>
        <w:keepNext w:val="0"/>
        <w:keepLines w:val="0"/>
        <w:pageBreakBefore w:val="0"/>
        <w:widowControl w:val="0"/>
        <w:numPr>
          <w:ilvl w:val="0"/>
          <w:numId w:val="0"/>
        </w:numPr>
        <w:kinsoku/>
        <w:wordWrap/>
        <w:overflowPunct/>
        <w:topLinePunct w:val="0"/>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 xml:space="preserve">2021年部门预算5个项目，专项预算经费9.55万元，全年支出9.55万元。  </w:t>
      </w:r>
    </w:p>
    <w:p>
      <w:pPr>
        <w:keepNext w:val="0"/>
        <w:keepLines w:val="0"/>
        <w:pageBreakBefore w:val="0"/>
        <w:widowControl w:val="0"/>
        <w:numPr>
          <w:ilvl w:val="0"/>
          <w:numId w:val="0"/>
        </w:numPr>
        <w:kinsoku/>
        <w:wordWrap/>
        <w:overflowPunct/>
        <w:topLinePunct w:val="0"/>
        <w:bidi w:val="0"/>
        <w:adjustRightInd/>
        <w:snapToGrid/>
        <w:spacing w:line="560" w:lineRule="exact"/>
        <w:ind w:right="0" w:rightChars="0" w:firstLine="640"/>
        <w:jc w:val="both"/>
        <w:textAlignment w:val="auto"/>
        <w:outlineLvl w:val="9"/>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sym w:font="Wingdings" w:char="F081"/>
      </w:r>
      <w:r>
        <w:rPr>
          <w:rFonts w:hint="eastAsia" w:ascii="仿宋_GB2312" w:hAnsi="仿宋_GB2312" w:eastAsia="仿宋_GB2312" w:cs="仿宋_GB2312"/>
          <w:sz w:val="32"/>
          <w:szCs w:val="32"/>
          <w:lang w:val="en-US" w:eastAsia="zh-CN" w:bidi="ar"/>
        </w:rPr>
        <w:t>科普活动专项经费：年初预算1.55万元，主要用于全年各类品牌宣传活动，支出1.55万元，支出率100%；</w:t>
      </w:r>
    </w:p>
    <w:p>
      <w:pPr>
        <w:keepNext w:val="0"/>
        <w:keepLines w:val="0"/>
        <w:pageBreakBefore w:val="0"/>
        <w:widowControl w:val="0"/>
        <w:numPr>
          <w:ilvl w:val="0"/>
          <w:numId w:val="0"/>
        </w:numPr>
        <w:kinsoku/>
        <w:wordWrap/>
        <w:overflowPunct/>
        <w:topLinePunct w:val="0"/>
        <w:bidi w:val="0"/>
        <w:adjustRightInd/>
        <w:snapToGrid/>
        <w:spacing w:line="560" w:lineRule="exact"/>
        <w:ind w:left="640" w:leftChars="0" w:right="0" w:rightChars="0"/>
        <w:jc w:val="both"/>
        <w:textAlignment w:val="auto"/>
        <w:outlineLvl w:val="9"/>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sym w:font="Wingdings" w:char="F082"/>
      </w:r>
      <w:r>
        <w:rPr>
          <w:rFonts w:hint="eastAsia" w:ascii="仿宋_GB2312" w:hAnsi="仿宋_GB2312" w:eastAsia="仿宋_GB2312" w:cs="仿宋_GB2312"/>
          <w:sz w:val="32"/>
          <w:szCs w:val="32"/>
          <w:lang w:val="en-US" w:eastAsia="zh-CN" w:bidi="ar"/>
        </w:rPr>
        <w:t>科技三项费：年初预算2万元，主要用于全科普宣传、培训、咨</w:t>
      </w:r>
    </w:p>
    <w:p>
      <w:pPr>
        <w:keepNext w:val="0"/>
        <w:keepLines w:val="0"/>
        <w:pageBreakBefore w:val="0"/>
        <w:widowControl w:val="0"/>
        <w:numPr>
          <w:ilvl w:val="0"/>
          <w:numId w:val="0"/>
        </w:numPr>
        <w:kinsoku/>
        <w:wordWrap/>
        <w:overflowPunct/>
        <w:topLinePunct w:val="0"/>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询等，支出2万元，支出率100%；</w:t>
      </w:r>
    </w:p>
    <w:p>
      <w:pPr>
        <w:keepNext w:val="0"/>
        <w:keepLines w:val="0"/>
        <w:pageBreakBefore w:val="0"/>
        <w:widowControl w:val="0"/>
        <w:numPr>
          <w:ilvl w:val="0"/>
          <w:numId w:val="0"/>
        </w:numPr>
        <w:kinsoku/>
        <w:wordWrap/>
        <w:overflowPunct/>
        <w:topLinePunct w:val="0"/>
        <w:bidi w:val="0"/>
        <w:adjustRightInd/>
        <w:snapToGrid/>
        <w:spacing w:line="560" w:lineRule="exact"/>
        <w:ind w:left="640" w:leftChars="0" w:right="0" w:rightChars="0"/>
        <w:jc w:val="both"/>
        <w:textAlignment w:val="auto"/>
        <w:outlineLvl w:val="9"/>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sym w:font="Wingdings" w:char="F083"/>
      </w:r>
      <w:r>
        <w:rPr>
          <w:rFonts w:hint="eastAsia" w:ascii="仿宋_GB2312" w:hAnsi="仿宋_GB2312" w:eastAsia="仿宋_GB2312" w:cs="仿宋_GB2312"/>
          <w:sz w:val="32"/>
          <w:szCs w:val="32"/>
          <w:lang w:val="en-US" w:eastAsia="zh-CN" w:bidi="ar"/>
        </w:rPr>
        <w:t>科协深化改革试点建设工作专项经费：年初预算2万元，主要用</w:t>
      </w:r>
    </w:p>
    <w:p>
      <w:pPr>
        <w:keepNext w:val="0"/>
        <w:keepLines w:val="0"/>
        <w:pageBreakBefore w:val="0"/>
        <w:widowControl w:val="0"/>
        <w:numPr>
          <w:ilvl w:val="0"/>
          <w:numId w:val="0"/>
        </w:numPr>
        <w:kinsoku/>
        <w:wordWrap/>
        <w:overflowPunct/>
        <w:topLinePunct w:val="0"/>
        <w:bidi w:val="0"/>
        <w:adjustRightInd/>
        <w:snapToGrid/>
        <w:spacing w:line="560" w:lineRule="exact"/>
        <w:ind w:right="0" w:rightChars="0"/>
        <w:jc w:val="both"/>
        <w:textAlignment w:val="auto"/>
        <w:outlineLvl w:val="9"/>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于深化改革试点建设，支出2万元，支出率100%；</w:t>
      </w:r>
    </w:p>
    <w:p>
      <w:pPr>
        <w:keepNext w:val="0"/>
        <w:keepLines w:val="0"/>
        <w:pageBreakBefore w:val="0"/>
        <w:widowControl w:val="0"/>
        <w:numPr>
          <w:ilvl w:val="0"/>
          <w:numId w:val="0"/>
        </w:numPr>
        <w:kinsoku/>
        <w:wordWrap/>
        <w:overflowPunct/>
        <w:topLinePunct w:val="0"/>
        <w:bidi w:val="0"/>
        <w:adjustRightInd/>
        <w:snapToGrid/>
        <w:spacing w:line="560" w:lineRule="exact"/>
        <w:ind w:left="640" w:leftChars="0" w:right="0" w:rightChars="0"/>
        <w:jc w:val="both"/>
        <w:textAlignment w:val="auto"/>
        <w:outlineLvl w:val="9"/>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④基层科普活动服务站建设经费：年初预2万元，主要用于基层科</w:t>
      </w:r>
    </w:p>
    <w:p>
      <w:pPr>
        <w:keepNext w:val="0"/>
        <w:keepLines w:val="0"/>
        <w:pageBreakBefore w:val="0"/>
        <w:widowControl w:val="0"/>
        <w:numPr>
          <w:ilvl w:val="0"/>
          <w:numId w:val="0"/>
        </w:numPr>
        <w:kinsoku/>
        <w:wordWrap/>
        <w:overflowPunct/>
        <w:topLinePunct w:val="0"/>
        <w:bidi w:val="0"/>
        <w:adjustRightInd/>
        <w:snapToGrid/>
        <w:spacing w:line="560" w:lineRule="exact"/>
        <w:ind w:right="0" w:rightChars="0"/>
        <w:jc w:val="both"/>
        <w:textAlignment w:val="auto"/>
        <w:outlineLvl w:val="9"/>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普活动服务站建设，共支出22万元，支出率100%；</w:t>
      </w:r>
    </w:p>
    <w:p>
      <w:pPr>
        <w:keepNext w:val="0"/>
        <w:keepLines w:val="0"/>
        <w:pageBreakBefore w:val="0"/>
        <w:widowControl w:val="0"/>
        <w:numPr>
          <w:ilvl w:val="0"/>
          <w:numId w:val="0"/>
        </w:numPr>
        <w:kinsoku/>
        <w:wordWrap/>
        <w:overflowPunct/>
        <w:topLinePunct w:val="0"/>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⑤基层农技协会、科普示范基地建设经费：年初预算2万元，主要用于发展壮大农技协会，科普示范基地建设，共支出2万元，支出率100%；</w:t>
      </w:r>
    </w:p>
    <w:p>
      <w:pPr>
        <w:pStyle w:val="4"/>
        <w:keepNext w:val="0"/>
        <w:keepLines w:val="0"/>
        <w:widowControl/>
        <w:suppressLineNumbers w:val="0"/>
        <w:spacing w:before="0" w:beforeAutospacing="1" w:after="0" w:afterAutospacing="1" w:line="560" w:lineRule="atLeast"/>
        <w:ind w:right="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附件：1.2021年度县科协部门整体绩效自评报告。</w:t>
      </w:r>
    </w:p>
    <w:p>
      <w:pPr>
        <w:pStyle w:val="4"/>
        <w:keepNext w:val="0"/>
        <w:keepLines w:val="0"/>
        <w:widowControl/>
        <w:suppressLineNumbers w:val="0"/>
        <w:spacing w:before="0" w:beforeAutospacing="1" w:after="0" w:afterAutospacing="1" w:line="560" w:lineRule="atLeast"/>
        <w:ind w:right="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2.2021年度县科协项目支出绩效自评报告。</w:t>
      </w:r>
    </w:p>
    <w:p>
      <w:pPr>
        <w:pStyle w:val="4"/>
        <w:keepNext w:val="0"/>
        <w:keepLines w:val="0"/>
        <w:widowControl/>
        <w:suppressLineNumbers w:val="0"/>
        <w:spacing w:before="0" w:beforeAutospacing="1" w:after="0" w:afterAutospacing="1" w:line="560" w:lineRule="atLeast"/>
        <w:ind w:right="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3.县科协2021年度项目支出绩效自评表。</w:t>
      </w:r>
    </w:p>
    <w:p>
      <w:pPr>
        <w:pStyle w:val="4"/>
        <w:keepNext w:val="0"/>
        <w:keepLines w:val="0"/>
        <w:widowControl/>
        <w:suppressLineNumbers w:val="0"/>
        <w:spacing w:before="0" w:beforeAutospacing="1" w:after="0" w:afterAutospacing="1" w:line="560" w:lineRule="atLeast"/>
        <w:ind w:right="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4.县科协绩效自评打分。</w:t>
      </w:r>
    </w:p>
    <w:p>
      <w:pPr>
        <w:pStyle w:val="4"/>
        <w:keepNext w:val="0"/>
        <w:keepLines w:val="0"/>
        <w:widowControl/>
        <w:suppressLineNumbers w:val="0"/>
        <w:spacing w:before="0" w:beforeAutospacing="1" w:after="0" w:afterAutospacing="1" w:line="560" w:lineRule="atLeast"/>
        <w:ind w:right="0"/>
        <w:jc w:val="left"/>
        <w:rPr>
          <w:rFonts w:hint="eastAsia" w:ascii="仿宋_GB2312" w:hAnsi="仿宋_GB2312" w:eastAsia="仿宋_GB2312" w:cs="仿宋_GB2312"/>
          <w:sz w:val="32"/>
          <w:szCs w:val="32"/>
          <w:lang w:val="en-US" w:eastAsia="zh-CN"/>
        </w:rPr>
      </w:pPr>
    </w:p>
    <w:p>
      <w:pPr>
        <w:pStyle w:val="4"/>
        <w:keepNext w:val="0"/>
        <w:keepLines w:val="0"/>
        <w:widowControl/>
        <w:suppressLineNumbers w:val="0"/>
        <w:spacing w:before="0" w:beforeAutospacing="1" w:after="0" w:afterAutospacing="1" w:line="560" w:lineRule="atLeast"/>
        <w:ind w:right="0"/>
        <w:jc w:val="left"/>
        <w:rPr>
          <w:rFonts w:hint="eastAsia" w:ascii="仿宋_GB2312" w:hAnsi="仿宋_GB2312" w:eastAsia="仿宋_GB2312" w:cs="仿宋_GB2312"/>
          <w:sz w:val="32"/>
          <w:szCs w:val="32"/>
          <w:lang w:val="en-US" w:eastAsia="zh-CN"/>
        </w:rPr>
      </w:pPr>
    </w:p>
    <w:p>
      <w:pPr>
        <w:pStyle w:val="4"/>
        <w:keepNext w:val="0"/>
        <w:keepLines w:val="0"/>
        <w:widowControl/>
        <w:suppressLineNumbers w:val="0"/>
        <w:spacing w:before="0" w:beforeAutospacing="1" w:after="0" w:afterAutospacing="1" w:line="560" w:lineRule="atLeast"/>
        <w:ind w:right="0"/>
        <w:jc w:val="left"/>
        <w:rPr>
          <w:rFonts w:hint="eastAsia" w:ascii="仿宋_GB2312" w:hAnsi="仿宋_GB2312" w:eastAsia="仿宋_GB2312" w:cs="仿宋_GB2312"/>
          <w:sz w:val="32"/>
          <w:szCs w:val="32"/>
          <w:lang w:val="en-US" w:eastAsia="zh-CN"/>
        </w:rPr>
      </w:pPr>
    </w:p>
    <w:p>
      <w:pPr>
        <w:spacing w:line="640" w:lineRule="exact"/>
        <w:jc w:val="left"/>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附件1</w:t>
      </w:r>
    </w:p>
    <w:p>
      <w:pPr>
        <w:spacing w:line="640" w:lineRule="exact"/>
        <w:jc w:val="center"/>
        <w:rPr>
          <w:rFonts w:hint="eastAsia" w:ascii="方正小标宋_GBK" w:hAnsi="仿宋_GB2312" w:eastAsia="方正小标宋_GBK" w:cs="仿宋_GB2312"/>
          <w:sz w:val="44"/>
          <w:szCs w:val="44"/>
        </w:rPr>
      </w:pPr>
      <w:r>
        <w:rPr>
          <w:rFonts w:hint="eastAsia" w:ascii="方正小标宋_GBK" w:hAnsi="仿宋_GB2312" w:eastAsia="方正小标宋_GBK" w:cs="仿宋_GB2312"/>
          <w:sz w:val="44"/>
          <w:szCs w:val="44"/>
          <w:lang w:bidi="ar"/>
        </w:rPr>
        <w:t>202</w:t>
      </w:r>
      <w:r>
        <w:rPr>
          <w:rFonts w:hint="eastAsia" w:ascii="方正小标宋_GBK" w:hAnsi="仿宋_GB2312" w:eastAsia="方正小标宋_GBK" w:cs="仿宋_GB2312"/>
          <w:sz w:val="44"/>
          <w:szCs w:val="44"/>
          <w:lang w:val="en-US" w:eastAsia="zh-CN" w:bidi="ar"/>
        </w:rPr>
        <w:t>1</w:t>
      </w:r>
      <w:r>
        <w:rPr>
          <w:rFonts w:hint="eastAsia" w:ascii="方正小标宋_GBK" w:hAnsi="仿宋_GB2312" w:eastAsia="方正小标宋_GBK" w:cs="仿宋_GB2312"/>
          <w:sz w:val="44"/>
          <w:szCs w:val="44"/>
          <w:lang w:bidi="ar"/>
        </w:rPr>
        <w:t>年度</w:t>
      </w:r>
      <w:r>
        <w:rPr>
          <w:rFonts w:hint="eastAsia" w:ascii="方正小标宋_GBK" w:hAnsi="仿宋_GB2312" w:eastAsia="方正小标宋_GBK" w:cs="仿宋_GB2312"/>
          <w:sz w:val="44"/>
          <w:szCs w:val="44"/>
          <w:lang w:val="en-US" w:eastAsia="zh-CN" w:bidi="ar"/>
        </w:rPr>
        <w:t>县科协</w:t>
      </w:r>
      <w:r>
        <w:rPr>
          <w:rFonts w:hint="eastAsia" w:ascii="方正小标宋_GBK" w:hAnsi="仿宋_GB2312" w:eastAsia="方正小标宋_GBK" w:cs="仿宋_GB2312"/>
          <w:sz w:val="44"/>
          <w:szCs w:val="44"/>
          <w:lang w:bidi="ar"/>
        </w:rPr>
        <w:t>部门绩效自评报告</w:t>
      </w:r>
    </w:p>
    <w:p>
      <w:pPr>
        <w:pStyle w:val="9"/>
        <w:numPr>
          <w:ilvl w:val="0"/>
          <w:numId w:val="0"/>
        </w:numPr>
        <w:spacing w:line="640" w:lineRule="exact"/>
        <w:ind w:firstLine="960" w:firstLineChars="300"/>
        <w:rPr>
          <w:rFonts w:hint="eastAsia" w:ascii="黑体" w:hAnsi="黑体" w:eastAsia="黑体" w:cs="黑体"/>
          <w:sz w:val="32"/>
          <w:szCs w:val="32"/>
          <w:lang w:bidi="ar"/>
        </w:rPr>
      </w:pPr>
      <w:r>
        <w:rPr>
          <w:rFonts w:hint="eastAsia" w:ascii="黑体" w:hAnsi="黑体" w:eastAsia="黑体" w:cs="黑体"/>
          <w:sz w:val="32"/>
          <w:szCs w:val="32"/>
          <w:lang w:eastAsia="zh-CN" w:bidi="ar"/>
        </w:rPr>
        <w:t>一、</w:t>
      </w:r>
      <w:r>
        <w:rPr>
          <w:rFonts w:hint="eastAsia" w:ascii="黑体" w:hAnsi="黑体" w:eastAsia="黑体" w:cs="黑体"/>
          <w:sz w:val="32"/>
          <w:szCs w:val="32"/>
          <w:lang w:bidi="ar"/>
        </w:rPr>
        <w:t>简要概述部门基本情况</w:t>
      </w:r>
    </w:p>
    <w:p>
      <w:pPr>
        <w:ind w:firstLine="640" w:firstLineChars="200"/>
        <w:rPr>
          <w:rFonts w:hint="eastAsia" w:ascii="黑体" w:eastAsia="黑体"/>
          <w:sz w:val="32"/>
          <w:szCs w:val="32"/>
        </w:rPr>
      </w:pPr>
      <w:r>
        <w:rPr>
          <w:rFonts w:hint="eastAsia" w:ascii="黑体" w:eastAsia="黑体"/>
          <w:sz w:val="32"/>
          <w:szCs w:val="32"/>
          <w:lang w:eastAsia="zh-CN"/>
        </w:rPr>
        <w:t>（一）</w:t>
      </w:r>
      <w:r>
        <w:rPr>
          <w:rFonts w:hint="eastAsia" w:ascii="黑体" w:eastAsia="黑体"/>
          <w:sz w:val="32"/>
          <w:szCs w:val="32"/>
        </w:rPr>
        <w:t xml:space="preserve">部门主要职责 </w:t>
      </w:r>
    </w:p>
    <w:p>
      <w:pPr>
        <w:pStyle w:val="9"/>
        <w:spacing w:line="560" w:lineRule="exact"/>
        <w:ind w:firstLine="640"/>
        <w:rPr>
          <w:rFonts w:hint="eastAsia" w:ascii="仿宋_GB2312" w:hAnsi="仿宋_GB2312" w:eastAsia="仿宋_GB2312" w:cs="仿宋_GB2312"/>
          <w:sz w:val="32"/>
          <w:szCs w:val="32"/>
          <w:lang w:eastAsia="zh-CN"/>
        </w:rPr>
      </w:pPr>
      <w:r>
        <w:rPr>
          <w:rFonts w:hint="eastAsia" w:ascii="仿宋_GB2312" w:hAnsi="Arial" w:eastAsia="仿宋_GB2312" w:cs="Arial"/>
          <w:color w:val="000000"/>
          <w:sz w:val="32"/>
          <w:szCs w:val="32"/>
          <w:lang w:val="en-US" w:eastAsia="zh-CN"/>
        </w:rPr>
        <w:t>1、</w:t>
      </w:r>
      <w:r>
        <w:rPr>
          <w:rFonts w:hint="eastAsia" w:ascii="仿宋_GB2312" w:hAnsi="Arial" w:eastAsia="仿宋_GB2312" w:cs="Arial"/>
          <w:color w:val="000000"/>
          <w:sz w:val="32"/>
          <w:szCs w:val="32"/>
        </w:rPr>
        <w:t>组织</w:t>
      </w:r>
      <w:r>
        <w:rPr>
          <w:rFonts w:hint="eastAsia" w:ascii="仿宋_GB2312" w:hAnsi="仿宋_GB2312" w:eastAsia="仿宋_GB2312" w:cs="仿宋_GB2312"/>
          <w:sz w:val="32"/>
          <w:szCs w:val="32"/>
        </w:rPr>
        <w:t>拟定全县科普工作计划，并组织实施，促进群众性科普活动和社区科普工作的发展</w:t>
      </w:r>
      <w:r>
        <w:rPr>
          <w:rFonts w:hint="eastAsia" w:ascii="仿宋_GB2312" w:hAnsi="仿宋_GB2312" w:eastAsia="仿宋_GB2312" w:cs="仿宋_GB2312"/>
          <w:sz w:val="32"/>
          <w:szCs w:val="32"/>
          <w:lang w:eastAsia="zh-CN"/>
        </w:rPr>
        <w:t>。</w:t>
      </w:r>
    </w:p>
    <w:p>
      <w:pPr>
        <w:pStyle w:val="9"/>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开展学术交流，活跃学术思想，促进科学和经济发展</w:t>
      </w:r>
      <w:r>
        <w:rPr>
          <w:rFonts w:hint="eastAsia" w:ascii="仿宋_GB2312" w:hAnsi="仿宋_GB2312" w:eastAsia="仿宋_GB2312" w:cs="仿宋_GB2312"/>
          <w:sz w:val="32"/>
          <w:szCs w:val="32"/>
          <w:lang w:eastAsia="zh-CN"/>
        </w:rPr>
        <w:t>。</w:t>
      </w:r>
    </w:p>
    <w:p>
      <w:pPr>
        <w:pStyle w:val="9"/>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开展继续教育和技术培训工作，普及科学知识，开展科技宣传，推广先进实用技术，开展青少年科技教育活动</w:t>
      </w:r>
      <w:r>
        <w:rPr>
          <w:rFonts w:hint="eastAsia" w:ascii="仿宋_GB2312" w:hAnsi="仿宋_GB2312" w:eastAsia="仿宋_GB2312" w:cs="仿宋_GB2312"/>
          <w:sz w:val="32"/>
          <w:szCs w:val="32"/>
          <w:lang w:eastAsia="zh-CN"/>
        </w:rPr>
        <w:t>。</w:t>
      </w:r>
    </w:p>
    <w:p>
      <w:pPr>
        <w:pStyle w:val="9"/>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组织开展技术协作、技术咨询服务，接受委托承担科技项目评估、成果鉴定、农民技术职称评审等工作</w:t>
      </w:r>
      <w:r>
        <w:rPr>
          <w:rFonts w:hint="eastAsia" w:ascii="仿宋_GB2312" w:hAnsi="仿宋_GB2312" w:eastAsia="仿宋_GB2312" w:cs="仿宋_GB2312"/>
          <w:sz w:val="32"/>
          <w:szCs w:val="32"/>
          <w:lang w:eastAsia="zh-CN"/>
        </w:rPr>
        <w:t>。</w:t>
      </w:r>
    </w:p>
    <w:p>
      <w:pPr>
        <w:pStyle w:val="9"/>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反映科技工作者的意见和要求，维护科技工作者的合法利益，推荐科技成果，表彰科技团体和科技人员</w:t>
      </w:r>
      <w:r>
        <w:rPr>
          <w:rFonts w:hint="eastAsia" w:ascii="仿宋_GB2312" w:hAnsi="仿宋_GB2312" w:eastAsia="仿宋_GB2312" w:cs="仿宋_GB2312"/>
          <w:sz w:val="32"/>
          <w:szCs w:val="32"/>
          <w:lang w:eastAsia="zh-CN"/>
        </w:rPr>
        <w:t>。</w:t>
      </w:r>
    </w:p>
    <w:p>
      <w:pPr>
        <w:pStyle w:val="9"/>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指导厂矿企业和事业单位建立的基层科学技术协会，以及乡镇科学技术协会的业务工作</w:t>
      </w:r>
      <w:r>
        <w:rPr>
          <w:rFonts w:hint="eastAsia" w:ascii="仿宋_GB2312" w:hAnsi="仿宋_GB2312" w:eastAsia="仿宋_GB2312" w:cs="仿宋_GB2312"/>
          <w:sz w:val="32"/>
          <w:szCs w:val="32"/>
          <w:lang w:eastAsia="zh-CN"/>
        </w:rPr>
        <w:t>。</w:t>
      </w:r>
    </w:p>
    <w:p>
      <w:pPr>
        <w:pStyle w:val="9"/>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组织兴办民间科学技术服务实体，促进民办科技服务事业的发展</w:t>
      </w:r>
      <w:r>
        <w:rPr>
          <w:rFonts w:hint="eastAsia" w:ascii="仿宋_GB2312" w:hAnsi="仿宋_GB2312" w:eastAsia="仿宋_GB2312" w:cs="仿宋_GB2312"/>
          <w:sz w:val="32"/>
          <w:szCs w:val="32"/>
          <w:lang w:eastAsia="zh-CN"/>
        </w:rPr>
        <w:t>。</w:t>
      </w:r>
    </w:p>
    <w:p>
      <w:pPr>
        <w:pStyle w:val="9"/>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负责全县对外学术，科技交流和相关项目的组织实施。</w:t>
      </w:r>
    </w:p>
    <w:p>
      <w:pPr>
        <w:spacing w:line="640" w:lineRule="exact"/>
        <w:ind w:firstLine="640" w:firstLineChars="200"/>
        <w:rPr>
          <w:rFonts w:hint="eastAsia" w:ascii="仿宋_GB2312" w:hAnsi="宋体" w:eastAsia="仿宋_GB2312"/>
          <w:sz w:val="32"/>
          <w:szCs w:val="32"/>
        </w:rPr>
      </w:pPr>
      <w:r>
        <w:rPr>
          <w:rFonts w:hint="eastAsia" w:ascii="仿宋_GB2312" w:hAnsi="仿宋_GB2312" w:eastAsia="仿宋_GB2312" w:cs="仿宋_GB2312"/>
          <w:sz w:val="32"/>
          <w:szCs w:val="32"/>
          <w:lang w:val="en-US" w:eastAsia="zh-CN"/>
        </w:rPr>
        <w:t xml:space="preserve">9、承办县委、县政府和市科协交办的工作任务。               </w:t>
      </w:r>
      <w:r>
        <w:rPr>
          <w:rFonts w:hint="eastAsia" w:ascii="黑体" w:eastAsia="黑体"/>
          <w:sz w:val="32"/>
          <w:szCs w:val="32"/>
          <w:lang w:eastAsia="zh-CN"/>
        </w:rPr>
        <w:t>（二）机构设置及人员编制</w:t>
      </w:r>
    </w:p>
    <w:p>
      <w:pPr>
        <w:ind w:firstLine="640" w:firstLineChars="200"/>
        <w:rPr>
          <w:rFonts w:hint="eastAsia" w:ascii="仿宋_GB2312" w:hAnsi="宋体" w:eastAsia="仿宋_GB2312"/>
          <w:sz w:val="32"/>
          <w:szCs w:val="32"/>
        </w:rPr>
      </w:pPr>
      <w:r>
        <w:rPr>
          <w:rFonts w:hint="eastAsia" w:ascii="仿宋_GB2312" w:hAnsi="仿宋_GB2312" w:eastAsia="仿宋_GB2312" w:cs="仿宋_GB2312"/>
          <w:b w:val="0"/>
          <w:bCs w:val="0"/>
          <w:sz w:val="32"/>
          <w:szCs w:val="32"/>
          <w:lang w:eastAsia="zh-CN"/>
        </w:rPr>
        <w:t>镇坪县科学</w:t>
      </w:r>
      <w:r>
        <w:rPr>
          <w:rFonts w:hint="eastAsia" w:ascii="仿宋_GB2312" w:hAnsi="仿宋_GB2312" w:eastAsia="仿宋_GB2312" w:cs="仿宋_GB2312"/>
          <w:sz w:val="32"/>
          <w:szCs w:val="32"/>
        </w:rPr>
        <w:t>下设机构有：</w:t>
      </w:r>
      <w:r>
        <w:rPr>
          <w:rFonts w:hint="eastAsia" w:ascii="仿宋_GB2312" w:hAnsi="仿宋_GB2312" w:eastAsia="仿宋_GB2312" w:cs="仿宋_GB2312"/>
          <w:sz w:val="32"/>
          <w:szCs w:val="32"/>
          <w:lang w:eastAsia="zh-CN"/>
        </w:rPr>
        <w:t>主席办公</w:t>
      </w:r>
      <w:r>
        <w:rPr>
          <w:rFonts w:hint="eastAsia" w:ascii="仿宋_GB2312" w:hAnsi="仿宋_GB2312" w:eastAsia="仿宋_GB2312" w:cs="仿宋_GB2312"/>
          <w:sz w:val="32"/>
          <w:szCs w:val="32"/>
          <w:lang w:val="en-US" w:eastAsia="zh-CN"/>
        </w:rPr>
        <w:t>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副主席办公室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综合业务办公室</w:t>
      </w:r>
      <w:r>
        <w:rPr>
          <w:rFonts w:hint="eastAsia" w:ascii="仿宋_GB2312" w:hAnsi="仿宋_GB2312" w:eastAsia="仿宋_GB2312" w:cs="仿宋_GB2312"/>
          <w:sz w:val="32"/>
          <w:szCs w:val="32"/>
        </w:rPr>
        <w:t>。</w:t>
      </w:r>
      <w:r>
        <w:rPr>
          <w:rFonts w:hint="eastAsia" w:ascii="仿宋_GB2312" w:hAnsi="仿宋" w:eastAsia="仿宋_GB2312" w:cs="宋体"/>
          <w:color w:val="333333"/>
          <w:kern w:val="0"/>
          <w:sz w:val="32"/>
          <w:szCs w:val="32"/>
        </w:rPr>
        <w:t>截止20</w:t>
      </w:r>
      <w:r>
        <w:rPr>
          <w:rFonts w:hint="eastAsia" w:ascii="仿宋_GB2312" w:hAnsi="仿宋" w:eastAsia="仿宋_GB2312" w:cs="宋体"/>
          <w:color w:val="333333"/>
          <w:kern w:val="0"/>
          <w:sz w:val="32"/>
          <w:szCs w:val="32"/>
          <w:lang w:val="en-US" w:eastAsia="zh-CN"/>
        </w:rPr>
        <w:t>21</w:t>
      </w:r>
      <w:r>
        <w:rPr>
          <w:rFonts w:hint="eastAsia" w:ascii="仿宋_GB2312" w:hAnsi="仿宋" w:eastAsia="仿宋_GB2312" w:cs="宋体"/>
          <w:color w:val="333333"/>
          <w:kern w:val="0"/>
          <w:sz w:val="32"/>
          <w:szCs w:val="32"/>
        </w:rPr>
        <w:t>年年底，本部门</w:t>
      </w:r>
      <w:r>
        <w:rPr>
          <w:rFonts w:hint="eastAsia" w:ascii="仿宋_GB2312" w:hAnsi="宋体" w:eastAsia="仿宋_GB2312"/>
          <w:sz w:val="32"/>
          <w:szCs w:val="32"/>
        </w:rPr>
        <w:t>人员编制</w:t>
      </w:r>
      <w:r>
        <w:rPr>
          <w:rFonts w:hint="eastAsia" w:ascii="仿宋_GB2312" w:hAnsi="宋体" w:eastAsia="仿宋_GB2312"/>
          <w:sz w:val="32"/>
          <w:szCs w:val="32"/>
          <w:lang w:val="en-US" w:eastAsia="zh-CN"/>
        </w:rPr>
        <w:t>3</w:t>
      </w:r>
      <w:r>
        <w:rPr>
          <w:rFonts w:hint="eastAsia" w:ascii="仿宋_GB2312" w:hAnsi="宋体" w:eastAsia="仿宋_GB2312"/>
          <w:sz w:val="32"/>
          <w:szCs w:val="32"/>
        </w:rPr>
        <w:t>人，</w:t>
      </w:r>
      <w:r>
        <w:rPr>
          <w:rFonts w:hint="eastAsia" w:ascii="仿宋_GB2312" w:hAnsi="宋体" w:eastAsia="仿宋_GB2312"/>
          <w:sz w:val="32"/>
          <w:szCs w:val="32"/>
          <w:lang w:eastAsia="zh-CN"/>
        </w:rPr>
        <w:t>其中</w:t>
      </w:r>
      <w:r>
        <w:rPr>
          <w:rFonts w:hint="eastAsia" w:ascii="仿宋_GB2312" w:hAnsi="宋体" w:eastAsia="仿宋_GB2312"/>
          <w:sz w:val="32"/>
          <w:szCs w:val="32"/>
          <w:lang w:val="en-US" w:eastAsia="zh-CN"/>
        </w:rPr>
        <w:t>参公管理事业编制3人 ，</w:t>
      </w:r>
      <w:r>
        <w:rPr>
          <w:rFonts w:hint="eastAsia" w:ascii="仿宋_GB2312" w:hAnsi="宋体" w:eastAsia="仿宋_GB2312"/>
          <w:sz w:val="32"/>
          <w:szCs w:val="32"/>
        </w:rPr>
        <w:t>实有</w:t>
      </w:r>
      <w:r>
        <w:rPr>
          <w:rFonts w:hint="eastAsia" w:ascii="仿宋_GB2312" w:hAnsi="宋体" w:eastAsia="仿宋_GB2312"/>
          <w:sz w:val="32"/>
          <w:szCs w:val="32"/>
          <w:lang w:val="en-US" w:eastAsia="zh-CN"/>
        </w:rPr>
        <w:t>3</w:t>
      </w:r>
      <w:r>
        <w:rPr>
          <w:rFonts w:hint="eastAsia" w:ascii="仿宋_GB2312" w:hAnsi="宋体" w:eastAsia="仿宋_GB2312"/>
          <w:sz w:val="32"/>
          <w:szCs w:val="32"/>
        </w:rPr>
        <w:t>人。</w:t>
      </w:r>
    </w:p>
    <w:p>
      <w:pPr>
        <w:spacing w:line="640" w:lineRule="exact"/>
        <w:ind w:firstLine="640" w:firstLineChars="200"/>
        <w:rPr>
          <w:rFonts w:hint="eastAsia" w:ascii="黑体" w:hAnsi="黑体" w:eastAsia="黑体" w:cs="黑体"/>
          <w:sz w:val="32"/>
          <w:szCs w:val="32"/>
          <w:lang w:bidi="ar"/>
        </w:rPr>
      </w:pPr>
      <w:r>
        <w:rPr>
          <w:rFonts w:hint="eastAsia" w:ascii="黑体" w:hAnsi="黑体" w:eastAsia="黑体" w:cs="黑体"/>
          <w:sz w:val="32"/>
          <w:szCs w:val="32"/>
          <w:lang w:bidi="ar"/>
        </w:rPr>
        <w:t>二、简要概述部门支出情况</w:t>
      </w:r>
    </w:p>
    <w:p>
      <w:pPr>
        <w:spacing w:line="640" w:lineRule="exact"/>
        <w:ind w:firstLine="640"/>
        <w:rPr>
          <w:rFonts w:hint="eastAsia" w:ascii="黑体" w:hAnsi="黑体" w:eastAsia="仿宋_GB2312" w:cs="黑体"/>
          <w:sz w:val="32"/>
          <w:szCs w:val="32"/>
          <w:lang w:val="en-US" w:eastAsia="zh-CN" w:bidi="ar"/>
        </w:rPr>
      </w:pPr>
      <w:r>
        <w:rPr>
          <w:rFonts w:hint="eastAsia" w:ascii="仿宋_GB2312" w:hAnsi="仿宋_GB2312" w:eastAsia="仿宋_GB2312" w:cs="仿宋_GB2312"/>
          <w:sz w:val="32"/>
          <w:szCs w:val="32"/>
          <w:lang w:eastAsia="zh-CN" w:bidi="ar"/>
        </w:rPr>
        <w:t>年初部门预算收入</w:t>
      </w:r>
      <w:r>
        <w:rPr>
          <w:rFonts w:hint="eastAsia" w:ascii="仿宋_GB2312" w:hAnsi="仿宋_GB2312" w:eastAsia="仿宋_GB2312" w:cs="仿宋_GB2312"/>
          <w:sz w:val="32"/>
          <w:szCs w:val="32"/>
          <w:lang w:val="en-US" w:eastAsia="zh-CN" w:bidi="ar"/>
        </w:rPr>
        <w:t xml:space="preserve">46.86万元，其中人员经费及公用经费37.32万元，专项业务经费9.55万元。 </w:t>
      </w:r>
    </w:p>
    <w:p>
      <w:pPr>
        <w:pStyle w:val="9"/>
        <w:numPr>
          <w:ilvl w:val="0"/>
          <w:numId w:val="0"/>
        </w:numPr>
        <w:spacing w:line="640" w:lineRule="exact"/>
        <w:ind w:firstLine="640" w:firstLineChars="200"/>
        <w:rPr>
          <w:rFonts w:hint="eastAsia" w:ascii="黑体" w:hAnsi="黑体" w:eastAsia="黑体" w:cs="黑体"/>
          <w:sz w:val="32"/>
          <w:szCs w:val="32"/>
          <w:lang w:bidi="ar"/>
        </w:rPr>
      </w:pPr>
      <w:r>
        <w:rPr>
          <w:rFonts w:hint="eastAsia" w:ascii="黑体" w:hAnsi="黑体" w:eastAsia="黑体" w:cs="黑体"/>
          <w:sz w:val="32"/>
          <w:szCs w:val="32"/>
          <w:lang w:eastAsia="zh-CN" w:bidi="ar"/>
        </w:rPr>
        <w:t>三、</w:t>
      </w:r>
      <w:r>
        <w:rPr>
          <w:rFonts w:hint="eastAsia" w:ascii="黑体" w:hAnsi="黑体" w:eastAsia="黑体" w:cs="黑体"/>
          <w:sz w:val="32"/>
          <w:szCs w:val="32"/>
          <w:lang w:bidi="ar"/>
        </w:rPr>
        <w:t>绩效目标完成情况分析</w:t>
      </w:r>
    </w:p>
    <w:p>
      <w:pPr>
        <w:keepNext w:val="0"/>
        <w:keepLines w:val="0"/>
        <w:pageBreakBefore w:val="0"/>
        <w:widowControl w:val="0"/>
        <w:numPr>
          <w:ilvl w:val="0"/>
          <w:numId w:val="0"/>
        </w:numPr>
        <w:pBdr>
          <w:bottom w:val="single" w:color="FFFFFF" w:sz="6" w:space="15"/>
        </w:pBdr>
        <w:tabs>
          <w:tab w:val="left" w:pos="720"/>
          <w:tab w:val="left" w:pos="745"/>
        </w:tabs>
        <w:kinsoku/>
        <w:wordWrap/>
        <w:overflowPunct/>
        <w:topLinePunct w:val="0"/>
        <w:autoSpaceDE w:val="0"/>
        <w:autoSpaceDN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全心组织开展了“科技之春”宣传月活动，镇坪县第二十九届“科技之春”宣传月活动以巩固拓展脱贫攻坚成果、助力乡村振兴为抓手，组织动员社会各界力量进农村、进校园、进企业、进社区、进机关，创新开展科技志愿服务，举办群众性科普活动，倡导绿色生产生活方式，促进科学普及与科技创新协同发展。持续到4月20日。活动月期间围绕农民、青少年、城镇劳动者、领导干部和公务员、社区居民、新民风建设开展系列科普宣传活动，旨在倡导科技创新驱动发展，提升“建设美丽富裕新镇坪”的力度，以科普宣传提升全民科学素质为主导，以科技助力乡村振兴、科普大篷车进校园、扶贫扶志“村村行”等项目活动为有效载体，推动“科技之春”宣传活动全覆盖。</w:t>
      </w:r>
    </w:p>
    <w:p>
      <w:pPr>
        <w:widowControl/>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用心抓实“全国科技工作者日”活动。在中国共产党成立100周年之际，喜迎“全国科技工作者日”，全县广大科技工作者致力于学党史、悟思想、办实事、开新局，我县科协在全县范围内本照节俭务实原则，提前谋划，统筹安排，精心组织实施了以“众心向党，自立自强”为主题的第五个“全国科技工作者日”系列活动，取得良好活动效果。</w:t>
      </w:r>
    </w:p>
    <w:p>
      <w:pPr>
        <w:widowControl/>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提高认识，科学谋划。按照安康市科协关于开展2021年“全国科技工作者日”活动通知的统一部署，镇坪县科协及早谋划、精心筹备，认真制定印发了“全国科技工作者日”活动实施方案，在全县范围内组织开展宣传、慰问科技工作者等活动，以实际行动为科技工作者献上诚挚的节日祝福，增强科技工作者自豪感、获得感、认同感，打造节日品牌等“全国科技工作者日”系列活动。二是走访慰问科技工作者。5月27日，在第五个“全国科技工作者日”来临之际，镇坪县委常委、组织部长鲁延福来到县农业科学研究所，看望慰问奋斗在农业科研一线的科技工作者，并向所有科研人员致以节日的祝福。5月28日，县科协相关领导带队，到镇坪县钟宝初级中学、镇坪县小曙河医院等走访慰问工作在一线的优秀科技工作者，听取他们就镇坪发展建设和科协如何进一步为广大科技工作者服务的建议。</w:t>
      </w:r>
    </w:p>
    <w:p>
      <w:pPr>
        <w:widowControl/>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（三）、精心举办“全国科普日活动”。按照（安科协发〔2021〕18 号）文件，《关于组织开展 2021年安康市全国科普日活动的通知》的要求，在县委、县政府的正确领导下，在市科协的指导下，在社会各界大力支持和广泛参与下，我县在9月11日-21日期间，紧扣“百年再出发，迈向高水平科技自立自强”这一主题，聚焦、聚神、聚力开展科普网络传播、“积极开展科普助力乡村振兴，科普大篷车进校园活动”、建设美丽乡村、等系列活动，在全县范围内营造了“大众创业、万众创新”的浓厚氛围，全民科学素质明显提升。</w:t>
      </w:r>
    </w:p>
    <w:p>
      <w:pPr>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一是精心策划组织我县的全国科普日活动，县科协与中共委宣传部、县教育体育和科技局 、县自然资源局、安康市生态环境局镇坪分局、县农业农 村和利局、县 卫 生 健 康 局、县应急管</w:t>
      </w:r>
      <w:r>
        <w:rPr>
          <w:rFonts w:hint="eastAsia" w:ascii="仿宋_GB2312" w:hAnsi="仿宋_GB2312" w:eastAsia="仿宋_GB2312" w:cs="仿宋_GB2312"/>
          <w:sz w:val="32"/>
          <w:szCs w:val="32"/>
          <w:lang w:eastAsia="zh-CN"/>
        </w:rPr>
        <w:t>理</w:t>
      </w:r>
      <w:bookmarkStart w:id="0" w:name="_GoBack"/>
      <w:bookmarkEnd w:id="0"/>
      <w:r>
        <w:rPr>
          <w:rFonts w:hint="eastAsia" w:ascii="仿宋_GB2312" w:hAnsi="仿宋_GB2312" w:eastAsia="仿宋_GB2312" w:cs="仿宋_GB2312"/>
          <w:sz w:val="32"/>
          <w:szCs w:val="32"/>
        </w:rPr>
        <w:t>局联合下发了《关于开展2021年镇坪县全国科普日活动的通知》，随后积极与成员单位联系对接，研究部署全国科普日活动工作。领导的高度重视为本届全国科普日活动营造了良好的外部环境，提升了科普宣传活动的品位，彰显了科技的无限魅力。</w:t>
      </w:r>
    </w:p>
    <w:p>
      <w:pPr>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二是主题突出、特色明显围绕全国科普日活动主题，我县精心策划了一系列形式多样、内容丰富、贴近实际、贴近基层、贴近群众的科普活动，并取得了显著成效。</w:t>
      </w:r>
    </w:p>
    <w:p>
      <w:pPr>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隆重举办全国科普日活动开幕式。9月16日上午，镇坪县全国科普日活动主场活动启动仪式在镇坪县曙坪镇国心之眼隆重开幕。政府副县长石太运参加并发表重要讲话，相关部门分管领导和专业人才、科技工作者代表等60余人参加。开幕式后，所有与会人员参观了镇坪县文化旅游投资开发有限公司的旅游、中药材、历史和地方特色等三个主题的大型展馆。</w:t>
      </w:r>
    </w:p>
    <w:p>
      <w:pPr>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科技助力乡村振兴志愿服务行动。9月17日，县科协围绕实施乡村振兴战略，组织各类科技专家和科技志愿者深入县科协乡村振兴帮联村城关镇竹节溪村，开展围绕科普日主题，结合基层实际，因地制宜，开展科普宣传、种养殖科技培训和柑橘推广服务，现场发放科普宣传资料，将科普带进基层，利用科普渠道加强扶志、扶智，提高公众对科普的认知，提高人民群众的科学素质、生产经营能力和产业发展水平。</w:t>
      </w:r>
    </w:p>
    <w:p>
      <w:pPr>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科普杯”乒乓球比赛助推全国科普日活动。9月27日，镇坪县首届“科普杯”在县总工会乒乓球室进行，来自全县30余单位60多名选手参加了比赛，通过本次“科普杯”乒乓球比赛，传播了科学思想、弘扬了科学精神、掀起了一股学科学、懂科学、爱科学的浪潮。     　　</w:t>
      </w:r>
    </w:p>
    <w:p>
      <w:pPr>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多方协作形成合力。全国科普日活动期间，县科普工作领导小组各成员单位积极组织和参与各项科普活动，初步形成了大联合、大协作的科普格局。县林业局、气象局、等有关成员单位单位，积极参与科普宣传周主场活动，发放的科普宣传资料和开展的科普图片展，贴近生活、贴近实际，深受社会公众欢迎；今年科普日活动期间正值镇坪县8.29、9.19连续两次遭遇特大洪水灾害期间，部分镇村受灾严重，各成员单位到镇村指导救灾的同时根据各自的部门职能大力宣传各种应急、防灾减灾科普知识。</w:t>
      </w:r>
    </w:p>
    <w:p>
      <w:pPr>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服务创新驱动实现新突破，积极支持“院士工作站”建设，加大为企业服务力度。自镇坪县饮源生态资源保护开发有限公司被陕西省委组织部命名为陕西省省级院士专家工作站以来，中科院院士桂建芳，带领院士工作站团队一是开发特有水产资源，建立面向全国的秦巴多鳞白甲鱼原种场和良种繁育基地。二是开展特色冷水鱼基础研究，揭示多鳞白甲鱼等生理生化、种质遗传、繁殖发育等特性。三是筹集秦巴山区水产养殖省级工程中心建设。四是开展育种工作，培育2-3个具有较大经济开发潜力的新品种。安得药业有限公司院士专家工作站代表市科协参加杨凌博览会，县科协本着为企业服务的宗旨，为院士工作站扶持工作经费 12万元。</w:t>
      </w:r>
    </w:p>
    <w:p>
      <w:pPr>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农村科普示范基地和科普教育基地建设迈向新台阶。一是为深入贯彻落实《全民科学素质行动计划纲要》，切实加强公民科学素质教育培训工作，各农村种养殖协会、企业、合作社围绕精准扶贫，积极开展农村科学技术普及相关种养殖技术推广工作，抓好农村科普示范基地建设，以基地为核心，开展农业新技术、新品种的试验示范与推广，开展农村实用技术培训，普及农业科技知识，着力提高农民科学素质，在助力精准扶贫和乡村振兴战略工作中发挥了积极作用。通过公司自身申报，主管部门推荐，经县科协会议研究决定授予镇坪县文化旅游投资开发有限公司为镇坪县科普教育基地；授予镇坪县柒彩林园科技有限公司、镇坪县鑫硒生态农业开发有限公司等为镇坪县农村科普示范基地。</w:t>
      </w:r>
    </w:p>
    <w:p>
      <w:pPr>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全国科技工作者状况调查站点工作圆满完成任务。自从镇坪县科协被中国科协确定为“全国科技工作者状况调查站点”以来，我们严格按照中国科协2021年度调查站点工作计划，为顺利完成《国家中长期科学和技术发展规划纲要（2006-2020年）》实施情况总体评估任务，决定依托全国科技工作者状况调查站点通过“科情调查”微信服务号组织开展专题调查，总计完成调查任务两期，共计完成100余份调查问卷；完成站点信息编送6篇。</w:t>
      </w:r>
    </w:p>
    <w:p>
      <w:pPr>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基层科普行动计划”工作取得优异成绩。今年通过申报争取了38万元基层科普行动计划奖补资金，经过相关单位申报，由主管部门业务把关、县财政局审查、县科协组织验收、公示、确认，经会议研究决定:镇坪县城关镇司家台中蜂养殖协会、镇坪县鑫硒生态农业开发有限公司农村科普示范基地、镇坪县柒彩林园科技有限公司农村科普示范基地、镇坪县饮源生态资源保护开发有限公司农业专家工作站等被确定为2021年度“基层科普行动计划”实施单位。“基层科普行动计划”先进集体获得奖励专项资金后，进一步促进了农技协会自身的发展，增强服务水平和能力，根据各自发展的实际，添置了各种专用设备和科普宣传设备，扩大了再生产发展能力和示范带动能力。</w:t>
      </w:r>
    </w:p>
    <w:p>
      <w:pPr>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青少年科普亮点纷呈。科协组织联合教育主管部门和相关部门，不断创新工作思路，积极探索，大胆实践，把着力培养提高青少年科技创新意识和能力，作为新形势下科协组织的一项重要任务来抓，不断推出青少年创造发明成果，有效地提高了青少年科技创新的整体水平。          </w:t>
      </w:r>
    </w:p>
    <w:p>
      <w:pPr>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是以举办青少年科技创新大赛为主线，引导青少年科技实践活动进入经常化轨道。县科协高度重视青少年科技创新大赛工作，列入重要议事日程。近年来，我们按照以竞赛促活动的思路，面向全县中小学着重抓了青少年科技创新大赛、少年儿童科学幻想画竞赛、智能机器人比赛等三项主要大赛的策划和组织工作。为了拉动学校参与，吸引青少年参加各项大赛和科技活动，我们采取了激励措施:逢赛必奖，大赛大奖。今年,我们拿出3万元分别为华坪、曾家、钟宝等中心小学在全省、市获奖的3个学校33名学生颁发了荣誉证书并给予了物质奖励。二是抓好师资培训，加强青少年科技辅导员队伍建设是实施未成年人科学素质行动的基础性工作，也是推进青少年科技教育的关键环节。今年我们和陕西省青少年中心联系，免费为我县培训机器人辅导老师2人。面对数量众多的青少年群体，科普教育和科技活动领域广阔、任务繁重，不断创新工作思路，积极探索，大胆实践，把着力培养提高青少年科技创新意识和能力，作为新形势下科协组织的一项重要任务来抓，不断推出青少年创造发明成果，有效地提高了青少年科技创新的整体水平。</w:t>
      </w:r>
    </w:p>
    <w:p>
      <w:pPr>
        <w:spacing w:line="640" w:lineRule="exact"/>
        <w:ind w:firstLine="640"/>
        <w:rPr>
          <w:rFonts w:ascii="黑体" w:hAnsi="黑体" w:eastAsia="黑体" w:cs="黑体"/>
          <w:sz w:val="32"/>
          <w:szCs w:val="32"/>
          <w:lang w:bidi="ar"/>
        </w:rPr>
      </w:pPr>
      <w:r>
        <w:rPr>
          <w:rFonts w:hint="eastAsia" w:ascii="黑体" w:hAnsi="黑体" w:eastAsia="黑体" w:cs="黑体"/>
          <w:sz w:val="32"/>
          <w:szCs w:val="32"/>
          <w:lang w:bidi="ar"/>
        </w:rPr>
        <w:t>四、偏离绩效目标的原因和下一步改进措施</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单位财政资金管理能严格遵守财经纪律和财务制度，预算绩效管理意识进一步提高，但仍存在部分业务股室对绩效目标设置不够精准，预算执行力度不够理想的问题。在今后的财政资金管理中，我们将严格执行绩效管理要求，充分认识部门整体绩效和项目评价的重要性，逐步树立以绩效目标为导向，加强重大项目事前、事中、事后监督管理，提升资金的使用效能。</w:t>
      </w:r>
    </w:p>
    <w:p>
      <w:pPr>
        <w:spacing w:line="640" w:lineRule="exact"/>
        <w:rPr>
          <w:rFonts w:hint="eastAsia" w:ascii="黑体" w:hAnsi="黑体" w:eastAsia="黑体" w:cs="黑体"/>
          <w:sz w:val="32"/>
          <w:szCs w:val="32"/>
          <w:lang w:bidi="ar"/>
        </w:rPr>
      </w:pPr>
      <w:r>
        <w:rPr>
          <w:rFonts w:hint="eastAsia" w:ascii="仿宋_GB2312" w:hAnsi="仿宋_GB2312" w:eastAsia="仿宋_GB2312" w:cs="仿宋_GB2312"/>
          <w:i w:val="0"/>
          <w:caps w:val="0"/>
          <w:color w:val="3D3D3D"/>
          <w:spacing w:val="0"/>
          <w:sz w:val="32"/>
          <w:szCs w:val="32"/>
          <w:shd w:val="clear" w:fill="FAFAFC"/>
          <w:lang w:val="en-US" w:eastAsia="zh-CN"/>
        </w:rPr>
        <w:t xml:space="preserve">    </w:t>
      </w:r>
      <w:r>
        <w:rPr>
          <w:rFonts w:hint="eastAsia" w:ascii="黑体" w:hAnsi="黑体" w:eastAsia="黑体" w:cs="黑体"/>
          <w:sz w:val="32"/>
          <w:szCs w:val="32"/>
          <w:lang w:bidi="ar"/>
        </w:rPr>
        <w:t>五、绩效自评结果拟应用和公开情况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2"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一是通过绩效自评结果，对指标完成好的工作要在下一年度继续巩固和加强，对未完成的指标要深入剖析原因，找出症结，在以后工作中完善和改进；二是利用绩效自评结果，促进部门增强责任和效益观念，提高财政资金支出决策水平和管理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2" w:beforeAutospacing="0" w:after="0" w:afterAutospacing="0" w:line="560" w:lineRule="exact"/>
        <w:ind w:right="0" w:firstLine="640" w:firstLineChars="200"/>
        <w:jc w:val="both"/>
        <w:textAlignment w:val="auto"/>
        <w:outlineLvl w:val="9"/>
        <w:rPr>
          <w:rFonts w:hint="eastAsia" w:ascii="黑体" w:hAnsi="黑体" w:eastAsia="黑体" w:cs="黑体"/>
          <w:color w:val="000000" w:themeColor="text1"/>
          <w:sz w:val="32"/>
          <w:szCs w:val="32"/>
          <w:lang w:bidi="ar"/>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按照</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县</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财政局的要求，及时在</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政府</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网站公开预算、绩效目标设置、绩效评价结果等信息。</w:t>
      </w:r>
    </w:p>
    <w:p>
      <w:pPr>
        <w:spacing w:line="640" w:lineRule="exact"/>
        <w:ind w:firstLine="640"/>
        <w:rPr>
          <w:rFonts w:ascii="仿宋" w:hAnsi="仿宋" w:eastAsia="仿宋" w:cs="仿宋"/>
          <w:i w:val="0"/>
          <w:caps w:val="0"/>
          <w:color w:val="535353"/>
          <w:spacing w:val="0"/>
          <w:sz w:val="32"/>
          <w:szCs w:val="32"/>
          <w:u w:val="none"/>
          <w:shd w:val="clear" w:fill="FFFFFF"/>
        </w:rPr>
      </w:pPr>
      <w:r>
        <w:rPr>
          <w:rFonts w:hint="eastAsia" w:ascii="黑体" w:hAnsi="黑体" w:eastAsia="黑体" w:cs="黑体"/>
          <w:sz w:val="32"/>
          <w:szCs w:val="32"/>
          <w:lang w:bidi="ar"/>
        </w:rPr>
        <w:t>六、其他需要说明的问题</w:t>
      </w:r>
    </w:p>
    <w:p>
      <w:pPr>
        <w:spacing w:line="640" w:lineRule="exact"/>
        <w:ind w:firstLine="640"/>
        <w:rPr>
          <w:rFonts w:hint="eastAsia" w:ascii="仿宋_GB2312" w:hAnsi="仿宋_GB2312" w:eastAsia="仿宋_GB2312" w:cs="仿宋_GB2312"/>
          <w:sz w:val="32"/>
          <w:szCs w:val="32"/>
          <w:lang w:eastAsia="zh-CN" w:bidi="ar"/>
        </w:rPr>
      </w:pPr>
      <w:r>
        <w:rPr>
          <w:rFonts w:hint="eastAsia" w:ascii="仿宋" w:hAnsi="仿宋" w:eastAsia="仿宋" w:cs="仿宋"/>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单位人员少</w:t>
      </w:r>
      <w:r>
        <w:rPr>
          <w:rFonts w:hint="eastAsia" w:ascii="仿宋_GB2312" w:hAnsi="仿宋_GB2312" w:eastAsia="仿宋_GB2312" w:cs="仿宋_GB2312"/>
          <w:b w:val="0"/>
          <w:bCs w:val="0"/>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工作量大</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与财政预算经费</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的矛盾较为突出。随着经济社会的快速发展，科协工作呈现出社会化、信息化、专业化的趋势，上级科协部门分工越来越细，对工作的要求越来越高</w:t>
      </w:r>
      <w:r>
        <w:rPr>
          <w:rFonts w:hint="eastAsia" w:ascii="仿宋_GB2312" w:hAnsi="仿宋_GB2312" w:eastAsia="仿宋_GB2312" w:cs="仿宋_GB2312"/>
          <w:b w:val="0"/>
          <w:bCs w:val="0"/>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相应工作成本越来越高</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县科协编制3人，</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虽然财政</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按人员编制标准</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保障相应工作经费，但不能满足实际工作需要，导致一些专项工作难以开展</w:t>
      </w:r>
      <w:r>
        <w:rPr>
          <w:rFonts w:hint="eastAsia" w:ascii="仿宋_GB2312" w:hAnsi="仿宋_GB2312" w:eastAsia="仿宋_GB2312" w:cs="仿宋_GB2312"/>
          <w:b w:val="0"/>
          <w:bCs w:val="0"/>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希望财政加大对我单位的财政预算支持，以便更好的开展工作。</w:t>
      </w:r>
    </w:p>
    <w:p>
      <w:pPr>
        <w:spacing w:line="640" w:lineRule="exact"/>
        <w:rPr>
          <w:rFonts w:hint="eastAsia" w:ascii="黑体" w:hAnsi="黑体" w:eastAsia="黑体" w:cs="方正小标宋_GBK"/>
          <w:sz w:val="32"/>
          <w:szCs w:val="32"/>
        </w:rPr>
      </w:pPr>
    </w:p>
    <w:p>
      <w:pPr>
        <w:spacing w:line="640" w:lineRule="exact"/>
        <w:rPr>
          <w:rFonts w:hint="eastAsia" w:ascii="黑体" w:hAnsi="黑体" w:eastAsia="黑体" w:cs="方正小标宋_GBK"/>
          <w:sz w:val="32"/>
          <w:szCs w:val="32"/>
        </w:rPr>
      </w:pPr>
    </w:p>
    <w:p>
      <w:pPr>
        <w:spacing w:line="640" w:lineRule="exact"/>
        <w:rPr>
          <w:rFonts w:hint="eastAsia" w:ascii="黑体" w:hAnsi="黑体" w:eastAsia="黑体" w:cs="方正小标宋_GBK"/>
          <w:sz w:val="32"/>
          <w:szCs w:val="32"/>
        </w:rPr>
      </w:pPr>
    </w:p>
    <w:p>
      <w:pPr>
        <w:spacing w:line="640" w:lineRule="exact"/>
        <w:rPr>
          <w:rFonts w:hint="eastAsia" w:ascii="黑体" w:hAnsi="黑体" w:eastAsia="黑体" w:cs="方正小标宋_GBK"/>
          <w:sz w:val="32"/>
          <w:szCs w:val="32"/>
        </w:rPr>
      </w:pPr>
    </w:p>
    <w:p>
      <w:pPr>
        <w:spacing w:line="640" w:lineRule="exact"/>
        <w:rPr>
          <w:rFonts w:hint="eastAsia" w:ascii="黑体" w:hAnsi="黑体" w:eastAsia="黑体" w:cs="方正小标宋_GBK"/>
          <w:sz w:val="32"/>
          <w:szCs w:val="32"/>
          <w:lang w:eastAsia="zh-CN"/>
        </w:rPr>
      </w:pPr>
      <w:r>
        <w:rPr>
          <w:rFonts w:hint="eastAsia" w:ascii="黑体" w:hAnsi="黑体" w:eastAsia="黑体" w:cs="方正小标宋_GBK"/>
          <w:sz w:val="32"/>
          <w:szCs w:val="32"/>
        </w:rPr>
        <w:t>附件</w:t>
      </w:r>
      <w:r>
        <w:rPr>
          <w:rFonts w:hint="eastAsia" w:ascii="黑体" w:hAnsi="黑体" w:eastAsia="黑体" w:cs="方正小标宋_GBK"/>
          <w:sz w:val="32"/>
          <w:szCs w:val="32"/>
          <w:lang w:val="en-US" w:eastAsia="zh-CN"/>
        </w:rPr>
        <w:t>2</w:t>
      </w:r>
    </w:p>
    <w:p>
      <w:pPr>
        <w:spacing w:line="640" w:lineRule="exact"/>
        <w:jc w:val="center"/>
        <w:rPr>
          <w:rFonts w:ascii="方正小标宋_GBK" w:hAnsi="方正小标宋_GBK" w:eastAsia="方正小标宋_GBK" w:cs="方正小标宋_GBK"/>
          <w:sz w:val="44"/>
          <w:szCs w:val="44"/>
        </w:rPr>
      </w:pPr>
    </w:p>
    <w:p>
      <w:pPr>
        <w:spacing w:line="640" w:lineRule="exact"/>
        <w:jc w:val="center"/>
        <w:rPr>
          <w:rFonts w:hint="eastAsia" w:ascii="方正小标宋_GBK" w:hAnsi="仿宋_GB2312" w:eastAsia="方正小标宋_GBK" w:cs="仿宋_GB2312"/>
          <w:sz w:val="44"/>
          <w:szCs w:val="44"/>
        </w:rPr>
      </w:pPr>
      <w:r>
        <w:rPr>
          <w:rFonts w:hint="eastAsia" w:ascii="方正小标宋_GBK" w:hAnsi="仿宋_GB2312" w:eastAsia="方正小标宋_GBK" w:cs="仿宋_GB2312"/>
          <w:sz w:val="44"/>
          <w:szCs w:val="44"/>
          <w:lang w:bidi="ar"/>
        </w:rPr>
        <w:t>202</w:t>
      </w:r>
      <w:r>
        <w:rPr>
          <w:rFonts w:hint="eastAsia" w:ascii="方正小标宋_GBK" w:hAnsi="仿宋_GB2312" w:eastAsia="方正小标宋_GBK" w:cs="仿宋_GB2312"/>
          <w:sz w:val="44"/>
          <w:szCs w:val="44"/>
          <w:lang w:val="en-US" w:eastAsia="zh-CN" w:bidi="ar"/>
        </w:rPr>
        <w:t>1</w:t>
      </w:r>
      <w:r>
        <w:rPr>
          <w:rFonts w:hint="eastAsia" w:ascii="方正小标宋_GBK" w:hAnsi="仿宋_GB2312" w:eastAsia="方正小标宋_GBK" w:cs="仿宋_GB2312"/>
          <w:sz w:val="44"/>
          <w:szCs w:val="44"/>
          <w:lang w:bidi="ar"/>
        </w:rPr>
        <w:t>年度</w:t>
      </w:r>
      <w:r>
        <w:rPr>
          <w:rFonts w:hint="eastAsia" w:ascii="方正小标宋_GBK" w:hAnsi="仿宋_GB2312" w:eastAsia="方正小标宋_GBK" w:cs="仿宋_GB2312"/>
          <w:sz w:val="44"/>
          <w:szCs w:val="44"/>
          <w:lang w:val="en-US" w:eastAsia="zh-CN" w:bidi="ar"/>
        </w:rPr>
        <w:t>县科协</w:t>
      </w:r>
      <w:r>
        <w:rPr>
          <w:rFonts w:hint="eastAsia" w:ascii="方正小标宋_GBK" w:hAnsi="仿宋_GB2312" w:eastAsia="方正小标宋_GBK" w:cs="仿宋_GB2312"/>
          <w:sz w:val="44"/>
          <w:szCs w:val="44"/>
          <w:lang w:eastAsia="zh-CN" w:bidi="ar"/>
        </w:rPr>
        <w:t>项目支出</w:t>
      </w:r>
      <w:r>
        <w:rPr>
          <w:rFonts w:hint="eastAsia" w:ascii="方正小标宋_GBK" w:hAnsi="仿宋_GB2312" w:eastAsia="方正小标宋_GBK" w:cs="仿宋_GB2312"/>
          <w:sz w:val="44"/>
          <w:szCs w:val="44"/>
          <w:lang w:bidi="ar"/>
        </w:rPr>
        <w:t>绩效自评报告</w:t>
      </w:r>
    </w:p>
    <w:p>
      <w:pPr>
        <w:spacing w:line="640" w:lineRule="exact"/>
        <w:ind w:firstLine="640" w:firstLineChars="200"/>
        <w:rPr>
          <w:rFonts w:hint="eastAsia" w:ascii="黑体" w:hAnsi="黑体" w:eastAsia="黑体" w:cs="黑体"/>
          <w:sz w:val="32"/>
          <w:szCs w:val="32"/>
          <w:lang w:bidi="ar"/>
        </w:rPr>
      </w:pPr>
      <w:r>
        <w:rPr>
          <w:rFonts w:hint="eastAsia" w:ascii="黑体" w:hAnsi="黑体" w:eastAsia="黑体" w:cs="黑体"/>
          <w:sz w:val="32"/>
          <w:szCs w:val="32"/>
          <w:lang w:eastAsia="zh-CN" w:bidi="ar"/>
        </w:rPr>
        <w:t>一</w:t>
      </w:r>
      <w:r>
        <w:rPr>
          <w:rFonts w:hint="eastAsia" w:ascii="黑体" w:hAnsi="黑体" w:eastAsia="黑体" w:cs="黑体"/>
          <w:sz w:val="32"/>
          <w:szCs w:val="32"/>
          <w:lang w:bidi="ar"/>
        </w:rPr>
        <w:t>、简要概述</w:t>
      </w:r>
      <w:r>
        <w:rPr>
          <w:rFonts w:hint="eastAsia" w:ascii="黑体" w:hAnsi="黑体" w:eastAsia="黑体" w:cs="黑体"/>
          <w:sz w:val="32"/>
          <w:szCs w:val="32"/>
          <w:lang w:eastAsia="zh-CN" w:bidi="ar"/>
        </w:rPr>
        <w:t>单位项目</w:t>
      </w:r>
      <w:r>
        <w:rPr>
          <w:rFonts w:hint="eastAsia" w:ascii="黑体" w:hAnsi="黑体" w:eastAsia="黑体" w:cs="黑体"/>
          <w:sz w:val="32"/>
          <w:szCs w:val="32"/>
          <w:lang w:bidi="ar"/>
        </w:rPr>
        <w:t>支出情况</w:t>
      </w:r>
    </w:p>
    <w:p>
      <w:pPr>
        <w:keepNext w:val="0"/>
        <w:keepLines w:val="0"/>
        <w:pageBreakBefore w:val="0"/>
        <w:widowControl w:val="0"/>
        <w:kinsoku/>
        <w:wordWrap/>
        <w:overflowPunct/>
        <w:topLinePunct w:val="0"/>
        <w:bidi w:val="0"/>
        <w:adjustRightInd/>
        <w:snapToGrid/>
        <w:spacing w:line="560" w:lineRule="exact"/>
        <w:ind w:right="0" w:rightChars="0" w:firstLine="640"/>
        <w:jc w:val="both"/>
        <w:textAlignment w:val="auto"/>
        <w:outlineLvl w:val="9"/>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2021年部门预算5个项目，专项预算经费9.55万元，全年支出9.55万元。</w:t>
      </w:r>
    </w:p>
    <w:p>
      <w:pPr>
        <w:keepNext w:val="0"/>
        <w:keepLines w:val="0"/>
        <w:pageBreakBefore w:val="0"/>
        <w:widowControl w:val="0"/>
        <w:numPr>
          <w:ilvl w:val="0"/>
          <w:numId w:val="5"/>
        </w:numPr>
        <w:kinsoku/>
        <w:wordWrap/>
        <w:overflowPunct/>
        <w:topLinePunct w:val="0"/>
        <w:bidi w:val="0"/>
        <w:adjustRightInd/>
        <w:snapToGrid/>
        <w:spacing w:line="560" w:lineRule="exact"/>
        <w:ind w:right="0" w:rightChars="0" w:firstLine="640"/>
        <w:jc w:val="both"/>
        <w:textAlignment w:val="auto"/>
        <w:outlineLvl w:val="9"/>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科普活动专项经费：年初预算1.55万元，主要用于全年各类品牌宣传活动，支出1.55万元，支出率100%；</w:t>
      </w:r>
    </w:p>
    <w:p>
      <w:pPr>
        <w:keepNext w:val="0"/>
        <w:keepLines w:val="0"/>
        <w:pageBreakBefore w:val="0"/>
        <w:widowControl w:val="0"/>
        <w:numPr>
          <w:ilvl w:val="0"/>
          <w:numId w:val="5"/>
        </w:numPr>
        <w:kinsoku/>
        <w:wordWrap/>
        <w:overflowPunct/>
        <w:topLinePunct w:val="0"/>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科技三项费：年初预算2万元，主要用于全科普宣传、培训、咨询等，支出2万元，支出率100%；</w:t>
      </w:r>
    </w:p>
    <w:p>
      <w:pPr>
        <w:keepNext w:val="0"/>
        <w:keepLines w:val="0"/>
        <w:pageBreakBefore w:val="0"/>
        <w:widowControl w:val="0"/>
        <w:numPr>
          <w:ilvl w:val="0"/>
          <w:numId w:val="5"/>
        </w:numPr>
        <w:kinsoku/>
        <w:wordWrap/>
        <w:overflowPunct/>
        <w:topLinePunct w:val="0"/>
        <w:bidi w:val="0"/>
        <w:adjustRightInd/>
        <w:snapToGrid/>
        <w:spacing w:line="560" w:lineRule="exact"/>
        <w:ind w:left="0" w:leftChars="0" w:right="0" w:rightChars="0" w:firstLine="640" w:firstLineChars="0"/>
        <w:jc w:val="both"/>
        <w:textAlignment w:val="auto"/>
        <w:outlineLvl w:val="9"/>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科协深化改革试点建设工作专项经费：年初预算2万元，主要用于深化改革试点建设，支出2万元，支出率100%；</w:t>
      </w:r>
    </w:p>
    <w:p>
      <w:pPr>
        <w:keepNext w:val="0"/>
        <w:keepLines w:val="0"/>
        <w:pageBreakBefore w:val="0"/>
        <w:widowControl w:val="0"/>
        <w:numPr>
          <w:ilvl w:val="0"/>
          <w:numId w:val="5"/>
        </w:numPr>
        <w:kinsoku/>
        <w:wordWrap/>
        <w:overflowPunct/>
        <w:topLinePunct w:val="0"/>
        <w:bidi w:val="0"/>
        <w:adjustRightInd/>
        <w:snapToGrid/>
        <w:spacing w:line="560" w:lineRule="exact"/>
        <w:ind w:left="0" w:leftChars="0" w:right="0" w:rightChars="0" w:firstLine="640" w:firstLineChars="0"/>
        <w:jc w:val="both"/>
        <w:textAlignment w:val="auto"/>
        <w:outlineLvl w:val="9"/>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基层科普活动服务站建设经费：年初预2万元，主要用于基层科普活动服务站建设，共支出22万元，支出率100%；</w:t>
      </w:r>
    </w:p>
    <w:p>
      <w:pPr>
        <w:keepNext w:val="0"/>
        <w:keepLines w:val="0"/>
        <w:pageBreakBefore w:val="0"/>
        <w:widowControl w:val="0"/>
        <w:numPr>
          <w:ilvl w:val="0"/>
          <w:numId w:val="5"/>
        </w:numPr>
        <w:kinsoku/>
        <w:wordWrap/>
        <w:overflowPunct/>
        <w:topLinePunct w:val="0"/>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基层农技协会、科普示范基地建设经费：年初预算2万元，主要用于发展壮大农技协会，科普示范基地建设，共支出2万元，支出率100%；</w:t>
      </w:r>
    </w:p>
    <w:p>
      <w:pPr>
        <w:pStyle w:val="9"/>
        <w:keepNext w:val="0"/>
        <w:keepLines w:val="0"/>
        <w:pageBreakBefore w:val="0"/>
        <w:widowControl w:val="0"/>
        <w:numPr>
          <w:ilvl w:val="0"/>
          <w:numId w:val="0"/>
        </w:numPr>
        <w:kinsoku/>
        <w:wordWrap/>
        <w:overflowPunct/>
        <w:topLinePunct w:val="0"/>
        <w:bidi w:val="0"/>
        <w:adjustRightInd/>
        <w:snapToGrid/>
        <w:spacing w:line="560" w:lineRule="exact"/>
        <w:ind w:left="640" w:leftChars="0" w:right="0" w:rightChars="0"/>
        <w:jc w:val="both"/>
        <w:textAlignment w:val="auto"/>
        <w:outlineLvl w:val="9"/>
        <w:rPr>
          <w:rFonts w:hint="eastAsia" w:ascii="黑体" w:hAnsi="黑体" w:eastAsia="黑体" w:cs="黑体"/>
          <w:sz w:val="32"/>
          <w:szCs w:val="32"/>
          <w:lang w:bidi="ar"/>
        </w:rPr>
      </w:pPr>
      <w:r>
        <w:rPr>
          <w:rFonts w:hint="eastAsia" w:ascii="黑体" w:hAnsi="黑体" w:eastAsia="黑体" w:cs="黑体"/>
          <w:sz w:val="32"/>
          <w:szCs w:val="32"/>
          <w:lang w:eastAsia="zh-CN" w:bidi="ar"/>
        </w:rPr>
        <w:t>二、项目支出</w:t>
      </w:r>
      <w:r>
        <w:rPr>
          <w:rFonts w:hint="eastAsia" w:ascii="黑体" w:hAnsi="黑体" w:eastAsia="黑体" w:cs="黑体"/>
          <w:sz w:val="32"/>
          <w:szCs w:val="32"/>
          <w:lang w:bidi="ar"/>
        </w:rPr>
        <w:t>绩效目标完成情况分析</w:t>
      </w:r>
    </w:p>
    <w:p>
      <w:pPr>
        <w:keepNext w:val="0"/>
        <w:keepLines w:val="0"/>
        <w:pageBreakBefore w:val="0"/>
        <w:widowControl w:val="0"/>
        <w:kinsoku/>
        <w:wordWrap/>
        <w:overflowPunct/>
        <w:topLinePunct w:val="0"/>
        <w:bidi w:val="0"/>
        <w:adjustRightInd/>
        <w:snapToGrid/>
        <w:spacing w:line="560" w:lineRule="exact"/>
        <w:ind w:right="0" w:rightChars="0"/>
        <w:jc w:val="both"/>
        <w:textAlignment w:val="auto"/>
        <w:outlineLvl w:val="9"/>
        <w:rPr>
          <w:rFonts w:ascii="仿宋" w:hAnsi="仿宋" w:eastAsia="仿宋"/>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一是认真开展“科技之春”宣传月活动。</w:t>
      </w:r>
      <w:r>
        <w:rPr>
          <w:rFonts w:hint="eastAsia" w:ascii="仿宋" w:hAnsi="仿宋" w:eastAsia="仿宋" w:cs="宋体"/>
          <w:sz w:val="32"/>
          <w:szCs w:val="32"/>
        </w:rPr>
        <w:t>从</w:t>
      </w:r>
      <w:r>
        <w:rPr>
          <w:rFonts w:hint="eastAsia" w:ascii="仿宋" w:hAnsi="仿宋" w:eastAsia="仿宋"/>
          <w:sz w:val="32"/>
          <w:szCs w:val="32"/>
        </w:rPr>
        <w:t xml:space="preserve"> 3 月 8日开始</w:t>
      </w:r>
      <w:r>
        <w:rPr>
          <w:rFonts w:hint="eastAsia" w:ascii="仿宋" w:hAnsi="仿宋" w:eastAsia="仿宋" w:cs="宋体"/>
          <w:sz w:val="32"/>
          <w:szCs w:val="32"/>
        </w:rPr>
        <w:t>到</w:t>
      </w:r>
      <w:r>
        <w:rPr>
          <w:rFonts w:hint="eastAsia" w:ascii="仿宋" w:hAnsi="仿宋" w:eastAsia="仿宋"/>
          <w:sz w:val="32"/>
          <w:szCs w:val="32"/>
        </w:rPr>
        <w:t xml:space="preserve"> 4 月 20日结束</w:t>
      </w:r>
      <w:r>
        <w:rPr>
          <w:rFonts w:hint="eastAsia" w:ascii="仿宋" w:hAnsi="仿宋" w:eastAsia="仿宋" w:cs="宋体"/>
          <w:sz w:val="32"/>
          <w:szCs w:val="32"/>
        </w:rPr>
        <w:t>共</w:t>
      </w:r>
      <w:r>
        <w:rPr>
          <w:rFonts w:hint="eastAsia" w:ascii="仿宋" w:hAnsi="仿宋" w:eastAsia="仿宋"/>
          <w:sz w:val="32"/>
          <w:szCs w:val="32"/>
        </w:rPr>
        <w:t>42 天时间。突</w:t>
      </w:r>
      <w:r>
        <w:rPr>
          <w:rFonts w:hint="eastAsia" w:ascii="仿宋" w:hAnsi="仿宋" w:eastAsia="仿宋" w:cs="宋体"/>
          <w:sz w:val="32"/>
          <w:szCs w:val="32"/>
        </w:rPr>
        <w:t>出“</w:t>
      </w:r>
      <w:r>
        <w:rPr>
          <w:rFonts w:hint="eastAsia" w:ascii="仿宋" w:hAnsi="仿宋" w:eastAsia="仿宋"/>
          <w:sz w:val="32"/>
          <w:szCs w:val="32"/>
        </w:rPr>
        <w:t>科技引领未来·创造美好生活</w:t>
      </w:r>
      <w:r>
        <w:rPr>
          <w:rFonts w:hint="eastAsia" w:ascii="仿宋" w:hAnsi="仿宋" w:eastAsia="仿宋" w:cs="宋体"/>
          <w:sz w:val="32"/>
          <w:szCs w:val="32"/>
        </w:rPr>
        <w:t>”为主题</w:t>
      </w:r>
      <w:r>
        <w:rPr>
          <w:rFonts w:hint="eastAsia" w:ascii="仿宋" w:hAnsi="仿宋" w:eastAsia="仿宋"/>
          <w:sz w:val="32"/>
          <w:szCs w:val="32"/>
        </w:rPr>
        <w:t>，有针对性的开展形式多样的科普宣传活动。共组织重点示范活动 6项，组成科技、文化、卫生、 “三下乡”小分队 8 支，</w:t>
      </w:r>
      <w:r>
        <w:rPr>
          <w:rFonts w:hint="eastAsia" w:ascii="仿宋" w:hAnsi="仿宋" w:eastAsia="仿宋" w:cs="宋体"/>
          <w:sz w:val="32"/>
          <w:szCs w:val="32"/>
        </w:rPr>
        <w:t>参与宣传、服务活动的科技工作者和干部职工</w:t>
      </w:r>
      <w:r>
        <w:rPr>
          <w:rFonts w:hint="eastAsia" w:ascii="仿宋" w:hAnsi="仿宋" w:eastAsia="仿宋"/>
          <w:sz w:val="32"/>
          <w:szCs w:val="32"/>
        </w:rPr>
        <w:t xml:space="preserve"> 85 多人，举办各类培训班 3 场</w:t>
      </w:r>
      <w:r>
        <w:rPr>
          <w:rFonts w:hint="eastAsia" w:ascii="仿宋" w:hAnsi="仿宋" w:eastAsia="仿宋" w:cs="宋体"/>
          <w:sz w:val="32"/>
          <w:szCs w:val="32"/>
        </w:rPr>
        <w:t>次，组织文艺、戏剧演出、放映科技电影、录像</w:t>
      </w:r>
      <w:r>
        <w:rPr>
          <w:rFonts w:hint="eastAsia" w:ascii="仿宋" w:hAnsi="仿宋" w:eastAsia="仿宋"/>
          <w:sz w:val="32"/>
          <w:szCs w:val="32"/>
        </w:rPr>
        <w:t xml:space="preserve"> 5 场</w:t>
      </w:r>
      <w:r>
        <w:rPr>
          <w:rFonts w:hint="eastAsia" w:ascii="仿宋" w:hAnsi="仿宋" w:eastAsia="仿宋" w:cs="宋体"/>
          <w:sz w:val="32"/>
          <w:szCs w:val="32"/>
        </w:rPr>
        <w:t>次，组织青少</w:t>
      </w:r>
      <w:r>
        <w:rPr>
          <w:rFonts w:hint="eastAsia" w:ascii="仿宋" w:hAnsi="仿宋" w:eastAsia="仿宋"/>
          <w:sz w:val="32"/>
          <w:szCs w:val="32"/>
        </w:rPr>
        <w:t>年科技教育活动 2 次，受教育群众达 1.2 万多人。</w:t>
      </w:r>
    </w:p>
    <w:p>
      <w:pPr>
        <w:keepNext w:val="0"/>
        <w:keepLines w:val="0"/>
        <w:pageBreakBefore w:val="0"/>
        <w:widowControl w:val="0"/>
        <w:kinsoku/>
        <w:wordWrap/>
        <w:overflowPunct/>
        <w:topLinePunct w:val="0"/>
        <w:bidi w:val="0"/>
        <w:adjustRightInd/>
        <w:snapToGrid/>
        <w:spacing w:line="560" w:lineRule="exact"/>
        <w:ind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二是扎实开展农村实用技术培训。围绕新农村建设总体要求</w:t>
      </w:r>
      <w:r>
        <w:rPr>
          <w:rFonts w:hint="eastAsia" w:ascii="仿宋" w:hAnsi="仿宋" w:eastAsia="仿宋" w:cs="宋体"/>
          <w:sz w:val="32"/>
          <w:szCs w:val="32"/>
        </w:rPr>
        <w:t>积极推广农村先进实用技术。组织县农林</w:t>
      </w:r>
      <w:r>
        <w:rPr>
          <w:rFonts w:hint="eastAsia" w:ascii="仿宋" w:hAnsi="仿宋" w:eastAsia="仿宋"/>
          <w:sz w:val="32"/>
          <w:szCs w:val="32"/>
        </w:rPr>
        <w:t>科技局、农技中心与县电视台联合举办“麦油作物春管”、“农作物病虫害防治”等专题节目的同时</w:t>
      </w:r>
      <w:r>
        <w:rPr>
          <w:rFonts w:hint="eastAsia" w:ascii="仿宋" w:hAnsi="仿宋" w:eastAsia="仿宋" w:cs="宋体"/>
          <w:sz w:val="32"/>
          <w:szCs w:val="32"/>
        </w:rPr>
        <w:t>印发了《农产品质量法》</w:t>
      </w:r>
      <w:r>
        <w:rPr>
          <w:rFonts w:hint="eastAsia" w:ascii="仿宋" w:hAnsi="仿宋" w:eastAsia="仿宋"/>
          <w:sz w:val="32"/>
          <w:szCs w:val="32"/>
        </w:rPr>
        <w:t>、《种子法》 、“农药的安全使用办法” 、“真假玉米种子的辨别”等法律法规和农村实用技术手册200多份、科技书籍100 多册</w:t>
      </w:r>
      <w:r>
        <w:rPr>
          <w:rFonts w:hint="eastAsia" w:ascii="仿宋" w:hAnsi="仿宋" w:eastAsia="仿宋" w:cs="MingLiU_HKSCS"/>
          <w:sz w:val="32"/>
          <w:szCs w:val="32"/>
        </w:rPr>
        <w:t>。</w:t>
      </w:r>
    </w:p>
    <w:p>
      <w:pPr>
        <w:keepNext w:val="0"/>
        <w:keepLines w:val="0"/>
        <w:pageBreakBefore w:val="0"/>
        <w:widowControl w:val="0"/>
        <w:kinsoku/>
        <w:wordWrap/>
        <w:overflowPunct/>
        <w:topLinePunct w:val="0"/>
        <w:bidi w:val="0"/>
        <w:adjustRightInd/>
        <w:snapToGrid/>
        <w:spacing w:line="560" w:lineRule="exact"/>
        <w:ind w:right="0" w:rightChars="0" w:firstLine="640" w:firstLineChars="200"/>
        <w:jc w:val="both"/>
        <w:textAlignment w:val="auto"/>
        <w:outlineLvl w:val="9"/>
        <w:rPr>
          <w:rFonts w:hint="eastAsia" w:ascii="仿宋" w:hAnsi="仿宋" w:eastAsia="仿宋"/>
          <w:sz w:val="32"/>
          <w:szCs w:val="32"/>
          <w:lang w:eastAsia="zh-CN"/>
        </w:rPr>
      </w:pPr>
      <w:r>
        <w:rPr>
          <w:rFonts w:hint="eastAsia" w:ascii="仿宋" w:hAnsi="仿宋" w:eastAsia="仿宋"/>
          <w:sz w:val="32"/>
          <w:szCs w:val="32"/>
        </w:rPr>
        <w:t>三是围绕科技志愿服务专业分队积极开展活动。4月8日，县科协牵头，以“专家服务基层、乡村振兴有我”为主题，以巩固脱贫攻坚成果、助力乡村振兴为抓手，广泛组织动员社会各界力量进农村、进茶园，创新开展科技志愿服务，科技志愿服务专业分队，深入欣陕农业科技有限公司茶叶种植基地开展茶叶实用技术培训和科技咨询等服务，旨在延伸科协组织服务基层的“手臂”，打通科技成果转化的“最后一公里”，把科技志愿服务落到满足群众需求的实处</w:t>
      </w:r>
      <w:r>
        <w:rPr>
          <w:rFonts w:hint="eastAsia" w:ascii="仿宋" w:hAnsi="仿宋" w:eastAsia="仿宋"/>
          <w:sz w:val="32"/>
          <w:szCs w:val="32"/>
          <w:lang w:eastAsia="zh-CN"/>
        </w:rPr>
        <w:t>。</w:t>
      </w:r>
    </w:p>
    <w:p>
      <w:pPr>
        <w:pStyle w:val="2"/>
        <w:keepNext w:val="0"/>
        <w:keepLines w:val="0"/>
        <w:pageBreakBefore w:val="0"/>
        <w:widowControl w:val="0"/>
        <w:kinsoku/>
        <w:wordWrap/>
        <w:overflowPunct/>
        <w:topLinePunct w:val="0"/>
        <w:bidi w:val="0"/>
        <w:adjustRightInd/>
        <w:snapToGrid/>
        <w:spacing w:line="560" w:lineRule="exact"/>
        <w:ind w:right="0" w:rightChars="0"/>
        <w:jc w:val="both"/>
        <w:textAlignment w:val="auto"/>
        <w:outlineLvl w:val="9"/>
        <w:rPr>
          <w:rFonts w:hint="eastAsia"/>
          <w:lang w:val="en-US" w:eastAsia="zh-CN"/>
        </w:rPr>
      </w:pPr>
      <w:r>
        <w:rPr>
          <w:rFonts w:hint="eastAsia" w:ascii="仿宋" w:hAnsi="仿宋" w:eastAsia="仿宋"/>
          <w:sz w:val="32"/>
          <w:szCs w:val="32"/>
          <w:lang w:val="en-US" w:eastAsia="zh-CN"/>
        </w:rPr>
        <w:t xml:space="preserve">     四是组织开展“关爱未成年人思想道德建设”主题的科普宣传进校园活动。组织科普专家宣讲团深入中小学校举办科技报告会，开拓青少年科技视野，普及防灾应急、身心健康等知识。</w:t>
      </w:r>
    </w:p>
    <w:p>
      <w:pPr>
        <w:keepNext w:val="0"/>
        <w:keepLines w:val="0"/>
        <w:pageBreakBefore w:val="0"/>
        <w:widowControl w:val="0"/>
        <w:numPr>
          <w:ilvl w:val="0"/>
          <w:numId w:val="6"/>
        </w:numPr>
        <w:pBdr>
          <w:bottom w:val="single" w:color="FFFFFF" w:sz="6" w:space="15"/>
        </w:pBdr>
        <w:tabs>
          <w:tab w:val="left" w:pos="720"/>
        </w:tabs>
        <w:kinsoku/>
        <w:wordWrap/>
        <w:overflowPunct/>
        <w:topLinePunct w:val="0"/>
        <w:autoSpaceDE w:val="0"/>
        <w:autoSpaceDN w:val="0"/>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i w:val="0"/>
          <w:caps w:val="0"/>
          <w:color w:val="3D3D3D"/>
          <w:spacing w:val="0"/>
          <w:sz w:val="32"/>
          <w:szCs w:val="32"/>
          <w:shd w:val="clear" w:fill="FFFFFF"/>
          <w:lang w:eastAsia="zh-CN"/>
        </w:rPr>
      </w:pPr>
      <w:r>
        <w:rPr>
          <w:rFonts w:hint="eastAsia" w:ascii="黑体" w:hAnsi="黑体" w:eastAsia="黑体" w:cs="黑体"/>
          <w:sz w:val="32"/>
          <w:szCs w:val="32"/>
          <w:lang w:bidi="ar"/>
        </w:rPr>
        <w:t>偏离绩效目标的原因和下一步改进措施</w:t>
      </w:r>
    </w:p>
    <w:p>
      <w:pPr>
        <w:keepNext w:val="0"/>
        <w:keepLines w:val="0"/>
        <w:pageBreakBefore w:val="0"/>
        <w:widowControl w:val="0"/>
        <w:numPr>
          <w:ilvl w:val="0"/>
          <w:numId w:val="0"/>
        </w:numPr>
        <w:pBdr>
          <w:bottom w:val="single" w:color="FFFFFF" w:sz="6" w:space="15"/>
        </w:pBdr>
        <w:tabs>
          <w:tab w:val="left" w:pos="720"/>
        </w:tabs>
        <w:kinsoku/>
        <w:wordWrap/>
        <w:overflowPunct/>
        <w:topLinePunct w:val="0"/>
        <w:autoSpaceDE w:val="0"/>
        <w:autoSpaceDN w:val="0"/>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单位人员少</w:t>
      </w:r>
      <w:r>
        <w:rPr>
          <w:rFonts w:hint="eastAsia" w:ascii="仿宋_GB2312" w:hAnsi="仿宋_GB2312" w:eastAsia="仿宋_GB2312" w:cs="仿宋_GB2312"/>
          <w:b w:val="0"/>
          <w:bCs w:val="0"/>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工作量大</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与财政预算经费</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的矛盾较为突出。随着经济社会的快速发展，科协工作呈现出社会化、信息化、专业化的趋势，上级科协部门分工越来越细，对工作的要求越来越高</w:t>
      </w:r>
      <w:r>
        <w:rPr>
          <w:rFonts w:hint="eastAsia" w:ascii="仿宋_GB2312" w:hAnsi="仿宋_GB2312" w:eastAsia="仿宋_GB2312" w:cs="仿宋_GB2312"/>
          <w:b w:val="0"/>
          <w:bCs w:val="0"/>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相应工作成本越来越高</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县科协编制3人，</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虽然财政</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按人员编制标准</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保障相应工作经费，但不能满足实际工作需要，导致一些专项工作难以开展。</w:t>
      </w:r>
    </w:p>
    <w:p>
      <w:pPr>
        <w:keepNext w:val="0"/>
        <w:keepLines w:val="0"/>
        <w:pageBreakBefore w:val="0"/>
        <w:widowControl w:val="0"/>
        <w:numPr>
          <w:ilvl w:val="0"/>
          <w:numId w:val="0"/>
        </w:numPr>
        <w:pBdr>
          <w:bottom w:val="single" w:color="FFFFFF" w:sz="6" w:space="15"/>
        </w:pBdr>
        <w:tabs>
          <w:tab w:val="left" w:pos="720"/>
        </w:tabs>
        <w:kinsoku/>
        <w:wordWrap/>
        <w:overflowPunct/>
        <w:topLinePunct w:val="0"/>
        <w:autoSpaceDE w:val="0"/>
        <w:autoSpaceDN w:val="0"/>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下一步，县科协将克服各种困难，</w:t>
      </w:r>
      <w:r>
        <w:rPr>
          <w:rFonts w:hint="eastAsia" w:ascii="仿宋_GB2312" w:hAnsi="仿宋_GB2312" w:eastAsia="仿宋_GB2312" w:cs="仿宋_GB2312"/>
          <w:sz w:val="28"/>
          <w:szCs w:val="28"/>
        </w:rPr>
        <w:t>紧密结合我县经济和社会发展的实际，以提高全民科学素质为着力点，按照“追赶超越、争创一流、再创优秀的目标任务”的工作定位，加大科普宣传力度，健全科普保障机制，全面推动我县科协工作再上一个新台阶，为建设生态经济强县谱写镇坪新时代高质量发展新篇章做出贡献。</w:t>
      </w:r>
    </w:p>
    <w:p>
      <w:pPr>
        <w:keepNext w:val="0"/>
        <w:keepLines w:val="0"/>
        <w:pageBreakBefore w:val="0"/>
        <w:widowControl w:val="0"/>
        <w:numPr>
          <w:ilvl w:val="0"/>
          <w:numId w:val="0"/>
        </w:numPr>
        <w:pBdr>
          <w:bottom w:val="single" w:color="FFFFFF" w:sz="6" w:space="15"/>
        </w:pBdr>
        <w:tabs>
          <w:tab w:val="left" w:pos="720"/>
        </w:tabs>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bidi="ar"/>
        </w:rPr>
      </w:pPr>
      <w:r>
        <w:rPr>
          <w:rFonts w:hint="eastAsia" w:ascii="黑体" w:hAnsi="黑体" w:eastAsia="黑体" w:cs="黑体"/>
          <w:sz w:val="32"/>
          <w:szCs w:val="32"/>
          <w:lang w:val="en-US" w:eastAsia="zh-CN" w:bidi="ar"/>
        </w:rPr>
        <w:t xml:space="preserve">    四、</w:t>
      </w:r>
      <w:r>
        <w:rPr>
          <w:rFonts w:hint="eastAsia" w:ascii="黑体" w:hAnsi="黑体" w:eastAsia="黑体" w:cs="黑体"/>
          <w:sz w:val="32"/>
          <w:szCs w:val="32"/>
          <w:lang w:bidi="ar"/>
        </w:rPr>
        <w:t>其他需要说明的问题</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val="0"/>
        <w:numPr>
          <w:ilvl w:val="0"/>
          <w:numId w:val="0"/>
        </w:numPr>
        <w:pBdr>
          <w:bottom w:val="single" w:color="FFFFFF" w:sz="6" w:space="15"/>
        </w:pBdr>
        <w:tabs>
          <w:tab w:val="left" w:pos="720"/>
        </w:tabs>
        <w:kinsoku/>
        <w:wordWrap/>
        <w:overflowPunct/>
        <w:topLinePunct w:val="0"/>
        <w:autoSpaceDE w:val="0"/>
        <w:autoSpaceDN w:val="0"/>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无</w:t>
      </w:r>
    </w:p>
    <w:p>
      <w:pPr>
        <w:pStyle w:val="3"/>
        <w:ind w:left="0" w:leftChars="0" w:firstLine="0" w:firstLineChars="0"/>
        <w:rPr>
          <w:rFonts w:hint="eastAsia" w:ascii="黑体" w:hAnsi="黑体" w:eastAsia="黑体"/>
          <w:sz w:val="32"/>
          <w:szCs w:val="32"/>
          <w:lang w:eastAsia="zh-CN"/>
        </w:rPr>
      </w:pPr>
      <w:r>
        <w:rPr>
          <w:rFonts w:hint="eastAsia" w:ascii="仿宋_GB2312" w:hAnsi="仿宋_GB2312" w:eastAsia="仿宋_GB2312" w:cs="仿宋_GB2312"/>
          <w:sz w:val="32"/>
          <w:szCs w:val="32"/>
          <w:lang w:val="en-US" w:eastAsia="zh-CN"/>
        </w:rPr>
        <w:object>
          <v:shape id="_x0000_i1025" o:spt="75" type="#_x0000_t75" style="height:1698.75pt;width:561.75pt;" o:ole="t" filled="f" o:preferrelative="t" stroked="f" coordsize="21600,21600">
            <v:path/>
            <v:fill on="f" focussize="0,0"/>
            <v:stroke on="f"/>
            <v:imagedata r:id="rId16" o:title=""/>
            <o:lock v:ext="edit" aspectratio="t"/>
            <w10:wrap type="none"/>
            <w10:anchorlock/>
          </v:shape>
          <o:OLEObject Type="Embed" ProgID="Excel.Sheet.8" ShapeID="_x0000_i1025" DrawAspect="Content" ObjectID="_1468075725" r:id="rId15">
            <o:LockedField>false</o:LockedField>
          </o:OLEObject>
        </w:object>
      </w:r>
      <w:r>
        <w:rPr>
          <w:rFonts w:hint="eastAsia" w:ascii="仿宋_GB2312" w:hAnsi="仿宋_GB2312" w:eastAsia="仿宋_GB2312" w:cs="仿宋_GB2312"/>
          <w:sz w:val="32"/>
          <w:szCs w:val="32"/>
          <w:lang w:val="en-US" w:eastAsia="zh-CN"/>
        </w:rPr>
        <w:object>
          <v:shape id="_x0000_i1026" o:spt="75" type="#_x0000_t75" style="height:967.5pt;width:544.25pt;" o:ole="t" filled="f" o:preferrelative="t" stroked="f" coordsize="21600,21600">
            <v:path/>
            <v:fill on="f" focussize="0,0"/>
            <v:stroke on="f"/>
            <v:imagedata r:id="rId18" o:title=""/>
            <o:lock v:ext="edit" aspectratio="t"/>
            <w10:wrap type="none"/>
            <w10:anchorlock/>
          </v:shape>
          <o:OLEObject Type="Embed" ProgID="Excel.Sheet.8" ShapeID="_x0000_i1026" DrawAspect="Content" ObjectID="_1468075726" r:id="rId17">
            <o:LockedField>false</o:LockedField>
          </o:OLEObject>
        </w:object>
      </w:r>
      <w:r>
        <w:rPr>
          <w:rFonts w:hint="eastAsia" w:ascii="仿宋_GB2312" w:hAnsi="仿宋_GB2312" w:eastAsia="仿宋_GB2312" w:cs="仿宋_GB2312"/>
          <w:sz w:val="32"/>
          <w:szCs w:val="32"/>
          <w:lang w:val="en-US" w:eastAsia="zh-CN"/>
        </w:rPr>
        <w:t xml:space="preserve">    </w:t>
      </w:r>
      <w:r>
        <w:rPr>
          <w:rFonts w:hint="eastAsia" w:ascii="黑体" w:hAnsi="黑体" w:eastAsia="黑体"/>
          <w:color w:val="000000"/>
          <w:kern w:val="0"/>
          <w:sz w:val="32"/>
          <w:szCs w:val="32"/>
          <w:lang w:bidi="ar"/>
        </w:rPr>
        <w:t>十一、其他重要事项</w:t>
      </w:r>
      <w:r>
        <w:rPr>
          <w:rFonts w:hint="eastAsia" w:ascii="黑体" w:hAnsi="黑体" w:eastAsia="黑体"/>
          <w:color w:val="000000"/>
          <w:kern w:val="0"/>
          <w:sz w:val="32"/>
          <w:szCs w:val="32"/>
          <w:lang w:eastAsia="zh-CN" w:bidi="ar"/>
        </w:rPr>
        <w:t>说明</w:t>
      </w:r>
    </w:p>
    <w:p>
      <w:pPr>
        <w:widowControl/>
        <w:ind w:firstLine="643" w:firstLineChars="200"/>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20" w:firstLineChars="200"/>
        <w:jc w:val="left"/>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w:t>
      </w:r>
      <w:r>
        <w:rPr>
          <w:rFonts w:hint="eastAsia" w:ascii="仿宋_GB2312" w:hAnsi="仿宋_GB2312" w:eastAsia="仿宋_GB2312" w:cs="仿宋_GB2312"/>
          <w:color w:val="000000"/>
          <w:kern w:val="0"/>
          <w:sz w:val="31"/>
          <w:szCs w:val="31"/>
          <w:lang w:val="en-US" w:eastAsia="zh-CN" w:bidi="ar"/>
        </w:rPr>
        <w:t>21</w:t>
      </w:r>
      <w:r>
        <w:rPr>
          <w:rFonts w:ascii="仿宋_GB2312" w:hAnsi="仿宋_GB2312" w:eastAsia="仿宋_GB2312" w:cs="仿宋_GB2312"/>
          <w:color w:val="000000"/>
          <w:kern w:val="0"/>
          <w:sz w:val="31"/>
          <w:szCs w:val="31"/>
          <w:lang w:bidi="ar"/>
        </w:rPr>
        <w:t>年机关运行经费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46.87</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74.57</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159.1</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决算数大于预算数的原因是增加了人员工资</w:t>
      </w:r>
      <w:r>
        <w:rPr>
          <w:rFonts w:hint="eastAsia" w:ascii="仿宋_GB2312" w:hAnsi="宋体" w:eastAsia="仿宋_GB2312" w:cs="仿宋_GB2312"/>
          <w:color w:val="000000"/>
          <w:kern w:val="0"/>
          <w:sz w:val="32"/>
          <w:szCs w:val="32"/>
          <w:lang w:val="en-US" w:eastAsia="zh-CN" w:bidi="ar"/>
        </w:rPr>
        <w:t>及项目</w:t>
      </w:r>
      <w:r>
        <w:rPr>
          <w:rFonts w:hint="eastAsia" w:ascii="仿宋_GB2312" w:hAnsi="宋体" w:eastAsia="仿宋_GB2312" w:cs="仿宋_GB2312"/>
          <w:color w:val="000000"/>
          <w:kern w:val="0"/>
          <w:sz w:val="32"/>
          <w:szCs w:val="32"/>
          <w:lang w:eastAsia="zh-CN" w:bidi="ar"/>
        </w:rPr>
        <w:t>支出</w:t>
      </w:r>
      <w:r>
        <w:rPr>
          <w:rFonts w:hint="eastAsia" w:ascii="仿宋_GB2312" w:hAnsi="宋体" w:eastAsia="仿宋_GB2312" w:cs="仿宋_GB2312"/>
          <w:color w:val="000000"/>
          <w:kern w:val="0"/>
          <w:sz w:val="32"/>
          <w:szCs w:val="32"/>
          <w:lang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年无政府采购支出</w:t>
      </w:r>
      <w:r>
        <w:rPr>
          <w:rFonts w:hint="eastAsia" w:ascii="仿宋_GB2312" w:hAnsi="仿宋_GB2312" w:eastAsia="仿宋_GB2312" w:cs="仿宋_GB2312"/>
          <w:sz w:val="32"/>
          <w:szCs w:val="32"/>
          <w:lang w:eastAsia="zh-CN"/>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年末，本部门机关及所属单位共有车辆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lang w:bidi="ar"/>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184" w:line="197" w:lineRule="auto"/>
        <w:ind w:firstLine="2102"/>
        <w:rPr>
          <w:rFonts w:ascii="微软雅黑" w:hAnsi="微软雅黑" w:eastAsia="微软雅黑" w:cs="微软雅黑"/>
          <w:sz w:val="43"/>
          <w:szCs w:val="43"/>
        </w:rPr>
      </w:pPr>
      <w:r>
        <w:rPr>
          <w:rFonts w:ascii="微软雅黑" w:hAnsi="微软雅黑" w:eastAsia="微软雅黑" w:cs="微软雅黑"/>
          <w:spacing w:val="18"/>
          <w:sz w:val="43"/>
          <w:szCs w:val="43"/>
        </w:rPr>
        <w:t>第四部分</w:t>
      </w:r>
      <w:r>
        <w:rPr>
          <w:rFonts w:ascii="微软雅黑" w:hAnsi="微软雅黑" w:eastAsia="微软雅黑" w:cs="微软雅黑"/>
          <w:spacing w:val="6"/>
          <w:sz w:val="43"/>
          <w:szCs w:val="43"/>
        </w:rPr>
        <w:t xml:space="preserve"> </w:t>
      </w:r>
      <w:r>
        <w:rPr>
          <w:rFonts w:ascii="微软雅黑" w:hAnsi="微软雅黑" w:eastAsia="微软雅黑" w:cs="微软雅黑"/>
          <w:spacing w:val="18"/>
          <w:sz w:val="43"/>
          <w:szCs w:val="43"/>
        </w:rPr>
        <w:t>专业名词解释</w:t>
      </w:r>
    </w:p>
    <w:p>
      <w:pPr>
        <w:pStyle w:val="4"/>
        <w:keepNext w:val="0"/>
        <w:keepLines w:val="0"/>
        <w:widowControl/>
        <w:suppressLineNumbers w:val="0"/>
        <w:spacing w:before="0" w:beforeAutospacing="1" w:after="0" w:afterAutospacing="1"/>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1.基本支出：指为保障机构正常运转、完成日常工作任务而发生的各项支出。 </w:t>
      </w:r>
    </w:p>
    <w:p>
      <w:pPr>
        <w:pStyle w:val="4"/>
        <w:keepNext w:val="0"/>
        <w:keepLines w:val="0"/>
        <w:widowControl/>
        <w:suppressLineNumbers w:val="0"/>
        <w:spacing w:before="0" w:beforeAutospacing="1" w:after="0" w:afterAutospacing="1"/>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2.项目支出：指单位为完成特定的行政工作任务或事业发展目标所发生的各项支出。 </w:t>
      </w:r>
    </w:p>
    <w:p>
      <w:pPr>
        <w:pStyle w:val="4"/>
        <w:keepNext w:val="0"/>
        <w:keepLines w:val="0"/>
        <w:widowControl/>
        <w:suppressLineNumbers w:val="0"/>
        <w:spacing w:before="0" w:beforeAutospacing="1" w:after="0" w:afterAutospacing="1"/>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3.“三公”经费：指部门使用一般公共预算财政拨款安排的因公出国（境）费、公务用车购置及运行费和公务接待费支出。 </w:t>
      </w:r>
    </w:p>
    <w:p>
      <w:pPr>
        <w:pStyle w:val="4"/>
        <w:keepNext w:val="0"/>
        <w:keepLines w:val="0"/>
        <w:widowControl/>
        <w:suppressLineNumbers w:val="0"/>
        <w:spacing w:before="0" w:beforeAutospacing="1" w:after="0" w:afterAutospacing="1"/>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4.财政拨款收入：指本级财政当年拨付的资金。 </w:t>
      </w:r>
    </w:p>
    <w:p>
      <w:pPr>
        <w:pStyle w:val="4"/>
        <w:keepNext w:val="0"/>
        <w:keepLines w:val="0"/>
        <w:widowControl/>
        <w:suppressLineNumbers w:val="0"/>
        <w:spacing w:before="0" w:beforeAutospacing="1" w:after="0" w:afterAutospacing="1"/>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5.公用经费：指为完成特定的行政工作任务或事业发展目标用于设备设施的维持性费用支出，以及直接用于公务活动的支出，具体包括公务费、业务费、修缮费、设备购置费、其他费用等。 </w:t>
      </w:r>
    </w:p>
    <w:p>
      <w:pPr>
        <w:pStyle w:val="4"/>
        <w:keepNext w:val="0"/>
        <w:keepLines w:val="0"/>
        <w:widowControl/>
        <w:suppressLineNumbers w:val="0"/>
        <w:spacing w:before="0" w:beforeAutospacing="1" w:after="0" w:afterAutospacing="1"/>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6.工资福利支出：反映开支的在职职工和编制外长期聘用人员的各类劳动报酬，以及上述人员缴纳的各项社会保险费等。 </w:t>
      </w:r>
    </w:p>
    <w:p>
      <w:pPr>
        <w:pStyle w:val="4"/>
        <w:keepNext w:val="0"/>
        <w:keepLines w:val="0"/>
        <w:widowControl/>
        <w:suppressLineNumbers w:val="0"/>
        <w:spacing w:before="0" w:beforeAutospacing="1" w:after="0" w:afterAutospacing="1"/>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7.结转资金：即当年预算已执行但未完成，或者因故未执行，下一年度需要按原用途继续使用的资金。 </w:t>
      </w:r>
    </w:p>
    <w:p>
      <w:pPr>
        <w:pStyle w:val="4"/>
        <w:keepNext w:val="0"/>
        <w:keepLines w:val="0"/>
        <w:widowControl/>
        <w:suppressLineNumbers w:val="0"/>
        <w:spacing w:before="0" w:beforeAutospacing="1" w:after="0" w:afterAutospacing="1"/>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8.结余资金：即当年预算工作目标已完成，或者因故终止，当年剩余的资金。</w:t>
      </w:r>
    </w:p>
    <w:p>
      <w:pPr>
        <w:spacing w:line="224" w:lineRule="auto"/>
        <w:ind w:firstLine="651"/>
        <w:rPr>
          <w:rFonts w:hint="eastAsia" w:ascii="仿宋_GB2312" w:hAnsi="仿宋_GB2312" w:eastAsia="仿宋_GB2312" w:cs="仿宋_GB2312"/>
          <w:sz w:val="32"/>
          <w:szCs w:val="32"/>
        </w:rPr>
      </w:pPr>
    </w:p>
    <w:sectPr>
      <w:pgSz w:w="11907" w:h="16839"/>
      <w:pgMar w:top="1431" w:right="1433" w:bottom="1101" w:left="1599" w:header="0" w:footer="8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
    <w:altName w:val="微软雅黑"/>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MingLiU_HKSCS">
    <w:altName w:val="文泉驿微米黑"/>
    <w:panose1 w:val="00000000000000000000"/>
    <w:charset w:val="88"/>
    <w:family w:val="modern"/>
    <w:pitch w:val="default"/>
    <w:sig w:usb0="00000000" w:usb1="00000000" w:usb2="00000016" w:usb3="00000000" w:csb0="00100001"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firstLine="3823"/>
      <w:rPr>
        <w:rFonts w:ascii="宋体" w:hAnsi="宋体" w:eastAsia="宋体" w:cs="宋体"/>
        <w:sz w:val="24"/>
        <w:szCs w:val="24"/>
      </w:rPr>
    </w:pPr>
    <w:r>
      <w:rPr>
        <w:rFonts w:ascii="宋体" w:hAnsi="宋体" w:eastAsia="宋体" w:cs="宋体"/>
        <w:w w:val="82"/>
        <w:sz w:val="24"/>
        <w:szCs w:val="24"/>
      </w:rPr>
      <w:t>— 1</w:t>
    </w:r>
    <w:r>
      <w:rPr>
        <w:rFonts w:ascii="宋体" w:hAnsi="宋体" w:eastAsia="宋体" w:cs="宋体"/>
        <w:spacing w:val="2"/>
        <w:w w:val="82"/>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18" w:lineRule="exact"/>
      <w:ind w:firstLine="3823"/>
      <w:rPr>
        <w:rFonts w:ascii="宋体" w:hAnsi="宋体" w:eastAsia="宋体" w:cs="宋体"/>
        <w:sz w:val="24"/>
        <w:szCs w:val="24"/>
      </w:rPr>
    </w:pPr>
    <w:r>
      <w:rPr>
        <w:rFonts w:ascii="宋体" w:hAnsi="宋体" w:eastAsia="宋体" w:cs="宋体"/>
        <w:spacing w:val="-4"/>
        <w:position w:val="1"/>
        <w:sz w:val="24"/>
        <w:szCs w:val="24"/>
      </w:rPr>
      <w:t>—</w:t>
    </w:r>
    <w:r>
      <w:rPr>
        <w:rFonts w:ascii="宋体" w:hAnsi="宋体" w:eastAsia="宋体" w:cs="宋体"/>
        <w:spacing w:val="-1"/>
        <w:position w:val="1"/>
        <w:sz w:val="24"/>
        <w:szCs w:val="24"/>
      </w:rPr>
      <w:t>2</w:t>
    </w:r>
    <w:r>
      <w:rPr>
        <w:rFonts w:ascii="宋体" w:hAnsi="宋体" w:eastAsia="宋体" w:cs="宋体"/>
        <w:spacing w:val="-3"/>
        <w:position w:val="1"/>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16" w:lineRule="exact"/>
      <w:ind w:firstLine="3644"/>
      <w:rPr>
        <w:rFonts w:ascii="宋体" w:hAnsi="宋体" w:eastAsia="宋体" w:cs="宋体"/>
        <w:sz w:val="24"/>
        <w:szCs w:val="24"/>
      </w:rPr>
    </w:pPr>
    <w:r>
      <w:rPr>
        <w:rFonts w:ascii="宋体" w:hAnsi="宋体" w:eastAsia="宋体" w:cs="宋体"/>
        <w:spacing w:val="-4"/>
        <w:position w:val="1"/>
        <w:sz w:val="24"/>
        <w:szCs w:val="24"/>
      </w:rPr>
      <w:t>—</w:t>
    </w:r>
    <w:r>
      <w:rPr>
        <w:rFonts w:ascii="宋体" w:hAnsi="宋体" w:eastAsia="宋体" w:cs="宋体"/>
        <w:spacing w:val="-1"/>
        <w:position w:val="1"/>
        <w:sz w:val="24"/>
        <w:szCs w:val="24"/>
      </w:rPr>
      <w:t>7</w:t>
    </w:r>
    <w:r>
      <w:rPr>
        <w:rFonts w:ascii="宋体" w:hAnsi="宋体" w:eastAsia="宋体" w:cs="宋体"/>
        <w:spacing w:val="-3"/>
        <w:position w:val="1"/>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BCD01"/>
    <w:multiLevelType w:val="singleLevel"/>
    <w:tmpl w:val="95ABCD01"/>
    <w:lvl w:ilvl="0" w:tentative="0">
      <w:start w:val="3"/>
      <w:numFmt w:val="chineseCounting"/>
      <w:suff w:val="nothing"/>
      <w:lvlText w:val="%1、"/>
      <w:lvlJc w:val="left"/>
      <w:rPr>
        <w:rFonts w:hint="eastAsia"/>
      </w:rPr>
    </w:lvl>
  </w:abstractNum>
  <w:abstractNum w:abstractNumId="1">
    <w:nsid w:val="5F90ED5D"/>
    <w:multiLevelType w:val="singleLevel"/>
    <w:tmpl w:val="5F90ED5D"/>
    <w:lvl w:ilvl="0" w:tentative="0">
      <w:start w:val="3"/>
      <w:numFmt w:val="chineseCounting"/>
      <w:suff w:val="nothing"/>
      <w:lvlText w:val="%1、"/>
      <w:lvlJc w:val="left"/>
    </w:lvl>
  </w:abstractNum>
  <w:abstractNum w:abstractNumId="2">
    <w:nsid w:val="5F90F99B"/>
    <w:multiLevelType w:val="singleLevel"/>
    <w:tmpl w:val="5F90F99B"/>
    <w:lvl w:ilvl="0" w:tentative="0">
      <w:start w:val="1"/>
      <w:numFmt w:val="decimal"/>
      <w:suff w:val="nothing"/>
      <w:lvlText w:val="%1."/>
      <w:lvlJc w:val="left"/>
    </w:lvl>
  </w:abstractNum>
  <w:abstractNum w:abstractNumId="3">
    <w:nsid w:val="62676D76"/>
    <w:multiLevelType w:val="singleLevel"/>
    <w:tmpl w:val="62676D76"/>
    <w:lvl w:ilvl="0" w:tentative="0">
      <w:start w:val="2"/>
      <w:numFmt w:val="chineseCounting"/>
      <w:suff w:val="nothing"/>
      <w:lvlText w:val="（%1）"/>
      <w:lvlJc w:val="left"/>
    </w:lvl>
  </w:abstractNum>
  <w:abstractNum w:abstractNumId="4">
    <w:nsid w:val="62676EB3"/>
    <w:multiLevelType w:val="singleLevel"/>
    <w:tmpl w:val="62676EB3"/>
    <w:lvl w:ilvl="0" w:tentative="0">
      <w:start w:val="5"/>
      <w:numFmt w:val="chineseCounting"/>
      <w:suff w:val="nothing"/>
      <w:lvlText w:val="%1、"/>
      <w:lvlJc w:val="left"/>
    </w:lvl>
  </w:abstractNum>
  <w:abstractNum w:abstractNumId="5">
    <w:nsid w:val="727A8651"/>
    <w:multiLevelType w:val="singleLevel"/>
    <w:tmpl w:val="727A8651"/>
    <w:lvl w:ilvl="0" w:tentative="0">
      <w:start w:val="1"/>
      <w:numFmt w:val="decimal"/>
      <w:suff w:val="nothing"/>
      <w:lvlText w:val="%1、"/>
      <w:lvlJc w:val="left"/>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0A5311F"/>
    <w:rsid w:val="015809C4"/>
    <w:rsid w:val="038F0263"/>
    <w:rsid w:val="03C73C40"/>
    <w:rsid w:val="08362206"/>
    <w:rsid w:val="097E625F"/>
    <w:rsid w:val="11085439"/>
    <w:rsid w:val="11433163"/>
    <w:rsid w:val="13697265"/>
    <w:rsid w:val="139A6763"/>
    <w:rsid w:val="15597D95"/>
    <w:rsid w:val="16D162FD"/>
    <w:rsid w:val="16D81133"/>
    <w:rsid w:val="17507ED0"/>
    <w:rsid w:val="18143491"/>
    <w:rsid w:val="18B57797"/>
    <w:rsid w:val="19C7635B"/>
    <w:rsid w:val="1AB52760"/>
    <w:rsid w:val="1BED5CE0"/>
    <w:rsid w:val="1CFA299A"/>
    <w:rsid w:val="1E091A36"/>
    <w:rsid w:val="1EC55489"/>
    <w:rsid w:val="1F0A017C"/>
    <w:rsid w:val="1FA90F7F"/>
    <w:rsid w:val="20A7561E"/>
    <w:rsid w:val="21CF0904"/>
    <w:rsid w:val="23356F51"/>
    <w:rsid w:val="237A41C3"/>
    <w:rsid w:val="23A40D4F"/>
    <w:rsid w:val="261B3491"/>
    <w:rsid w:val="274B7407"/>
    <w:rsid w:val="277933CE"/>
    <w:rsid w:val="29D60CAE"/>
    <w:rsid w:val="2B3C27A8"/>
    <w:rsid w:val="2BBC30CD"/>
    <w:rsid w:val="2F2965ED"/>
    <w:rsid w:val="30802422"/>
    <w:rsid w:val="312F34BF"/>
    <w:rsid w:val="319544E8"/>
    <w:rsid w:val="31A33410"/>
    <w:rsid w:val="31AD1B8F"/>
    <w:rsid w:val="350B4A94"/>
    <w:rsid w:val="37CB4618"/>
    <w:rsid w:val="3E613867"/>
    <w:rsid w:val="3EE65CBF"/>
    <w:rsid w:val="3EE811C2"/>
    <w:rsid w:val="43257338"/>
    <w:rsid w:val="433D2460"/>
    <w:rsid w:val="43D6135A"/>
    <w:rsid w:val="44AC00B9"/>
    <w:rsid w:val="45B75FEC"/>
    <w:rsid w:val="475B669D"/>
    <w:rsid w:val="47F90B25"/>
    <w:rsid w:val="483F7F95"/>
    <w:rsid w:val="49422F77"/>
    <w:rsid w:val="494707C7"/>
    <w:rsid w:val="4BBB2386"/>
    <w:rsid w:val="4CD8739E"/>
    <w:rsid w:val="4F5A4EBF"/>
    <w:rsid w:val="52EB3A96"/>
    <w:rsid w:val="5A494CAD"/>
    <w:rsid w:val="5B1146F6"/>
    <w:rsid w:val="5BFE68FD"/>
    <w:rsid w:val="5CAB2299"/>
    <w:rsid w:val="5D2F6C6E"/>
    <w:rsid w:val="5DA2372A"/>
    <w:rsid w:val="5DAD753D"/>
    <w:rsid w:val="5E3C172A"/>
    <w:rsid w:val="5F0F1702"/>
    <w:rsid w:val="5F9B12E6"/>
    <w:rsid w:val="60CC075F"/>
    <w:rsid w:val="61366B09"/>
    <w:rsid w:val="61964861"/>
    <w:rsid w:val="623757B2"/>
    <w:rsid w:val="62805827"/>
    <w:rsid w:val="63E11F6B"/>
    <w:rsid w:val="64480A16"/>
    <w:rsid w:val="64B47D45"/>
    <w:rsid w:val="65F0554E"/>
    <w:rsid w:val="683B3E0E"/>
    <w:rsid w:val="684969A7"/>
    <w:rsid w:val="6D3B3EC1"/>
    <w:rsid w:val="73C43DFB"/>
    <w:rsid w:val="761432E3"/>
    <w:rsid w:val="76D90E8A"/>
    <w:rsid w:val="7B5E707B"/>
    <w:rsid w:val="7D2A75E5"/>
    <w:rsid w:val="7D4D68A0"/>
    <w:rsid w:val="7DC1685E"/>
    <w:rsid w:val="7ECD5A97"/>
    <w:rsid w:val="7EF014CF"/>
    <w:rsid w:val="7F3157BC"/>
    <w:rsid w:val="BEFD2F82"/>
    <w:rsid w:val="FDBD8A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0"/>
    <w:pPr>
      <w:spacing w:after="120" w:afterLines="0"/>
    </w:pPr>
    <w:rPr>
      <w:rFonts w:hint="eastAsia"/>
      <w:sz w:val="16"/>
    </w:rPr>
  </w:style>
  <w:style w:type="paragraph" w:customStyle="1" w:styleId="3">
    <w:name w:val="Char1"/>
    <w:basedOn w:val="1"/>
    <w:qFormat/>
    <w:uiPriority w:val="99"/>
    <w:pPr>
      <w:ind w:left="840" w:hanging="420"/>
    </w:pPr>
    <w:rPr>
      <w:sz w:val="24"/>
      <w:szCs w:val="30"/>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emf"/><Relationship Id="rId17" Type="http://schemas.openxmlformats.org/officeDocument/2006/relationships/oleObject" Target="embeddings/oleObject2.bin"/><Relationship Id="rId16" Type="http://schemas.openxmlformats.org/officeDocument/2006/relationships/image" Target="media/image2.emf"/><Relationship Id="rId15" Type="http://schemas.openxmlformats.org/officeDocument/2006/relationships/oleObject" Target="embeddings/oleObject1.bin"/><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kern="1200" cap="none" spc="0" normalizeH="0" baseline="0">
                <a:solidFill>
                  <a:schemeClr val="tx1">
                    <a:lumMod val="65000"/>
                    <a:lumOff val="35000"/>
                  </a:schemeClr>
                </a:solidFill>
                <a:effectLst/>
                <a:latin typeface="+mn-lt"/>
                <a:ea typeface="+mn-ea"/>
                <a:cs typeface="+mn-cs"/>
              </a:rPr>
              <a:t>2021</a:t>
            </a:r>
            <a:r>
              <a:rPr altLang="en-US" sz="1400" b="0" i="0" u="none" strike="noStrike" kern="1200" cap="none" spc="0" normalizeH="0" baseline="0">
                <a:solidFill>
                  <a:schemeClr val="tx1">
                    <a:lumMod val="65000"/>
                    <a:lumOff val="35000"/>
                  </a:schemeClr>
                </a:solidFill>
                <a:effectLst/>
                <a:latin typeface="+mn-lt"/>
                <a:ea typeface="+mn-ea"/>
                <a:cs typeface="+mn-cs"/>
              </a:rPr>
              <a:t>年收支情况表</a:t>
            </a:r>
            <a:endParaRPr altLang="en-US" sz="1400" b="0" i="0" u="none" strike="noStrike" kern="1200" cap="none" spc="0" normalizeH="0" baseline="0">
              <a:solidFill>
                <a:schemeClr val="tx1">
                  <a:lumMod val="65000"/>
                  <a:lumOff val="35000"/>
                </a:schemeClr>
              </a:solidFill>
              <a:effectLst/>
              <a:latin typeface="+mn-lt"/>
              <a:ea typeface="+mn-ea"/>
              <a:cs typeface="+mn-cs"/>
            </a:endParaRPr>
          </a:p>
        </c:rich>
      </c:tx>
      <c:layout>
        <c:manualLayout>
          <c:xMode val="edge"/>
          <c:yMode val="edge"/>
          <c:x val="0.412897024235607"/>
          <c:y val="0.00615384615384615"/>
        </c:manualLayout>
      </c:layout>
      <c:overlay val="false"/>
      <c:spPr>
        <a:noFill/>
        <a:ln>
          <a:noFill/>
        </a:ln>
        <a:effectLst/>
      </c:spPr>
    </c:title>
    <c:autoTitleDeleted val="false"/>
    <c:plotArea>
      <c:layout>
        <c:manualLayout>
          <c:layoutTarget val="inner"/>
          <c:xMode val="edge"/>
          <c:yMode val="edge"/>
          <c:x val="0.058575"/>
          <c:y val="0.117666666666667"/>
          <c:w val="0.905175"/>
          <c:h val="0.716066666666667"/>
        </c:manualLayout>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dLbl>
              <c:idx val="0"/>
              <c:layout>
                <c:manualLayout>
                  <c:x val="-0.005625"/>
                  <c:y val="0.0025"/>
                </c:manualLayout>
              </c:layout>
              <c:tx>
                <c:rich>
                  <a:bodyPr rot="0" spcFirstLastPara="1" vertOverflow="clip" horzOverflow="clip" vert="horz" wrap="square" lIns="38100" tIns="19050" rIns="38100" bIns="19050" anchor="ctr" anchorCtr="true">
                    <a:spAutoFit/>
                  </a:bodyPr>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kern="1200" cap="none" normalizeH="0" baseline="0">
                        <a:solidFill>
                          <a:schemeClr val="tx1">
                            <a:lumMod val="75000"/>
                            <a:lumOff val="25000"/>
                          </a:schemeClr>
                        </a:solidFill>
                        <a:effectLst/>
                        <a:latin typeface="+mn-lt"/>
                        <a:ea typeface="+mn-ea"/>
                        <a:cs typeface="+mn-cs"/>
                      </a:rPr>
                      <a:t>63.2</a:t>
                    </a:r>
                    <a:endParaRPr lang="en-US" altLang="zh-CN" sz="900" b="0" i="0" u="none" strike="noStrike" kern="1200" cap="none" normalizeH="0" baseline="0">
                      <a:solidFill>
                        <a:schemeClr val="tx1">
                          <a:lumMod val="75000"/>
                          <a:lumOff val="25000"/>
                        </a:schemeClr>
                      </a:solidFill>
                      <a:effectLst/>
                      <a:latin typeface="+mn-lt"/>
                      <a:ea typeface="+mn-ea"/>
                      <a:cs typeface="+mn-cs"/>
                    </a:endParaRPr>
                  </a:p>
                </c:rich>
              </c:tx>
              <c:numFmt formatCode="General" sourceLinked="true"/>
              <c:spPr>
                <a:noFill/>
                <a:ln>
                  <a:noFill/>
                </a:ln>
                <a:effectLst/>
              </c:spPr>
              <c:txPr>
                <a:bodyPr rot="0" spcFirstLastPara="1" vertOverflow="clip" horzOverflow="clip" vert="horz" wrap="square" lIns="38100" tIns="19050" rIns="38100" bIns="19050" anchor="ctr" anchorCtr="true">
                  <a:spAutoFit/>
                </a:bodyPr>
                <a:lstStyle/>
                <a:p>
                  <a:pPr algn="ct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336473755047106"/>
                  <c:y val="0"/>
                </c:manualLayout>
              </c:layout>
              <c:tx>
                <c:rich>
                  <a:bodyPr rot="0" spcFirstLastPara="1" vertOverflow="clip" horzOverflow="clip" vert="horz" wrap="square" lIns="38100" tIns="19050" rIns="38100" bIns="19050" anchor="ctr" anchorCtr="true">
                    <a:spAutoFit/>
                  </a:bodyPr>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kern="1200" cap="none" normalizeH="0" baseline="0">
                        <a:solidFill>
                          <a:schemeClr val="tx1">
                            <a:lumMod val="75000"/>
                            <a:lumOff val="25000"/>
                          </a:schemeClr>
                        </a:solidFill>
                        <a:effectLst/>
                        <a:latin typeface="+mn-lt"/>
                        <a:ea typeface="+mn-ea"/>
                        <a:cs typeface="+mn-cs"/>
                      </a:rPr>
                      <a:t>109.87</a:t>
                    </a:r>
                    <a:endParaRPr lang="en-US" altLang="zh-CN" sz="900" b="0" i="0" u="none" strike="noStrike" kern="1200" cap="none" normalizeH="0" baseline="0">
                      <a:solidFill>
                        <a:schemeClr val="tx1">
                          <a:lumMod val="75000"/>
                          <a:lumOff val="25000"/>
                        </a:schemeClr>
                      </a:solidFill>
                      <a:effectLst/>
                      <a:latin typeface="+mn-lt"/>
                      <a:ea typeface="+mn-ea"/>
                      <a:cs typeface="+mn-cs"/>
                    </a:endParaRPr>
                  </a:p>
                </c:rich>
              </c:tx>
              <c:numFmt formatCode="General" sourceLinked="true"/>
              <c:spPr>
                <a:noFill/>
                <a:ln>
                  <a:noFill/>
                </a:ln>
                <a:effectLst/>
              </c:spPr>
              <c:txPr>
                <a:bodyPr rot="0" spcFirstLastPara="1" vertOverflow="clip" horzOverflow="clip" vert="horz" wrap="square" lIns="38100" tIns="19050" rIns="38100" bIns="19050" anchor="ctr" anchorCtr="true">
                  <a:spAutoFit/>
                </a:bodyPr>
                <a:lstStyle/>
                <a:p>
                  <a:pPr algn="ct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horzOverflow="overflow"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63.2</c:v>
                </c:pt>
                <c:pt idx="1">
                  <c:v>109.87</c:v>
                </c:pt>
              </c:numCache>
            </c:numRef>
          </c:val>
        </c:ser>
        <c:ser>
          <c:idx val="1"/>
          <c:order val="1"/>
          <c:tx>
            <c:strRef>
              <c:f>Sheet1!$C$1</c:f>
              <c:strCache>
                <c:ptCount val="1"/>
                <c:pt idx="0">
                  <c:v>支出</c:v>
                </c:pt>
              </c:strCache>
            </c:strRef>
          </c:tx>
          <c:spPr>
            <a:solidFill>
              <a:schemeClr val="accent2"/>
            </a:solidFill>
            <a:ln>
              <a:noFill/>
            </a:ln>
            <a:effectLst/>
          </c:spPr>
          <c:invertIfNegative val="false"/>
          <c:dLbls>
            <c:dLbl>
              <c:idx val="0"/>
              <c:layout/>
              <c:tx>
                <c:rich>
                  <a:bodyPr rot="0" spcFirstLastPara="1" vertOverflow="clip" horzOverflow="clip" vert="horz" wrap="square" lIns="38100" tIns="19050" rIns="38100" bIns="19050" anchor="ctr" anchorCtr="true">
                    <a:spAutoFit/>
                  </a:bodyPr>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kern="1200" cap="none" normalizeH="0" baseline="0">
                        <a:solidFill>
                          <a:schemeClr val="tx1">
                            <a:lumMod val="75000"/>
                            <a:lumOff val="25000"/>
                          </a:schemeClr>
                        </a:solidFill>
                        <a:effectLst/>
                        <a:latin typeface="+mn-lt"/>
                        <a:ea typeface="+mn-ea"/>
                        <a:cs typeface="+mn-cs"/>
                      </a:rPr>
                      <a:t>84.43</a:t>
                    </a:r>
                    <a:endParaRPr lang="en-US" altLang="zh-CN" sz="900" b="0" i="0" u="none" strike="noStrike" kern="1200" cap="none" normalizeH="0" baseline="0">
                      <a:solidFill>
                        <a:schemeClr val="tx1">
                          <a:lumMod val="75000"/>
                          <a:lumOff val="25000"/>
                        </a:schemeClr>
                      </a:solidFill>
                      <a:effectLst/>
                      <a:latin typeface="+mn-lt"/>
                      <a:ea typeface="+mn-ea"/>
                      <a:cs typeface="+mn-cs"/>
                    </a:endParaRPr>
                  </a:p>
                </c:rich>
              </c:tx>
              <c:numFmt formatCode="General" sourceLinked="true"/>
              <c:spPr>
                <a:noFill/>
                <a:ln>
                  <a:noFill/>
                </a:ln>
                <a:effectLst/>
              </c:spPr>
              <c:txPr>
                <a:bodyPr rot="0" spcFirstLastPara="1" vertOverflow="clip" horzOverflow="clip" vert="horz" wrap="square" lIns="38100" tIns="19050" rIns="38100" bIns="19050" anchor="ctr" anchorCtr="true">
                  <a:spAutoFit/>
                </a:bodyPr>
                <a:lstStyle/>
                <a:p>
                  <a:pPr algn="ct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1" vertOverflow="clip" horzOverflow="clip" vert="horz" wrap="square" lIns="38100" tIns="19050" rIns="38100" bIns="19050" anchor="ctr" anchorCtr="true">
                    <a:spAutoFit/>
                  </a:bodyPr>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kern="1200" cap="none" normalizeH="0" baseline="0">
                        <a:solidFill>
                          <a:schemeClr val="tx1">
                            <a:lumMod val="75000"/>
                            <a:lumOff val="25000"/>
                          </a:schemeClr>
                        </a:solidFill>
                        <a:effectLst/>
                        <a:latin typeface="+mn-lt"/>
                        <a:ea typeface="+mn-ea"/>
                        <a:cs typeface="+mn-cs"/>
                      </a:rPr>
                      <a:t>94.57</a:t>
                    </a:r>
                    <a:endParaRPr lang="en-US" altLang="zh-CN" sz="900" b="0" i="0" u="none" strike="noStrike" kern="1200" cap="none" normalizeH="0" baseline="0">
                      <a:solidFill>
                        <a:schemeClr val="tx1">
                          <a:lumMod val="75000"/>
                          <a:lumOff val="25000"/>
                        </a:schemeClr>
                      </a:solidFill>
                      <a:effectLst/>
                      <a:latin typeface="+mn-lt"/>
                      <a:ea typeface="+mn-ea"/>
                      <a:cs typeface="+mn-cs"/>
                    </a:endParaRPr>
                  </a:p>
                </c:rich>
              </c:tx>
              <c:numFmt formatCode="General" sourceLinked="true"/>
              <c:spPr>
                <a:noFill/>
                <a:ln>
                  <a:noFill/>
                </a:ln>
                <a:effectLst/>
              </c:spPr>
              <c:txPr>
                <a:bodyPr rot="0" spcFirstLastPara="1" vertOverflow="clip" horzOverflow="clip" vert="horz" wrap="square" lIns="38100" tIns="19050" rIns="38100" bIns="19050" anchor="ctr" anchorCtr="true">
                  <a:spAutoFit/>
                </a:bodyPr>
                <a:lstStyle/>
                <a:p>
                  <a:pPr algn="ct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horzOverflow="overflow"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2020年</c:v>
                </c:pt>
                <c:pt idx="1">
                  <c:v>2021年</c:v>
                </c:pt>
              </c:strCache>
            </c:strRef>
          </c:cat>
          <c:val>
            <c:numRef>
              <c:f>Sheet1!$C$2:$C$3</c:f>
              <c:numCache>
                <c:formatCode>General</c:formatCode>
                <c:ptCount val="2"/>
                <c:pt idx="0">
                  <c:v>84.43</c:v>
                </c:pt>
                <c:pt idx="1">
                  <c:v>94.57</c:v>
                </c:pt>
              </c:numCache>
            </c:numRef>
          </c:val>
        </c:ser>
        <c:dLbls>
          <c:showLegendKey val="false"/>
          <c:showVal val="true"/>
          <c:showCatName val="false"/>
          <c:showSerName val="false"/>
          <c:showPercent val="false"/>
          <c:showBubbleSize val="false"/>
        </c:dLbls>
        <c:gapWidth val="245"/>
        <c:overlap val="-22"/>
        <c:axId val="83916540"/>
        <c:axId val="499932890"/>
      </c:barChart>
      <c:catAx>
        <c:axId val="83916540"/>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99932890"/>
        <c:crosses val="autoZero"/>
        <c:auto val="true"/>
        <c:lblAlgn val="ctr"/>
        <c:lblOffset val="100"/>
        <c:noMultiLvlLbl val="false"/>
      </c:catAx>
      <c:valAx>
        <c:axId val="499932890"/>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horzOverflow="overflow"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3916540"/>
        <c:crosses val="autoZero"/>
        <c:crossBetween val="between"/>
      </c:valAx>
      <c:spPr>
        <a:noFill/>
        <a:ln>
          <a:noFill/>
        </a:ln>
        <a:effectLst/>
      </c:spPr>
    </c:plotArea>
    <c:legend>
      <c:legendPos val="b"/>
      <c:layout/>
      <c:overlay val="false"/>
      <c:spPr>
        <a:noFill/>
        <a:ln>
          <a:noFill/>
        </a:ln>
        <a:effectLst/>
      </c:spPr>
      <c:txPr>
        <a:bodyPr rot="0" spcFirstLastPara="0" vertOverflow="ellipsis" horzOverflow="overflow"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true"/>
    <a:lstStyle/>
    <a:p>
      <a:pPr>
        <a:defRPr lang="zh-CN" sz="1000" kern="1200">
          <a:solidFill>
            <a:schemeClr val="tx1"/>
          </a:solidFill>
          <a:latin typeface="+mn-lt"/>
          <a:ea typeface="+mn-ea"/>
          <a:cs typeface="+mn-cs"/>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lgn="ctr" defTabSz="914400">
              <a:defRPr lang="zh-CN" sz="1400" b="0" i="0" u="none" strike="noStrike" kern="1200" spc="0" baseline="0">
                <a:solidFill>
                  <a:schemeClr val="tx1">
                    <a:lumMod val="65000"/>
                    <a:lumOff val="35000"/>
                  </a:schemeClr>
                </a:solidFill>
                <a:latin typeface="+mn-lt"/>
                <a:ea typeface="+mn-ea"/>
                <a:cs typeface="+mn-cs"/>
              </a:defRPr>
            </a:pPr>
            <a:r>
              <a:t>收入结构图</a:t>
            </a:r>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a:effectLst/>
          </c:spPr>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Pt>
            <c:idx val="3"/>
            <c:bubble3D val="false"/>
            <c:explosion val="0"/>
            <c:spPr>
              <a:solidFill>
                <a:schemeClr val="accent4"/>
              </a:solidFill>
              <a:ln w="19050">
                <a:solidFill>
                  <a:schemeClr val="lt1"/>
                </a:solidFill>
              </a:ln>
              <a:effectLst/>
            </c:spPr>
          </c:dPt>
          <c:dLbls>
            <c:dLbl>
              <c:idx val="0"/>
              <c:layout/>
              <c:tx>
                <c:rich>
                  <a:bodyPr rot="0" spcFirstLastPara="0" vertOverflow="ellipsis" vert="horz" wrap="square" lIns="38100" tIns="19050" rIns="38100" bIns="19050" anchor="ctr" anchorCtr="true"/>
                  <a:lstStyle/>
                  <a:p>
                    <a:pPr algn="ctr" defTabSz="914400">
                      <a:defRPr lang="zh-CN" sz="1000" b="0" i="0" u="none" strike="noStrike" kern="1200" baseline="0">
                        <a:solidFill>
                          <a:schemeClr val="tx1"/>
                        </a:solidFill>
                        <a:latin typeface="+mn-lt"/>
                        <a:ea typeface="+mn-ea"/>
                        <a:cs typeface="+mn-cs"/>
                      </a:defRPr>
                    </a:pPr>
                    <a:r>
                      <a:rPr lang="en-US" altLang="zh-CN"/>
                      <a:t>43.57</a:t>
                    </a:r>
                    <a:r>
                      <a:t>%</a:t>
                    </a:r>
                  </a:p>
                </c:rich>
              </c:tx>
              <c:numFmt formatCode="General" sourceLinked="true"/>
              <c:spPr>
                <a:noFill/>
                <a:ln>
                  <a:noFill/>
                </a:ln>
                <a:effectLst/>
              </c:spPr>
              <c:txPr>
                <a:bodyPr rot="0" spcFirstLastPara="0" vertOverflow="ellipsis" vert="horz" wrap="square" lIns="38100" tIns="19050" rIns="38100" bIns="19050" anchor="ctr" anchorCtr="true"/>
                <a:lstStyle/>
                <a:p>
                  <a:pPr algn="ctr">
                    <a:defRPr lang="zh-CN" sz="1000" b="0" i="0" u="none" strike="noStrike" kern="1200" baseline="0">
                      <a:solidFill>
                        <a:schemeClr val="tx1"/>
                      </a:solidFill>
                      <a:latin typeface="+mn-lt"/>
                      <a:ea typeface="+mn-ea"/>
                      <a:cs typeface="+mn-cs"/>
                    </a:defRPr>
                  </a:pPr>
                </a:p>
              </c:txPr>
              <c:dLblPos val="inEnd"/>
              <c:showLegendKey val="false"/>
              <c:showVal val="true"/>
              <c:showCatName val="false"/>
              <c:showSerName val="false"/>
              <c:showPercent val="tru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algn="ctr" defTabSz="914400">
                      <a:defRPr lang="zh-CN" sz="1000" b="0" i="0" u="none" strike="noStrike" kern="1200" baseline="0">
                        <a:solidFill>
                          <a:schemeClr val="tx1"/>
                        </a:solidFill>
                        <a:latin typeface="+mn-lt"/>
                        <a:ea typeface="+mn-ea"/>
                        <a:cs typeface="+mn-cs"/>
                      </a:defRPr>
                    </a:pPr>
                    <a:r>
                      <a:rPr lang="en-US" altLang="zh-CN"/>
                      <a:t>56.43</a:t>
                    </a:r>
                    <a:r>
                      <a:t>%</a:t>
                    </a:r>
                  </a:p>
                </c:rich>
              </c:tx>
              <c:numFmt formatCode="General" sourceLinked="true"/>
              <c:spPr>
                <a:noFill/>
                <a:ln>
                  <a:noFill/>
                </a:ln>
                <a:effectLst/>
              </c:spPr>
              <c:txPr>
                <a:bodyPr rot="0" spcFirstLastPara="0" vertOverflow="ellipsis" vert="horz" wrap="square" lIns="38100" tIns="19050" rIns="38100" bIns="19050" anchor="ctr" anchorCtr="true"/>
                <a:lstStyle/>
                <a:p>
                  <a:pPr algn="ctr">
                    <a:defRPr lang="zh-CN" sz="1000" b="0" i="0" u="none" strike="noStrike" kern="1200" baseline="0">
                      <a:solidFill>
                        <a:schemeClr val="tx1"/>
                      </a:solidFill>
                      <a:latin typeface="+mn-lt"/>
                      <a:ea typeface="+mn-ea"/>
                      <a:cs typeface="+mn-cs"/>
                    </a:defRPr>
                  </a:pPr>
                </a:p>
              </c:txPr>
              <c:dLblPos val="inEnd"/>
              <c:showLegendKey val="false"/>
              <c:showVal val="true"/>
              <c:showCatName val="false"/>
              <c:showSerName val="false"/>
              <c:showPercent val="true"/>
              <c:showBubbleSize val="false"/>
              <c:extLst>
                <c:ext xmlns:c15="http://schemas.microsoft.com/office/drawing/2012/chart" uri="{CE6537A1-D6FC-4f65-9D91-7224C49458BB}"/>
              </c:extLst>
            </c:dLbl>
            <c:dLbl>
              <c:idx val="2"/>
              <c:delete val="true"/>
            </c:dLbl>
            <c:dLbl>
              <c:idx val="3"/>
              <c:delete val="true"/>
            </c:dLbl>
            <c:numFmt formatCode="General" sourceLinked="true"/>
            <c:spPr>
              <a:noFill/>
              <a:ln>
                <a:noFill/>
              </a:ln>
              <a:effectLst/>
            </c:spPr>
            <c:txPr>
              <a:bodyPr rot="0" spcFirstLastPara="0" vertOverflow="ellipsis" horzOverflow="overflow"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财政拨款收入</c:v>
                </c:pt>
                <c:pt idx="1">
                  <c:v>其他收入</c:v>
                </c:pt>
                <c:pt idx="2">
                  <c:v>　</c:v>
                </c:pt>
                <c:pt idx="3">
                  <c:v>　</c:v>
                </c:pt>
              </c:strCache>
            </c:strRef>
          </c:cat>
          <c:val>
            <c:numRef>
              <c:f>Sheet1!$B$2:$B$5</c:f>
              <c:numCache>
                <c:formatCode>General</c:formatCode>
                <c:ptCount val="4"/>
                <c:pt idx="0">
                  <c:v>47.87</c:v>
                </c:pt>
                <c:pt idx="1">
                  <c:v>62</c:v>
                </c:pt>
                <c:pt idx="2">
                  <c:v>0</c:v>
                </c:pt>
                <c:pt idx="3">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manualLayout>
          <c:xMode val="edge"/>
          <c:yMode val="edge"/>
          <c:x val="0.935"/>
          <c:y val="0.432974409448819"/>
        </c:manualLayout>
      </c:layout>
      <c:overlay val="false"/>
      <c:spPr>
        <a:noFill/>
        <a:ln>
          <a:noFill/>
        </a:ln>
        <a:effectLst/>
      </c:spPr>
      <c:txPr>
        <a:bodyPr rot="0" spcFirstLastPara="0" vertOverflow="ellipsis" horzOverflow="overflow"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true"/>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lgn="ctr" defTabSz="914400">
              <a:defRPr lang="zh-CN" sz="1800" b="1" i="0" u="none" strike="noStrike" kern="1200" baseline="0">
                <a:solidFill>
                  <a:schemeClr val="dk1">
                    <a:lumMod val="75000"/>
                    <a:lumOff val="25000"/>
                  </a:schemeClr>
                </a:solidFill>
                <a:latin typeface="+mn-lt"/>
                <a:ea typeface="+mn-ea"/>
                <a:cs typeface="+mn-cs"/>
              </a:defRPr>
            </a:pPr>
            <a:r>
              <a:t>支出结构图</a:t>
            </a:r>
          </a:p>
        </c:rich>
      </c:tx>
      <c:layout/>
      <c:overlay val="false"/>
      <c:spPr>
        <a:noFill/>
        <a:ln>
          <a:noFill/>
        </a:ln>
        <a:effectLst/>
      </c:spPr>
    </c:title>
    <c:autoTitleDeleted val="false"/>
    <c:plotArea>
      <c:layout/>
      <c:pieChart>
        <c:varyColors val="true"/>
        <c:ser>
          <c:idx val="0"/>
          <c:order val="0"/>
          <c:tx>
            <c:strRef>
              <c:f>Sheet1!$B$1</c:f>
              <c:strCache>
                <c:ptCount val="1"/>
                <c:pt idx="0">
                  <c:v>支出情况图</c:v>
                </c:pt>
              </c:strCache>
            </c:strRef>
          </c:tx>
          <c:spPr>
            <a:effectLst/>
          </c:spPr>
          <c:explosion val="0"/>
          <c:dPt>
            <c:idx val="0"/>
            <c:bubble3D val="false"/>
            <c:explosion val="0"/>
            <c:spPr>
              <a:solidFill>
                <a:schemeClr val="accent1"/>
              </a:solidFill>
              <a:ln>
                <a:noFill/>
              </a:ln>
              <a:effectLst>
                <a:outerShdw blurRad="254000" sx="102000" sy="102000" algn="ctr" rotWithShape="0">
                  <a:prstClr val="black">
                    <a:alpha val="20000"/>
                  </a:prstClr>
                </a:outerShdw>
              </a:effectLst>
            </c:spPr>
          </c:dPt>
          <c:dPt>
            <c:idx val="1"/>
            <c:bubble3D val="false"/>
            <c:explosion val="0"/>
            <c:spPr>
              <a:solidFill>
                <a:schemeClr val="accent2"/>
              </a:solidFill>
              <a:ln>
                <a:noFill/>
              </a:ln>
              <a:effectLst>
                <a:outerShdw blurRad="254000" sx="102000" sy="102000" algn="ctr" rotWithShape="0">
                  <a:prstClr val="black">
                    <a:alpha val="20000"/>
                  </a:prstClr>
                </a:outerShdw>
              </a:effectLst>
            </c:spPr>
          </c:dPt>
          <c:dPt>
            <c:idx val="2"/>
            <c:bubble3D val="false"/>
            <c:explosion val="0"/>
            <c:spPr>
              <a:solidFill>
                <a:schemeClr val="accent3"/>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true"/>
                  <a:lstStyle/>
                  <a:p>
                    <a:pPr algn="ctr" defTabSz="914400">
                      <a:defRPr lang="zh-CN" sz="1000" b="0" i="0" u="none" strike="noStrike" kern="1200" baseline="0">
                        <a:solidFill>
                          <a:schemeClr val="tx1"/>
                        </a:solidFill>
                        <a:latin typeface="+mn-lt"/>
                        <a:ea typeface="+mn-ea"/>
                        <a:cs typeface="+mn-cs"/>
                      </a:defRPr>
                    </a:pPr>
                    <a:r>
                      <a:t>基本支出,</a:t>
                    </a:r>
                    <a:r>
                      <a:rPr lang="en-US" altLang="zh-CN"/>
                      <a:t>82.02</a:t>
                    </a:r>
                    <a:r>
                      <a:t>%</a:t>
                    </a:r>
                  </a:p>
                </c:rich>
              </c:tx>
              <c:numFmt formatCode="General" sourceLinked="true"/>
              <c:spPr>
                <a:noFill/>
                <a:ln>
                  <a:noFill/>
                </a:ln>
                <a:effectLst/>
              </c:spPr>
              <c:txPr>
                <a:bodyPr rot="0" spcFirstLastPara="0" vertOverflow="ellipsis" vert="horz" wrap="square" lIns="38100" tIns="19050" rIns="38100" bIns="19050" anchor="ctr" anchorCtr="true"/>
                <a:lstStyle/>
                <a:p>
                  <a:pPr algn="ctr">
                    <a:defRPr lang="zh-CN" sz="1000" b="0" i="0" u="none" strike="noStrike" kern="1200" baseline="0">
                      <a:solidFill>
                        <a:schemeClr val="tx1"/>
                      </a:solidFill>
                      <a:latin typeface="+mn-lt"/>
                      <a:ea typeface="+mn-ea"/>
                      <a:cs typeface="+mn-cs"/>
                    </a:defRPr>
                  </a:pPr>
                </a:p>
              </c:txPr>
              <c:dLblPos val="ctr"/>
              <c:showLegendKey val="false"/>
              <c:showVal val="true"/>
              <c:showCatName val="true"/>
              <c:showSerName val="false"/>
              <c:showPercent val="tru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algn="ctr" defTabSz="914400">
                      <a:defRPr lang="zh-CN" sz="1000" b="0" i="0" u="none" strike="noStrike" kern="1200" baseline="0">
                        <a:solidFill>
                          <a:schemeClr val="tx1"/>
                        </a:solidFill>
                        <a:latin typeface="+mn-lt"/>
                        <a:ea typeface="+mn-ea"/>
                        <a:cs typeface="+mn-cs"/>
                      </a:defRPr>
                    </a:pPr>
                    <a:r>
                      <a:t>项目支出, </a:t>
                    </a:r>
                    <a:r>
                      <a:rPr lang="en-US" altLang="zh-CN"/>
                      <a:t>17.98</a:t>
                    </a:r>
                    <a:r>
                      <a:t>%</a:t>
                    </a:r>
                  </a:p>
                </c:rich>
              </c:tx>
              <c:numFmt formatCode="General" sourceLinked="true"/>
              <c:spPr>
                <a:noFill/>
                <a:ln>
                  <a:noFill/>
                </a:ln>
                <a:effectLst/>
              </c:spPr>
              <c:txPr>
                <a:bodyPr rot="0" spcFirstLastPara="0" vertOverflow="ellipsis" vert="horz" wrap="square" lIns="38100" tIns="19050" rIns="38100" bIns="19050" anchor="ctr" anchorCtr="true"/>
                <a:lstStyle/>
                <a:p>
                  <a:pPr algn="ctr">
                    <a:defRPr lang="zh-CN" sz="1000" b="0" i="0" u="none" strike="noStrike" kern="1200" baseline="0">
                      <a:solidFill>
                        <a:schemeClr val="tx1"/>
                      </a:solidFill>
                      <a:latin typeface="+mn-lt"/>
                      <a:ea typeface="+mn-ea"/>
                      <a:cs typeface="+mn-cs"/>
                    </a:defRPr>
                  </a:pPr>
                </a:p>
              </c:txPr>
              <c:dLblPos val="ctr"/>
              <c:showLegendKey val="false"/>
              <c:showVal val="true"/>
              <c:showCatName val="true"/>
              <c:showSerName val="false"/>
              <c:showPercent val="true"/>
              <c:showBubbleSize val="false"/>
              <c:extLst>
                <c:ext xmlns:c15="http://schemas.microsoft.com/office/drawing/2012/chart" uri="{CE6537A1-D6FC-4f65-9D91-7224C49458BB}"/>
              </c:extLst>
            </c:dLbl>
            <c:numFmt formatCode="General" sourceLinked="true"/>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horzOverflow="overflow"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dk1">
                          <a:lumMod val="50000"/>
                          <a:lumOff val="50000"/>
                        </a:schemeClr>
                      </a:solidFill>
                      <a:prstDash val="solid"/>
                      <a:round/>
                    </a:ln>
                    <a:effectLst/>
                  </c:spPr>
                </c15:leaderLines>
              </c:ext>
            </c:extLst>
          </c:dLbls>
          <c:cat>
            <c:strRef>
              <c:f>Sheet1!$A$2:$A$4</c:f>
              <c:strCache>
                <c:ptCount val="3"/>
                <c:pt idx="0">
                  <c:v>基本支出</c:v>
                </c:pt>
                <c:pt idx="1">
                  <c:v>项目支出</c:v>
                </c:pt>
              </c:strCache>
            </c:strRef>
          </c:cat>
          <c:val>
            <c:numRef>
              <c:f>Sheet1!$B$2:$B$4</c:f>
              <c:numCache>
                <c:formatCode>General</c:formatCode>
                <c:ptCount val="3"/>
                <c:pt idx="0">
                  <c:v>77.57</c:v>
                </c:pt>
                <c:pt idx="1">
                  <c:v>17</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horzOverflow="overflow"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rot="0" spcFirstLastPara="0" vertOverflow="ellipsis" horzOverflow="overflow" vert="horz" wrap="square" anchor="ctr" anchorCtr="true"/>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a:t>
            </a:r>
            <a:r>
              <a:t>财政拨款收入支出情况表</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numFmt formatCode="General" sourceLinked="true"/>
            <c:spPr>
              <a:noFill/>
              <a:ln>
                <a:noFill/>
              </a:ln>
              <a:effectLst/>
            </c:spPr>
            <c:txPr>
              <a:bodyPr rot="0" spcFirstLastPara="0" vertOverflow="ellipsis" horzOverflow="overflow"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63.2</c:v>
                </c:pt>
                <c:pt idx="1">
                  <c:v>109.87</c:v>
                </c:pt>
              </c:numCache>
            </c:numRef>
          </c:val>
        </c:ser>
        <c:ser>
          <c:idx val="1"/>
          <c:order val="1"/>
          <c:tx>
            <c:strRef>
              <c:f>Sheet1!$C$1</c:f>
              <c:strCache>
                <c:ptCount val="1"/>
                <c:pt idx="0">
                  <c:v>支出</c:v>
                </c:pt>
              </c:strCache>
            </c:strRef>
          </c:tx>
          <c:spPr>
            <a:solidFill>
              <a:schemeClr val="accent2"/>
            </a:solidFill>
            <a:ln>
              <a:noFill/>
            </a:ln>
            <a:effectLst/>
          </c:spPr>
          <c:invertIfNegative val="false"/>
          <c:dLbls>
            <c:numFmt formatCode="General" sourceLinked="true"/>
            <c:spPr>
              <a:noFill/>
              <a:ln>
                <a:noFill/>
              </a:ln>
              <a:effectLst/>
            </c:spPr>
            <c:txPr>
              <a:bodyPr rot="0" spcFirstLastPara="0" vertOverflow="ellipsis" horzOverflow="overflow"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Sheet1!$C$2:$C$3</c:f>
              <c:numCache>
                <c:formatCode>General</c:formatCode>
                <c:ptCount val="2"/>
                <c:pt idx="0">
                  <c:v>84.43</c:v>
                </c:pt>
                <c:pt idx="1">
                  <c:v>94.57</c:v>
                </c:pt>
              </c:numCache>
            </c:numRef>
          </c:val>
        </c:ser>
        <c:dLbls>
          <c:showLegendKey val="false"/>
          <c:showVal val="true"/>
          <c:showCatName val="false"/>
          <c:showSerName val="false"/>
          <c:showPercent val="false"/>
          <c:showBubbleSize val="false"/>
        </c:dLbls>
        <c:gapWidth val="219"/>
        <c:overlap val="-27"/>
        <c:axId val="387270296"/>
        <c:axId val="776458751"/>
      </c:barChart>
      <c:catAx>
        <c:axId val="387270296"/>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76458751"/>
        <c:crosses val="autoZero"/>
        <c:auto val="true"/>
        <c:lblAlgn val="ctr"/>
        <c:lblOffset val="100"/>
        <c:noMultiLvlLbl val="false"/>
      </c:catAx>
      <c:valAx>
        <c:axId val="77645875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horzOverflow="overflow"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87270296"/>
        <c:crosses val="autoZero"/>
        <c:crossBetween val="between"/>
      </c:valAx>
      <c:spPr>
        <a:noFill/>
        <a:ln>
          <a:noFill/>
        </a:ln>
        <a:effectLst/>
      </c:spPr>
    </c:plotArea>
    <c:legend>
      <c:legendPos val="b"/>
      <c:layout/>
      <c:overlay val="false"/>
      <c:spPr>
        <a:noFill/>
        <a:ln>
          <a:noFill/>
        </a:ln>
        <a:effectLst/>
      </c:spPr>
      <c:txPr>
        <a:bodyPr rot="0" spcFirstLastPara="0" vertOverflow="ellipsis" horzOverflow="overflow"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true"/>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lgn="ctr" defTabSz="914400">
              <a:defRPr lang="zh-CN" sz="1400" b="0" i="0" u="none" strike="noStrike" kern="1200" spc="0" baseline="0">
                <a:solidFill>
                  <a:schemeClr val="tx1">
                    <a:lumMod val="65000"/>
                    <a:lumOff val="35000"/>
                  </a:schemeClr>
                </a:solidFill>
                <a:latin typeface="+mn-lt"/>
                <a:ea typeface="+mn-ea"/>
                <a:cs typeface="+mn-cs"/>
              </a:defRPr>
            </a:pPr>
            <a:r>
              <a:t>201</a:t>
            </a:r>
            <a:r>
              <a:rPr lang="en-US" altLang="zh-CN"/>
              <a:t>21</a:t>
            </a:r>
            <a:r>
              <a:t>年财政拨款支出情况表</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财政拨款支出</c:v>
                </c:pt>
              </c:strCache>
            </c:strRef>
          </c:tx>
          <c:spPr>
            <a:solidFill>
              <a:schemeClr val="accent1"/>
            </a:solidFill>
            <a:ln>
              <a:noFill/>
            </a:ln>
            <a:effectLst/>
          </c:spPr>
          <c:invertIfNegative val="false"/>
          <c:dLbls>
            <c:numFmt formatCode="General" sourceLinked="true"/>
            <c:spPr>
              <a:noFill/>
              <a:ln>
                <a:noFill/>
              </a:ln>
              <a:effectLst/>
            </c:spPr>
            <c:txPr>
              <a:bodyPr rot="0" spcFirstLastPara="0" vertOverflow="ellipsis" horzOverflow="overflow"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false"/>
            <c:dispEq val="false"/>
          </c:trendline>
          <c:cat>
            <c:strRef>
              <c:f>Sheet1!$A$2:$A$3</c:f>
              <c:strCache>
                <c:ptCount val="2"/>
                <c:pt idx="0">
                  <c:v>2020年</c:v>
                </c:pt>
                <c:pt idx="1">
                  <c:v>2021年</c:v>
                </c:pt>
              </c:strCache>
            </c:strRef>
          </c:cat>
          <c:val>
            <c:numRef>
              <c:f>Sheet1!$B$2:$B$3</c:f>
              <c:numCache>
                <c:formatCode>General</c:formatCode>
                <c:ptCount val="2"/>
                <c:pt idx="0">
                  <c:v>48.81</c:v>
                </c:pt>
                <c:pt idx="1">
                  <c:v>60.52</c:v>
                </c:pt>
              </c:numCache>
            </c:numRef>
          </c:val>
        </c:ser>
        <c:dLbls>
          <c:showLegendKey val="false"/>
          <c:showVal val="true"/>
          <c:showCatName val="false"/>
          <c:showSerName val="false"/>
          <c:showPercent val="false"/>
          <c:showBubbleSize val="false"/>
        </c:dLbls>
        <c:gapWidth val="219"/>
        <c:overlap val="-27"/>
        <c:axId val="875413967"/>
        <c:axId val="855231926"/>
      </c:barChart>
      <c:catAx>
        <c:axId val="875413967"/>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55231926"/>
        <c:crosses val="autoZero"/>
        <c:auto val="true"/>
        <c:lblAlgn val="ctr"/>
        <c:lblOffset val="100"/>
        <c:noMultiLvlLbl val="false"/>
      </c:catAx>
      <c:valAx>
        <c:axId val="85523192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horzOverflow="overflow"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75413967"/>
        <c:crosses val="autoZero"/>
        <c:crossBetween val="between"/>
      </c:valAx>
      <c:spPr>
        <a:noFill/>
        <a:ln>
          <a:noFill/>
        </a:ln>
        <a:effectLst/>
      </c:spPr>
    </c:plotArea>
    <c:legend>
      <c:legendPos val="b"/>
      <c:layout/>
      <c:overlay val="false"/>
      <c:spPr>
        <a:noFill/>
        <a:ln>
          <a:noFill/>
        </a:ln>
        <a:effectLst/>
      </c:spPr>
      <c:txPr>
        <a:bodyPr rot="0" spcFirstLastPara="0" vertOverflow="ellipsis" horzOverflow="overflow"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true"/>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2021-09-30T02:14:00Z</dcterms:created>
  <dc:creator>Lenovo</dc:creator>
  <cp:lastModifiedBy>ankang</cp:lastModifiedBy>
  <dcterms:modified xsi:type="dcterms:W3CDTF">2023-10-17T11:37:50Z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2022-01-25T09:15:53Z</vt:filetime>
  </property>
  <property fmtid="{D5CDD505-2E9C-101B-9397-08002B2CF9AE}" pid="4" name="KSOProductBuildVer">
    <vt:lpwstr>2052-11.8.2.10422</vt:lpwstr>
  </property>
</Properties>
</file>