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附件1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highlight w:val="none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highlight w:val="none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highlight w:val="none"/>
          <w:lang w:eastAsia="zh-CN"/>
        </w:rPr>
        <w:t>镇坪县城关镇人民政府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highlight w:val="none"/>
        </w:rPr>
        <w:t>20</w:t>
      </w:r>
      <w:r>
        <w:rPr>
          <w:rFonts w:hint="eastAsia" w:ascii="黑体" w:hAnsi="黑体" w:eastAsia="黑体" w:cs="黑体"/>
          <w:sz w:val="36"/>
          <w:szCs w:val="36"/>
          <w:highlight w:val="none"/>
          <w:lang w:val="en-US" w:eastAsia="zh-CN"/>
        </w:rPr>
        <w:t>23</w:t>
      </w:r>
      <w:r>
        <w:rPr>
          <w:rFonts w:hint="eastAsia" w:ascii="黑体" w:hAnsi="黑体" w:eastAsia="黑体" w:cs="黑体"/>
          <w:sz w:val="36"/>
          <w:szCs w:val="36"/>
          <w:highlight w:val="none"/>
        </w:rPr>
        <w:t>年部门</w:t>
      </w:r>
      <w:r>
        <w:rPr>
          <w:rFonts w:hint="eastAsia" w:ascii="黑体" w:hAnsi="黑体" w:eastAsia="黑体" w:cs="黑体"/>
          <w:sz w:val="36"/>
          <w:szCs w:val="36"/>
          <w:highlight w:val="none"/>
          <w:lang w:eastAsia="zh-CN"/>
        </w:rPr>
        <w:t>预算公开说明</w:t>
      </w:r>
    </w:p>
    <w:p>
      <w:pPr>
        <w:jc w:val="both"/>
        <w:rPr>
          <w:rFonts w:hint="eastAsia"/>
          <w:highlight w:val="none"/>
          <w:lang w:eastAsia="zh-CN"/>
        </w:rPr>
      </w:pPr>
    </w:p>
    <w:p>
      <w:pPr>
        <w:jc w:val="center"/>
        <w:rPr>
          <w:rFonts w:hint="eastAsia"/>
          <w:sz w:val="36"/>
          <w:szCs w:val="36"/>
          <w:highlight w:val="none"/>
          <w:lang w:eastAsia="zh-CN"/>
        </w:rPr>
      </w:pPr>
      <w:r>
        <w:rPr>
          <w:rFonts w:hint="eastAsia"/>
          <w:b/>
          <w:bCs/>
          <w:sz w:val="36"/>
          <w:szCs w:val="36"/>
          <w:highlight w:val="none"/>
          <w:lang w:eastAsia="zh-CN"/>
        </w:rPr>
        <w:t>目录</w:t>
      </w:r>
    </w:p>
    <w:p>
      <w:pPr>
        <w:jc w:val="left"/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eastAsia="zh-CN"/>
        </w:rPr>
        <w:t>第一部分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  <w:t xml:space="preserve"> 部门概况</w:t>
      </w:r>
    </w:p>
    <w:p>
      <w:pPr>
        <w:jc w:val="left"/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  <w:t>一、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主要职责</w:t>
      </w:r>
      <w: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  <w:t>及机构设置</w:t>
      </w:r>
    </w:p>
    <w:p>
      <w:pPr>
        <w:rPr>
          <w:rFonts w:hint="eastAsia" w:ascii="宋体" w:hAnsi="宋体" w:eastAsia="宋体" w:cs="宋体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sz w:val="32"/>
          <w:szCs w:val="32"/>
          <w:highlight w:val="none"/>
        </w:rPr>
        <w:t>二、工作任务</w:t>
      </w:r>
    </w:p>
    <w:p>
      <w:pPr>
        <w:rPr>
          <w:rFonts w:hint="eastAsia" w:ascii="宋体" w:hAnsi="宋体" w:eastAsia="宋体" w:cs="宋体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sz w:val="32"/>
          <w:szCs w:val="32"/>
          <w:highlight w:val="none"/>
        </w:rPr>
        <w:t>三、预算单位构成</w:t>
      </w:r>
    </w:p>
    <w:p>
      <w:pPr>
        <w:rPr>
          <w:rFonts w:hint="eastAsia" w:ascii="宋体" w:hAnsi="宋体" w:eastAsia="宋体" w:cs="宋体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sz w:val="32"/>
          <w:szCs w:val="32"/>
          <w:highlight w:val="none"/>
        </w:rPr>
        <w:t>四、人员情况说明</w:t>
      </w:r>
    </w:p>
    <w:p>
      <w:pP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eastAsia="zh-CN"/>
        </w:rPr>
        <w:t>第二部分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  <w:t xml:space="preserve"> 收支情况</w:t>
      </w:r>
    </w:p>
    <w:p>
      <w:pPr>
        <w:rPr>
          <w:rFonts w:hint="eastAsia" w:ascii="宋体" w:hAnsi="宋体" w:eastAsia="宋体" w:cs="宋体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  <w:t>五、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收支说明</w:t>
      </w:r>
    </w:p>
    <w:p>
      <w:pP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eastAsia="zh-CN"/>
        </w:rPr>
        <w:t>第三部分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  <w:t xml:space="preserve">  其他情况</w:t>
      </w:r>
    </w:p>
    <w:p>
      <w:pPr>
        <w:rPr>
          <w:rFonts w:hint="eastAsia" w:ascii="宋体" w:hAnsi="宋体" w:eastAsia="宋体" w:cs="宋体"/>
          <w:sz w:val="32"/>
          <w:szCs w:val="32"/>
          <w:highlight w:val="none"/>
          <w:u w:val="single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  <w:t>六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、</w:t>
      </w:r>
      <w:r>
        <w:rPr>
          <w:rFonts w:hint="eastAsia" w:ascii="宋体" w:hAnsi="宋体" w:eastAsia="宋体" w:cs="宋体"/>
          <w:sz w:val="32"/>
          <w:szCs w:val="32"/>
          <w:highlight w:val="none"/>
          <w:u w:val="none"/>
          <w:lang w:eastAsia="zh-CN"/>
        </w:rPr>
        <w:t>“三公”经费及会议费、培训费情况说明</w:t>
      </w:r>
    </w:p>
    <w:p>
      <w:pP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  <w:t>七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、国有资产占有使用</w:t>
      </w:r>
      <w: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  <w:t>及资产购置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情况说明</w:t>
      </w:r>
    </w:p>
    <w:p>
      <w:pPr>
        <w:rPr>
          <w:rFonts w:hint="eastAsia" w:ascii="宋体" w:hAnsi="宋体" w:eastAsia="宋体" w:cs="宋体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  <w:t>八、政府采购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情况说明</w:t>
      </w:r>
    </w:p>
    <w:p>
      <w:pPr>
        <w:rPr>
          <w:rFonts w:hint="eastAsia" w:ascii="宋体" w:hAnsi="宋体" w:eastAsia="宋体" w:cs="宋体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  <w:t>九、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绩效目标说明</w:t>
      </w:r>
    </w:p>
    <w:p>
      <w:pP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  <w:t>十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、</w:t>
      </w:r>
      <w: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  <w:t>机关运行经费安排说明</w:t>
      </w:r>
    </w:p>
    <w:p>
      <w:pP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十一、</w:t>
      </w:r>
      <w: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  <w:t>专业名词解释</w:t>
      </w:r>
    </w:p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eastAsia="zh-CN"/>
        </w:rPr>
        <w:t>第四部分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  <w:t xml:space="preserve">  公开报表</w:t>
      </w:r>
    </w:p>
    <w:p>
      <w:pP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  <w:br w:type="page"/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eastAsia="zh-CN"/>
        </w:rPr>
        <w:t>第一部分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  <w:t xml:space="preserve">  部门概况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ab/>
      </w:r>
      <w:r>
        <w:rPr>
          <w:rFonts w:hint="eastAsia"/>
          <w:highlight w:val="none"/>
        </w:rPr>
        <w:tab/>
      </w:r>
      <w:r>
        <w:rPr>
          <w:rFonts w:hint="eastAsia"/>
          <w:highlight w:val="none"/>
        </w:rPr>
        <w:tab/>
      </w:r>
      <w:r>
        <w:rPr>
          <w:rFonts w:hint="eastAsia"/>
          <w:highlight w:val="none"/>
        </w:rPr>
        <w:tab/>
      </w:r>
      <w:r>
        <w:rPr>
          <w:rFonts w:hint="eastAsia"/>
          <w:highlight w:val="none"/>
        </w:rPr>
        <w:tab/>
      </w:r>
      <w:r>
        <w:rPr>
          <w:rFonts w:hint="eastAsia"/>
          <w:highlight w:val="none"/>
        </w:rPr>
        <w:tab/>
      </w:r>
      <w:r>
        <w:rPr>
          <w:rFonts w:hint="eastAsia"/>
          <w:highlight w:val="none"/>
        </w:rPr>
        <w:tab/>
      </w:r>
      <w:r>
        <w:rPr>
          <w:rFonts w:hint="eastAsia"/>
          <w:highlight w:val="none"/>
        </w:rPr>
        <w:tab/>
      </w:r>
      <w:r>
        <w:rPr>
          <w:rFonts w:hint="eastAsia"/>
          <w:highlight w:val="none"/>
        </w:rPr>
        <w:tab/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一、主要职责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及机构设置</w:t>
      </w:r>
    </w:p>
    <w:p>
      <w:pPr>
        <w:widowControl/>
        <w:ind w:firstLine="643" w:firstLineChars="200"/>
        <w:jc w:val="left"/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bidi="ar"/>
        </w:rPr>
        <w:t>（一）主要职责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eastAsia="zh-CN" w:bidi="ar"/>
        </w:rPr>
        <w:t>。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党委工作职责： 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1、贯彻党的各项方针政策和上级党委的指示、决定。 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2、讨论决定本镇经济建设和社会发展重大问题。 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3、加强党委自身建设，抓好以党支部为核心的基层组织配套建设和辖区各非公党组织建设，充分发挥基层组织和党员的作用，做好发展党员工作。 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4、加强对干部的管理、教育、培训、考核、选拔，按干部管理权限搞好任免和奖惩工作。 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5、认真做好思想政治工作，抓好精神文明建设和公民道德建设，提高全民素质，维护本镇的社会稳定。 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6、加强和改善对镇人大、政府的领导和协调，使其依法行使职权；加强对工会、共青团、妇联、武装部等组织的领导，及时研究讨论群团组织工作中的重大问题，支持各组织根据各自特点开展活动，充分发挥其作用。 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7、完成上级党委交办的其他事项。 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政府工作职责：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、制定和组织实施经济和社会发展计划，组织指导好各产业生产，搞好商品流通，协调好本镇与外地区的经济交流与合作，抓好招商引资，人才引进项目开发，不断培育市场体系，组织经济运行，促进经济发展。 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、制定并组织实施村镇建设规划，部署并实施重点工程及民生项目建设，负责土地、林木、水等自然资源和生态环境的保护，做好环境卫生综合整治，全面深入推进河长制，加强河道巡察和管理、护林防火等工作。 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3、负责本行政区域内的民政、计划生育、文化教育、卫生、体育等社会公益事业的综合性工作，维护一切经济单位和个人的正当经济权益，调解和处理民事纠纷，维护社会稳定。 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4、加强培植税源，管好财政资金，增强财政实力。 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5、加强新民风建设，抓好精神文明建设，丰富群众文化生活，提倡移风易俗，反对封建迷信，破除陈规陋习，树立社会主义新风尚。 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6、完成党委及上级各部门交办的其它事项。</w:t>
      </w:r>
    </w:p>
    <w:p>
      <w:pPr>
        <w:widowControl/>
        <w:ind w:firstLine="643" w:firstLineChars="200"/>
        <w:jc w:val="left"/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bidi="ar"/>
        </w:rPr>
        <w:t>（二）内设机构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eastAsia="zh-CN" w:bidi="ar"/>
        </w:rPr>
        <w:t>。</w:t>
      </w:r>
    </w:p>
    <w:p>
      <w:pPr>
        <w:widowControl/>
        <w:ind w:firstLine="640" w:firstLineChars="200"/>
        <w:jc w:val="left"/>
        <w:rPr>
          <w:rFonts w:hint="eastAsia" w:ascii="楷体" w:hAnsi="楷体" w:eastAsia="楷体" w:cs="楷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镇坪县城关镇人民政府内设“四办三站一中心”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分别为：党政综合办公室、经济发展办公室、社会治理办公室、综合执法办公室、农业综合服务站、社会保障服务站、公用事业服务站、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便民服务中心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。</w:t>
      </w:r>
    </w:p>
    <w:p>
      <w:p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二、工作任务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我镇财政工作将在镇党委、政府的正确领导下，全面推进乡村振兴工作，加快农业农村现代化进程。为保证财政预算的圆满完成，我们将努力做好以下三方面工作：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坚持突出重点，推动乡镇协调发展。</w:t>
      </w:r>
      <w:r>
        <w:rPr>
          <w:rFonts w:hint="eastAsia" w:ascii="仿宋_GB2312" w:hAnsi="仿宋_GB2312" w:eastAsia="仿宋_GB2312" w:cs="仿宋_GB2312"/>
          <w:sz w:val="32"/>
          <w:szCs w:val="32"/>
        </w:rPr>
        <w:t>一是不断巩固脱贫攻坚成果，加大农村基础设施管护投入力度，加快培育特色农业品牌，大力发展新型农业经营主体，打造乡村振兴示范样板。二是深化农村综合改革，做好“一事一议”财政奖补工作。三是继续发挥政策性农业保险作用，促进农业增产增效。四是继续支持意识形态、扫黑除恶、社会治安综合治理等工作，推进人居环境建设，为人民群众打造安居乐业的良好环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加强管理，严格控制“三保”支出。</w:t>
      </w:r>
      <w:r>
        <w:rPr>
          <w:rFonts w:hint="eastAsia" w:ascii="仿宋_GB2312" w:hAnsi="仿宋_GB2312" w:eastAsia="仿宋_GB2312" w:cs="仿宋_GB2312"/>
          <w:sz w:val="32"/>
          <w:szCs w:val="32"/>
        </w:rPr>
        <w:t>把加强“三保”作为当前财政工作最根本的出发点和落脚点，牢牢将“三保”支出控制在预算盘子内。一是压减日常开支。认真贯彻中央八项规定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和《党政机关厉行节约反对浪费条例》等各项规定，牢固树立过“紧日子”思想，厉行节约，反对浪费，“三公”经费只减不增，对一般性支出和非急需、非刚性支出继续进行压减。二是严控预算安排。根据《预算法》的规定，继续坚持“先有预算后有支出”，无预算、超预算原则上不得安排支出，督促整改预算执行中的铺张浪费、绩效低下的项目，削减或取消把关不严、低效无效的资金。三是严格财务管理。进一步健全完善内部财务管理制度，定期检查审计，提高财务管理水平，堵塞制度漏洞，确保收支平衡，严防管理风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发挥职能，持续保障民生工程。</w:t>
      </w:r>
      <w:r>
        <w:rPr>
          <w:rFonts w:hint="eastAsia" w:ascii="仿宋_GB2312" w:hAnsi="仿宋_GB2312" w:eastAsia="仿宋_GB2312" w:cs="仿宋_GB2312"/>
          <w:sz w:val="32"/>
          <w:szCs w:val="32"/>
        </w:rPr>
        <w:t>一是加快建立基本公共服务体系，继续加大对教育、社会保障和就业、医疗卫生、环境保护、公共安全、农村基层组织建设、巩固脱贫成效等方面的投入，创造更多福祉惠及人民群众。二是完善财政补贴“一卡通”发放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支持农村经济发展，不断支持养老事业发展，落实好城乡居民三项基金，做好兜底保障措施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确保惠民政策落实到位，发放耕地地力保护补贴等涉农补贴，改善农村生产生活条件，支持基础设施管护、河长制管理、特色乡村等项目制度建设，不断增进民生福祉。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强化监督，确保财政行稳致远。</w:t>
      </w:r>
      <w:r>
        <w:rPr>
          <w:rFonts w:hint="eastAsia" w:ascii="仿宋_GB2312" w:hAnsi="仿宋_GB2312" w:eastAsia="仿宋_GB2312" w:cs="仿宋_GB2312"/>
          <w:sz w:val="32"/>
          <w:szCs w:val="32"/>
        </w:rPr>
        <w:t>一是加强财政资金特别是专项资金使用的全程监管，确保资金及时、准确拨付到位。二是根据镇级自身内控情况，进一步查漏补缺，明确岗位系统职责，严格区分不相融和关键岗位，保障政府高效运行。三是完善全过程财政监督体系，创新财政监督管理方式，加大对重大财税政策落实、财政收支管理、重点项目的监督检查力度。</w:t>
      </w:r>
    </w:p>
    <w:p>
      <w:p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三、预算单位构成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从预算单位构成看，本部门的部门预算包括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镇坪县城关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镇人民政府本级单位预算1个，无下属事业单位，属于一级预算单位，经费管理方式为财政全额拨款。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5678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eastAsia="zh-CN"/>
              </w:rPr>
              <w:t>序号</w:t>
            </w:r>
          </w:p>
        </w:tc>
        <w:tc>
          <w:tcPr>
            <w:tcW w:w="567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eastAsia="zh-CN"/>
              </w:rPr>
              <w:t>单位名称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eastAsia="zh-CN"/>
              </w:rPr>
              <w:t>拟变动情况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567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镇坪县城关镇人民政府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部门本级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机关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84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</w:p>
    <w:p>
      <w:p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四、人员情况说明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截止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2022年底，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本部门人员编制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71人，其中行政编制35人、事业编制36人；实有人员67人，其中行政33人、事业34人。单位管理的离退休人员25人。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object>
          <v:shape id="_x0000_i1025" o:spt="75" type="#_x0000_t75" style="height:222.75pt;width:385.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xcel.Chart.8" ShapeID="_x0000_i1025" DrawAspect="Content" ObjectID="_1468075725" r:id="rId4">
            <o:LockedField>false</o:LockedField>
          </o:OLEObject>
        </w:object>
      </w:r>
    </w:p>
    <w:p>
      <w:pPr>
        <w:ind w:firstLine="640"/>
        <w:rPr>
          <w:rFonts w:hint="eastAsia" w:ascii="仿宋_GB2312" w:hAnsi="仿宋_GB2312" w:eastAsia="仿宋_GB2312" w:cs="仿宋_GB2312"/>
          <w:sz w:val="21"/>
          <w:szCs w:val="21"/>
          <w:highlight w:val="none"/>
          <w:lang w:val="en-US" w:eastAsia="zh-CN"/>
        </w:rPr>
      </w:pPr>
    </w:p>
    <w:p>
      <w:pPr>
        <w:ind w:firstLine="64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第二部分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 xml:space="preserve">  收支情况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、收支说明</w:t>
      </w:r>
    </w:p>
    <w:p>
      <w:p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收支预算总体情况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按照综合预算的原则，本部门所有收入和支出均纳入部门预算管理。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本部门2023年预算收入1263.52万元，其中一般公共预算拨款收入1263.52万元，较上年增加158.4万元，主要原因是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新增在编人员4人，且工资标准调整（增加了基础性绩效奖），人员经费增加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；本部门当年预算支出1263.52万元，其中一般公共预算拨款支出1263.52万元，较上年增加158.4万元，主要原因是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新增在编人员4人，且工资标准调整（增加了基础性绩效奖），人员经费增加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（二）财政拨款收支情况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本部门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年财政拨款收入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1263.52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万元，其中一般共预算拨款收入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1263.52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万元较上年增加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158.4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万元，主要原因是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新增在编人员4人，且工资标准调整（增加了基础性绩效奖），人员经费增加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；本部门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年财政拨款支出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1263.52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万元，其中一般公共预算拨款支出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1263.52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万元，较上年增加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158.4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万元，主要原因是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新增在编人员4人，且工资标准调整（增加了基础性绩效奖），人员经费增加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（三）一般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公共预算拨款支出明细情况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一般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公共预算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当年拨款规模变化情况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本部门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年一般公共预算拨款支出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1263.52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万元，较上年增加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158.4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万元，主要原因是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新增在编人员4人，且工资标准调整（增加了基础性绩效奖），人员经费增加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2、支出按功能科目分类的明细情况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本部门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2023年一般公共预算支出1263.52万元，其中：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）行政运行（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2010301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1068.21万元，较上年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减少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21.91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万元，原因是调整了基本养老保险及住房公积金等科目；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）机关事业单位基本养老保险缴费支出（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2080505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84.06万元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较上年增加84.06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万元，原因是科目调整；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）行政单位医疗（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2101101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50.56万元，较上年增加50.56万元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，原因是科目调整；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）住房公积金（2210201）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60.68万元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较上年增加60.68万元，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原因是科目调整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3、支出按经济科目分类的明细情况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本部门2023年一般公共预算支出1263.52万元，其中：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工资福利支出（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301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748.07万元，较上年增加52.7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万元，原因是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新增在编人员4人，且工资标准调整（增加了基础性绩效奖）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商品和服务支出（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277.63万元，较上年增加23.98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万元，原因是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调整了部分科目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对个人和家庭的补助支出（303）237.82万元，较上年增加81.72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万元，原因是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调整了部分科目。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本部门2023年一般公共预算支出1263.52万元，其中：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机关工资福利支出（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501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748.07万元，较上年增加52.7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万元，原因是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新增在编人员4人，且工资标准调整（增加了基础性绩效奖）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机关商品和服务支出（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277.63万元，较上年增加23.98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万元，原因是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调整了部分科目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对个人和家庭的补助（509）237.82万元，较上年增加81.72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万元，原因是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调整了部分科目。</w:t>
      </w:r>
    </w:p>
    <w:p>
      <w:p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（四）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政府性基金预算支出情况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本部门无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当年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政府性基金预算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收支，并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已公开空表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（五）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国有资本经营预算拨款收支情况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本部门无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当年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国有资本经营预算收支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已公开空表。</w:t>
      </w:r>
    </w:p>
    <w:p>
      <w:pPr>
        <w:ind w:firstLine="640"/>
        <w:rPr>
          <w:rFonts w:hint="eastAsia" w:ascii="仿宋_GB2312" w:hAnsi="仿宋_GB2312" w:eastAsia="仿宋_GB2312" w:cs="仿宋_GB2312"/>
          <w:sz w:val="22"/>
          <w:szCs w:val="22"/>
          <w:highlight w:val="none"/>
          <w:lang w:val="en-US" w:eastAsia="zh-CN"/>
        </w:rPr>
      </w:pPr>
    </w:p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eastAsia="zh-CN"/>
        </w:rPr>
        <w:t>第三部分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  <w:t xml:space="preserve">  其他情况</w:t>
      </w:r>
    </w:p>
    <w:p>
      <w:pPr>
        <w:ind w:firstLine="64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none"/>
        </w:rPr>
        <w:t>、“三公”经费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none"/>
          <w:lang w:eastAsia="zh-CN"/>
        </w:rPr>
        <w:t>及会议费、培训费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none"/>
        </w:rPr>
        <w:t>情况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none"/>
          <w:lang w:eastAsia="zh-CN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本部门2023年一般公共预算“三公”经费预算支出7.2万元，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与上年度持平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其中：公务接待费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较上年无变化</w:t>
      </w:r>
      <w:r>
        <w:rPr>
          <w:rFonts w:hint="eastAsia" w:ascii="仿宋_GB2312" w:hAnsi="仿宋_GB2312" w:eastAsia="仿宋_GB2312" w:cs="仿宋_GB2312"/>
          <w:sz w:val="32"/>
          <w:szCs w:val="32"/>
        </w:rPr>
        <w:t>；公务用车运行费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较上年无变化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公务用车购置费0万元，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较上年无变化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本部门当年一般公共预算会议费预算支出1.49万元，较上年减少1.51万元（50.33%），减少的主要原因是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倡导厉行节约，压缩各类会议支出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 xml:space="preserve">。本部门当年一般公共预算培训费预算支出0万元，较上年无变化。 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年结转的财政拨款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三公”经费支出。</w:t>
      </w:r>
    </w:p>
    <w:p>
      <w:p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七、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国有资产占有使用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及资产购置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截止202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年底，本部门所属预算单位共有车辆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辆，单价20万元以上的设备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台（套）。202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年当年部门预算安排购置车辆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辆；安排购置单价20万元以上的设备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台（套）。</w:t>
      </w:r>
    </w:p>
    <w:p>
      <w:p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八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、政府采购情况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说明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本部门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当年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无政府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采购预算，并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已公开空表。</w:t>
      </w:r>
    </w:p>
    <w:p>
      <w:p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九、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绩效目标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情况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年本部门专项业务经费绩效目标管理全覆盖，涉及当年一般公共预算拨款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431.71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年结转的财政拨款支出涉及的绩效目标管理。</w:t>
      </w:r>
    </w:p>
    <w:p>
      <w:pPr>
        <w:ind w:firstLine="64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十、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机关运行经费安排情况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说明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本部门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2023年机关运行经费预算安排61万元，较上年持平。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年结转的财政拨款机关运行经费支出。</w:t>
      </w:r>
    </w:p>
    <w:p>
      <w:pPr>
        <w:ind w:firstLine="64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十一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、专业名词解释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机关运行经费：指各部门的公用经费，包括办公及印刷费、邮电费、差旅费、会议费、福利费、日常维修费、专用材料及一般设备购置费、办公用房水电费、办公用房取暖费、办公用房物业管理费、公务用车运行费以及其他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“三公”经费：指用财政拨款安排的因公出国（境）费、公务用车购置及运行费和公务接待费。其中，因公出国（境）费反映单位公务出国（境）的国际旅费、国外城市间交通费、住宿费、伙食费、培训费、公杂费等支出；公务用车购置及运行费反映单位公务用车车辆购置支出（含车辆购置税）及租用费、燃料费、维修费、过路过桥费、保险费、安全奖励费用等支出；公务接待费反映单位按规定开支的各类公务接待支出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3.行政运行:反映行政单位（包括实行公务员管理的事业单位）的基本支出。</w:t>
      </w:r>
    </w:p>
    <w:p>
      <w:pPr>
        <w:ind w:firstLine="640"/>
        <w:rPr>
          <w:rFonts w:hint="default" w:ascii="FangSong_GB2312" w:hAnsi="FangSong_GB2312" w:eastAsia="FangSong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第四部分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 xml:space="preserve">  公开报表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</w:p>
    <w:sectPr>
      <w:pgSz w:w="11906" w:h="16838"/>
      <w:pgMar w:top="1440" w:right="1800" w:bottom="1440" w:left="1800" w:header="851" w:footer="992" w:gutter="0"/>
      <w:cols w:space="720" w:num="1"/>
      <w:formProt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FangSong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GJiZTU1YTc2MWM5MWY3MTJjNmEzMzE3MzIzZTkwNGUifQ=="/>
  </w:docVars>
  <w:rsids>
    <w:rsidRoot w:val="00172A27"/>
    <w:rsid w:val="00030665"/>
    <w:rsid w:val="000D3C31"/>
    <w:rsid w:val="00325D3E"/>
    <w:rsid w:val="003F266E"/>
    <w:rsid w:val="00495EAC"/>
    <w:rsid w:val="00534525"/>
    <w:rsid w:val="006553D2"/>
    <w:rsid w:val="006A779A"/>
    <w:rsid w:val="007138CC"/>
    <w:rsid w:val="00715F37"/>
    <w:rsid w:val="00727AF9"/>
    <w:rsid w:val="007C1591"/>
    <w:rsid w:val="007F592D"/>
    <w:rsid w:val="00911D54"/>
    <w:rsid w:val="009B78D6"/>
    <w:rsid w:val="00CB6F2D"/>
    <w:rsid w:val="00CC7DB5"/>
    <w:rsid w:val="00E863A2"/>
    <w:rsid w:val="014A2072"/>
    <w:rsid w:val="04320FD9"/>
    <w:rsid w:val="049A40D7"/>
    <w:rsid w:val="04A216F1"/>
    <w:rsid w:val="04DD00BC"/>
    <w:rsid w:val="04FB7C1A"/>
    <w:rsid w:val="07C63897"/>
    <w:rsid w:val="09B770EC"/>
    <w:rsid w:val="0D930FB4"/>
    <w:rsid w:val="104E7D4B"/>
    <w:rsid w:val="176D6084"/>
    <w:rsid w:val="17E3395E"/>
    <w:rsid w:val="18696069"/>
    <w:rsid w:val="2B6E114C"/>
    <w:rsid w:val="2DD21556"/>
    <w:rsid w:val="2EB57C9F"/>
    <w:rsid w:val="32383B0A"/>
    <w:rsid w:val="32DB48BA"/>
    <w:rsid w:val="33801EA2"/>
    <w:rsid w:val="34B74C75"/>
    <w:rsid w:val="35457DE0"/>
    <w:rsid w:val="35555E4E"/>
    <w:rsid w:val="359252AB"/>
    <w:rsid w:val="388B0D2A"/>
    <w:rsid w:val="388F6532"/>
    <w:rsid w:val="3B975BF3"/>
    <w:rsid w:val="3DC7004C"/>
    <w:rsid w:val="4137077B"/>
    <w:rsid w:val="43606DFF"/>
    <w:rsid w:val="43922513"/>
    <w:rsid w:val="44EE2C86"/>
    <w:rsid w:val="46F073D7"/>
    <w:rsid w:val="47F51DA1"/>
    <w:rsid w:val="48246A25"/>
    <w:rsid w:val="4974495A"/>
    <w:rsid w:val="4AFD517E"/>
    <w:rsid w:val="4EAF467F"/>
    <w:rsid w:val="4F4E6E0F"/>
    <w:rsid w:val="53D82CB6"/>
    <w:rsid w:val="549A0EDD"/>
    <w:rsid w:val="572F7E79"/>
    <w:rsid w:val="5900561E"/>
    <w:rsid w:val="5A7F118D"/>
    <w:rsid w:val="5C2757BE"/>
    <w:rsid w:val="5FDD417D"/>
    <w:rsid w:val="600A3C81"/>
    <w:rsid w:val="60A76F05"/>
    <w:rsid w:val="62770932"/>
    <w:rsid w:val="63ED0CD3"/>
    <w:rsid w:val="667728BC"/>
    <w:rsid w:val="675B6F91"/>
    <w:rsid w:val="67B17BDD"/>
    <w:rsid w:val="69090D36"/>
    <w:rsid w:val="6EC40B74"/>
    <w:rsid w:val="6EF66EF9"/>
    <w:rsid w:val="6FA86D5D"/>
    <w:rsid w:val="70154C98"/>
    <w:rsid w:val="72576549"/>
    <w:rsid w:val="74A97633"/>
    <w:rsid w:val="74EA18BC"/>
    <w:rsid w:val="76C5247B"/>
    <w:rsid w:val="770A55ED"/>
    <w:rsid w:val="78B06DDB"/>
    <w:rsid w:val="7CB67331"/>
    <w:rsid w:val="7E30253F"/>
    <w:rsid w:val="7ECF5F29"/>
    <w:rsid w:val="B1E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next w:val="3"/>
    <w:qFormat/>
    <w:uiPriority w:val="0"/>
    <w:pPr>
      <w:spacing w:after="120"/>
    </w:pPr>
    <w:rPr>
      <w:sz w:val="16"/>
      <w:szCs w:val="16"/>
    </w:rPr>
  </w:style>
  <w:style w:type="paragraph" w:styleId="3">
    <w:name w:val="Body Text"/>
    <w:basedOn w:val="1"/>
    <w:next w:val="1"/>
    <w:unhideWhenUsed/>
    <w:qFormat/>
    <w:uiPriority w:val="99"/>
    <w:pPr>
      <w:spacing w:before="100" w:beforeAutospacing="1" w:after="120"/>
    </w:pPr>
  </w:style>
  <w:style w:type="paragraph" w:styleId="4">
    <w:name w:val="Plain Text"/>
    <w:basedOn w:val="1"/>
    <w:link w:val="12"/>
    <w:qFormat/>
    <w:uiPriority w:val="99"/>
    <w:rPr>
      <w:rFonts w:ascii="宋体" w:hAnsi="Courier New" w:cs="Courier New"/>
      <w:szCs w:val="21"/>
    </w:rPr>
  </w:style>
  <w:style w:type="paragraph" w:styleId="5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FollowedHyperlink"/>
    <w:basedOn w:val="9"/>
    <w:semiHidden/>
    <w:qFormat/>
    <w:uiPriority w:val="99"/>
    <w:rPr>
      <w:rFonts w:cs="Times New Roman"/>
      <w:color w:val="800080"/>
      <w:u w:val="single"/>
    </w:rPr>
  </w:style>
  <w:style w:type="character" w:styleId="11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2">
    <w:name w:val="Plain Text Char"/>
    <w:basedOn w:val="9"/>
    <w:link w:val="4"/>
    <w:qFormat/>
    <w:locked/>
    <w:uiPriority w:val="99"/>
    <w:rPr>
      <w:rFonts w:ascii="宋体" w:hAnsi="Courier New" w:eastAsia="宋体" w:cs="Courier New"/>
      <w:sz w:val="21"/>
      <w:szCs w:val="21"/>
    </w:rPr>
  </w:style>
  <w:style w:type="character" w:customStyle="1" w:styleId="13">
    <w:name w:val="Footer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Header Char"/>
    <w:basedOn w:val="9"/>
    <w:link w:val="6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10</Pages>
  <Words>3939</Words>
  <Characters>4229</Characters>
  <Lines>0</Lines>
  <Paragraphs>0</Paragraphs>
  <TotalTime>1</TotalTime>
  <ScaleCrop>false</ScaleCrop>
  <LinksUpToDate>false</LinksUpToDate>
  <CharactersWithSpaces>4266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2020-03-17T20:48:00Z</dcterms:created>
  <dc:creator>Administrator</dc:creator>
  <cp:lastModifiedBy>ankang</cp:lastModifiedBy>
  <cp:lastPrinted>2020-04-13T09:53:00Z</cp:lastPrinted>
  <dcterms:modified xsi:type="dcterms:W3CDTF">2023-10-17T11:47:17Z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F704CD4970FB49A5BBD553E799D436B7_12</vt:lpwstr>
  </property>
</Properties>
</file>