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方正小标宋_GBK"/>
          <w:sz w:val="32"/>
          <w:szCs w:val="32"/>
        </w:rPr>
      </w:pPr>
      <w:r>
        <w:rPr>
          <w:rFonts w:hint="eastAsia" w:ascii="黑体" w:hAnsi="黑体" w:eastAsia="黑体" w:cs="方正小标宋_GBK"/>
          <w:sz w:val="32"/>
          <w:szCs w:val="32"/>
        </w:rPr>
        <w:t>附件</w:t>
      </w:r>
    </w:p>
    <w:p>
      <w:pPr>
        <w:spacing w:line="58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镇坪县铁腕治霾管控扬尘督查整改工作责任清单</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6111"/>
        <w:gridCol w:w="1537"/>
        <w:gridCol w:w="1450"/>
        <w:gridCol w:w="1575"/>
        <w:gridCol w:w="20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宋体" w:hAnsi="宋体" w:cs="宋体"/>
                <w:b/>
                <w:bCs/>
                <w:sz w:val="24"/>
              </w:rPr>
            </w:pPr>
            <w:r>
              <w:rPr>
                <w:rFonts w:hint="eastAsia" w:ascii="宋体" w:hAnsi="宋体" w:cs="宋体"/>
                <w:b/>
                <w:bCs/>
                <w:sz w:val="24"/>
              </w:rPr>
              <w:t>序号</w:t>
            </w:r>
          </w:p>
        </w:tc>
        <w:tc>
          <w:tcPr>
            <w:tcW w:w="6111" w:type="dxa"/>
            <w:vAlign w:val="center"/>
          </w:tcPr>
          <w:p>
            <w:pPr>
              <w:jc w:val="center"/>
              <w:rPr>
                <w:rFonts w:ascii="宋体" w:hAnsi="宋体" w:cs="宋体"/>
                <w:b/>
                <w:bCs/>
                <w:sz w:val="24"/>
              </w:rPr>
            </w:pPr>
            <w:r>
              <w:rPr>
                <w:rFonts w:hint="eastAsia" w:ascii="宋体" w:hAnsi="宋体" w:cs="宋体"/>
                <w:b/>
                <w:bCs/>
                <w:sz w:val="24"/>
              </w:rPr>
              <w:t>工作任务</w:t>
            </w:r>
          </w:p>
        </w:tc>
        <w:tc>
          <w:tcPr>
            <w:tcW w:w="1537" w:type="dxa"/>
            <w:vAlign w:val="center"/>
          </w:tcPr>
          <w:p>
            <w:pPr>
              <w:jc w:val="center"/>
              <w:rPr>
                <w:rFonts w:ascii="宋体" w:hAnsi="宋体" w:cs="宋体"/>
                <w:b/>
                <w:bCs/>
                <w:sz w:val="24"/>
              </w:rPr>
            </w:pPr>
            <w:r>
              <w:rPr>
                <w:rFonts w:hint="eastAsia" w:ascii="宋体" w:hAnsi="宋体" w:cs="宋体"/>
                <w:b/>
                <w:bCs/>
                <w:sz w:val="24"/>
              </w:rPr>
              <w:t>责任单位</w:t>
            </w:r>
          </w:p>
        </w:tc>
        <w:tc>
          <w:tcPr>
            <w:tcW w:w="1450" w:type="dxa"/>
            <w:vAlign w:val="center"/>
          </w:tcPr>
          <w:p>
            <w:pPr>
              <w:jc w:val="center"/>
              <w:rPr>
                <w:rFonts w:ascii="宋体" w:hAnsi="宋体" w:cs="宋体"/>
                <w:b/>
                <w:bCs/>
                <w:sz w:val="24"/>
              </w:rPr>
            </w:pPr>
            <w:r>
              <w:rPr>
                <w:rFonts w:hint="eastAsia" w:ascii="宋体" w:hAnsi="宋体" w:cs="宋体"/>
                <w:b/>
                <w:bCs/>
                <w:sz w:val="24"/>
              </w:rPr>
              <w:t>责任人</w:t>
            </w:r>
          </w:p>
        </w:tc>
        <w:tc>
          <w:tcPr>
            <w:tcW w:w="1575" w:type="dxa"/>
            <w:vAlign w:val="center"/>
          </w:tcPr>
          <w:p>
            <w:pPr>
              <w:jc w:val="center"/>
              <w:rPr>
                <w:rFonts w:ascii="宋体" w:hAnsi="宋体" w:cs="宋体"/>
                <w:b/>
                <w:bCs/>
                <w:sz w:val="24"/>
              </w:rPr>
            </w:pPr>
            <w:r>
              <w:rPr>
                <w:rFonts w:hint="eastAsia" w:ascii="宋体" w:hAnsi="宋体" w:cs="宋体"/>
                <w:b/>
                <w:bCs/>
                <w:sz w:val="24"/>
              </w:rPr>
              <w:t>配合单位</w:t>
            </w:r>
          </w:p>
        </w:tc>
        <w:tc>
          <w:tcPr>
            <w:tcW w:w="2000" w:type="dxa"/>
            <w:vAlign w:val="center"/>
          </w:tcPr>
          <w:p>
            <w:pPr>
              <w:jc w:val="center"/>
              <w:rPr>
                <w:rFonts w:ascii="宋体" w:hAnsi="宋体" w:cs="宋体"/>
                <w:b/>
                <w:bCs/>
                <w:sz w:val="24"/>
              </w:rPr>
            </w:pPr>
            <w:r>
              <w:rPr>
                <w:rFonts w:hint="eastAsia" w:ascii="宋体" w:hAnsi="宋体" w:cs="宋体"/>
                <w:b/>
                <w:bCs/>
                <w:sz w:val="24"/>
              </w:rPr>
              <w:t>完成时限</w:t>
            </w:r>
          </w:p>
        </w:tc>
        <w:tc>
          <w:tcPr>
            <w:tcW w:w="789" w:type="dxa"/>
            <w:vAlign w:val="center"/>
          </w:tcPr>
          <w:p>
            <w:pPr>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11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严格落实建筑工地“洒水、覆盖、硬化、冲洗、绿化、围挡”六个100﹪要求，建筑施工现场必须安装视频监控设施，设置全封闭围挡，推行湿法作业，裸露沙土必须覆盖，原则上不得现场搅拌砂浆，工地进出口道路必须硬化并安装冲洗设施，渣土运输车辆密闭运输，严禁带泥上路，确保进出城区无跑冒滴漏现象。</w:t>
            </w:r>
          </w:p>
        </w:tc>
        <w:tc>
          <w:tcPr>
            <w:tcW w:w="15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县住建局</w:t>
            </w:r>
          </w:p>
        </w:tc>
        <w:tc>
          <w:tcPr>
            <w:tcW w:w="14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罗品俊</w:t>
            </w: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县交管大队</w:t>
            </w:r>
          </w:p>
        </w:tc>
        <w:tc>
          <w:tcPr>
            <w:tcW w:w="20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2018年3月25日前</w:t>
            </w:r>
          </w:p>
        </w:tc>
        <w:tc>
          <w:tcPr>
            <w:tcW w:w="789"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11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扩大城区及城乡结合部道路清扫、冲洗、洒水范围，增加清扫、冲洗、洒水频次，提高机械化清扫作业比例，加大道路扬尘降控力度</w:t>
            </w:r>
          </w:p>
        </w:tc>
        <w:tc>
          <w:tcPr>
            <w:tcW w:w="15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县住建局</w:t>
            </w:r>
          </w:p>
        </w:tc>
        <w:tc>
          <w:tcPr>
            <w:tcW w:w="14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罗品俊</w:t>
            </w: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县双创办        县交通局</w:t>
            </w:r>
          </w:p>
        </w:tc>
        <w:tc>
          <w:tcPr>
            <w:tcW w:w="20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2018年3月25日前</w:t>
            </w:r>
          </w:p>
        </w:tc>
        <w:tc>
          <w:tcPr>
            <w:tcW w:w="789"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11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督促城区餐饮业安装油烟净化设施，面积在1000平方米以上的餐饮店必须安装油烟在线监控设施，正常运行率达到100%。全面规范城区夜市烧烤摊点管理，凡使用木炭烧烤炉、煤炭烧烤炉必须改用清洁能源，对露天煤</w:t>
            </w:r>
            <w:r>
              <w:rPr>
                <w:rFonts w:hint="eastAsia" w:ascii="仿宋_GB2312" w:hAnsi="仿宋_GB2312" w:eastAsia="仿宋_GB2312" w:cs="仿宋_GB2312"/>
                <w:szCs w:val="21"/>
                <w:lang w:eastAsia="zh-CN"/>
              </w:rPr>
              <w:t>炭</w:t>
            </w:r>
            <w:bookmarkStart w:id="0" w:name="_GoBack"/>
            <w:bookmarkEnd w:id="0"/>
            <w:r>
              <w:rPr>
                <w:rFonts w:hint="eastAsia" w:ascii="仿宋_GB2312" w:hAnsi="仿宋_GB2312" w:eastAsia="仿宋_GB2312" w:cs="仿宋_GB2312"/>
                <w:szCs w:val="21"/>
              </w:rPr>
              <w:t>烧烤摊点和禁煤区内燃煤锅炉一律依法取缔</w:t>
            </w:r>
          </w:p>
        </w:tc>
        <w:tc>
          <w:tcPr>
            <w:tcW w:w="15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县市场监管局</w:t>
            </w:r>
          </w:p>
        </w:tc>
        <w:tc>
          <w:tcPr>
            <w:tcW w:w="14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郑自勇</w:t>
            </w: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县住建局        县环保局</w:t>
            </w:r>
          </w:p>
        </w:tc>
        <w:tc>
          <w:tcPr>
            <w:tcW w:w="20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2018年3月25日前</w:t>
            </w:r>
          </w:p>
        </w:tc>
        <w:tc>
          <w:tcPr>
            <w:tcW w:w="789"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11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按照“谁主管、谁负责”“属地管理”的原则，完善秸秆禁烧分片包干责任制,不间断深入田间地头开展巡查工作,严禁露天焚烧秸秆,坚决纠正用柴草树叶烧“火粪”的陋习</w:t>
            </w:r>
          </w:p>
        </w:tc>
        <w:tc>
          <w:tcPr>
            <w:tcW w:w="15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县农林科技局</w:t>
            </w:r>
          </w:p>
        </w:tc>
        <w:tc>
          <w:tcPr>
            <w:tcW w:w="14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陈超</w:t>
            </w: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各镇</w:t>
            </w:r>
          </w:p>
        </w:tc>
        <w:tc>
          <w:tcPr>
            <w:tcW w:w="20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2018年3月25日</w:t>
            </w:r>
          </w:p>
        </w:tc>
        <w:tc>
          <w:tcPr>
            <w:tcW w:w="789"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11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严格按照属地管理和“网格化”环境监管职责,针对目前部分生活垃圾未得到及时清运而被居民焚烧,部分环卫工人、公路养护员在垃圾清运过程中图省事将其焚烧,部分商户焚烧建筑装潢材料等废弃物现象,要安排专人每日进行不定时随机巡查,对违反相关规定擅自焚烧垃圾的单位和个人依法进行处罚,要与属地村、组签订垃圾禁烧责任书,明确分工,落实责任,对辖区内设置的垃圾箱进行规范管理,及时清理运垃圾,防止焚烧情况发生</w:t>
            </w:r>
          </w:p>
        </w:tc>
        <w:tc>
          <w:tcPr>
            <w:tcW w:w="15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县住建局        县交通局         县公路段        各镇</w:t>
            </w:r>
          </w:p>
        </w:tc>
        <w:tc>
          <w:tcPr>
            <w:tcW w:w="14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罗品俊          李宗建   </w:t>
            </w:r>
          </w:p>
          <w:p>
            <w:pPr>
              <w:jc w:val="center"/>
              <w:rPr>
                <w:rFonts w:ascii="仿宋_GB2312" w:hAnsi="仿宋_GB2312" w:eastAsia="仿宋_GB2312" w:cs="仿宋_GB2312"/>
                <w:szCs w:val="21"/>
              </w:rPr>
            </w:pPr>
            <w:r>
              <w:rPr>
                <w:rFonts w:hint="eastAsia" w:ascii="仿宋_GB2312" w:hAnsi="仿宋_GB2312" w:eastAsia="仿宋_GB2312" w:cs="仿宋_GB2312"/>
                <w:szCs w:val="21"/>
              </w:rPr>
              <w:t>陈明</w:t>
            </w:r>
          </w:p>
          <w:p>
            <w:pPr>
              <w:jc w:val="center"/>
              <w:rPr>
                <w:rFonts w:ascii="仿宋_GB2312" w:hAnsi="仿宋_GB2312" w:eastAsia="仿宋_GB2312" w:cs="仿宋_GB2312"/>
                <w:szCs w:val="21"/>
              </w:rPr>
            </w:pPr>
            <w:r>
              <w:rPr>
                <w:rFonts w:hint="eastAsia" w:ascii="仿宋_GB2312" w:hAnsi="仿宋_GB2312" w:eastAsia="仿宋_GB2312" w:cs="仿宋_GB2312"/>
                <w:szCs w:val="21"/>
              </w:rPr>
              <w:t>各镇镇长</w:t>
            </w:r>
          </w:p>
        </w:tc>
        <w:tc>
          <w:tcPr>
            <w:tcW w:w="1575" w:type="dxa"/>
            <w:vAlign w:val="center"/>
          </w:tcPr>
          <w:p>
            <w:pPr>
              <w:jc w:val="center"/>
              <w:rPr>
                <w:rFonts w:ascii="仿宋_GB2312" w:hAnsi="仿宋_GB2312" w:eastAsia="仿宋_GB2312" w:cs="仿宋_GB2312"/>
                <w:szCs w:val="21"/>
              </w:rPr>
            </w:pPr>
          </w:p>
        </w:tc>
        <w:tc>
          <w:tcPr>
            <w:tcW w:w="20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2018年3月25日</w:t>
            </w:r>
          </w:p>
        </w:tc>
        <w:tc>
          <w:tcPr>
            <w:tcW w:w="789"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11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加大对县城禁放区烟花爆竹燃放管控力度，及时与花爆竹批发销售从业单位签订城区禁放烟花爆竹安全管理责任书，同时要</w:t>
            </w:r>
            <w:r>
              <w:rPr>
                <w:rFonts w:hint="eastAsia" w:ascii="仿宋_GB2312" w:hAnsi="仿宋_GB2312" w:eastAsia="仿宋_GB2312" w:cs="仿宋_GB2312"/>
                <w:color w:val="292929"/>
                <w:szCs w:val="21"/>
                <w:shd w:val="solid" w:color="FFFFFF" w:fill="auto"/>
              </w:rPr>
              <w:t>加大查处打击力度，严查违规燃放行为。要加大对集镇小超市、商店违规销售烟花爆竹的监管力度，严禁销售受潮、假冒伪劣烟花爆竹。同时，</w:t>
            </w:r>
            <w:r>
              <w:rPr>
                <w:rFonts w:hint="eastAsia" w:ascii="仿宋_GB2312" w:hAnsi="仿宋_GB2312" w:eastAsia="仿宋_GB2312" w:cs="仿宋_GB2312"/>
                <w:szCs w:val="21"/>
              </w:rPr>
              <w:t>充分利用电视台、微信公众平台等新闻媒介，进行广泛宣传，积极引导群众文明生活，发布春节禁放少放烟花爆竹倡议书，最大限度减小烟花爆竹燃放、祭祀等活动对大气产生的影响。</w:t>
            </w:r>
          </w:p>
        </w:tc>
        <w:tc>
          <w:tcPr>
            <w:tcW w:w="15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县公安局</w:t>
            </w:r>
          </w:p>
        </w:tc>
        <w:tc>
          <w:tcPr>
            <w:tcW w:w="14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田华</w:t>
            </w: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各镇</w:t>
            </w:r>
          </w:p>
        </w:tc>
        <w:tc>
          <w:tcPr>
            <w:tcW w:w="20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2018年3月25日</w:t>
            </w:r>
          </w:p>
        </w:tc>
        <w:tc>
          <w:tcPr>
            <w:tcW w:w="789"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11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对重点涉气企业加大执法力度，加密检查频次，不定时进行监测，确保污染物达标排放。对环保手续不齐全、污染防治设施未建设或运行不正常及烟气直排、未办理排污许可证的企业，立即责令停产，限期整改，逾期未整改或者整改不到位的，一律取缔关闭</w:t>
            </w:r>
          </w:p>
        </w:tc>
        <w:tc>
          <w:tcPr>
            <w:tcW w:w="15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县环保局</w:t>
            </w:r>
          </w:p>
        </w:tc>
        <w:tc>
          <w:tcPr>
            <w:tcW w:w="14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陈平</w:t>
            </w: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县经贸局</w:t>
            </w:r>
          </w:p>
        </w:tc>
        <w:tc>
          <w:tcPr>
            <w:tcW w:w="20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2018年3月25日</w:t>
            </w:r>
          </w:p>
        </w:tc>
        <w:tc>
          <w:tcPr>
            <w:tcW w:w="789"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11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强机动车抽查和排气检测，全面淘汰县域范围内的“黄标车”“无标车”，加大对高污染车辆的查处力度，禁止高污染车辆上路行驶，加快车用燃料低硫化步伐，大力推进城市公交车、出租车、客运车、运输车(含低速车)“油改气”工作，坚决消除车辆“冒黑烟”现象</w:t>
            </w:r>
          </w:p>
        </w:tc>
        <w:tc>
          <w:tcPr>
            <w:tcW w:w="15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县交管大队</w:t>
            </w:r>
          </w:p>
        </w:tc>
        <w:tc>
          <w:tcPr>
            <w:tcW w:w="14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段安均</w:t>
            </w: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县交通局         县环保局</w:t>
            </w:r>
          </w:p>
        </w:tc>
        <w:tc>
          <w:tcPr>
            <w:tcW w:w="20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2018年3月25日</w:t>
            </w:r>
          </w:p>
        </w:tc>
        <w:tc>
          <w:tcPr>
            <w:tcW w:w="789" w:type="dxa"/>
            <w:vAlign w:val="center"/>
          </w:tcPr>
          <w:p>
            <w:pPr>
              <w:jc w:val="center"/>
              <w:rPr>
                <w:rFonts w:ascii="仿宋_GB2312" w:hAnsi="仿宋_GB2312" w:eastAsia="仿宋_GB2312" w:cs="仿宋_GB2312"/>
                <w:szCs w:val="21"/>
              </w:rPr>
            </w:pPr>
          </w:p>
        </w:tc>
      </w:tr>
    </w:tbl>
    <w:p>
      <w:pPr>
        <w:rPr>
          <w:rFonts w:ascii="仿宋_GB2312" w:hAnsi="仿宋_GB2312" w:eastAsia="仿宋_GB2312" w:cs="仿宋_GB2312"/>
          <w:sz w:val="28"/>
          <w:szCs w:val="28"/>
        </w:rPr>
      </w:pPr>
    </w:p>
    <w:sectPr>
      <w:pgSz w:w="16838" w:h="11906" w:orient="landscape"/>
      <w:pgMar w:top="1587" w:right="1417" w:bottom="1474"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D013894"/>
    <w:rsid w:val="003D456A"/>
    <w:rsid w:val="00653B0B"/>
    <w:rsid w:val="00B82841"/>
    <w:rsid w:val="00C653A9"/>
    <w:rsid w:val="298C215B"/>
    <w:rsid w:val="3D013894"/>
    <w:rsid w:val="DEB842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eastAsia="宋体"/>
      <w:kern w:val="2"/>
      <w:sz w:val="18"/>
      <w:szCs w:val="18"/>
    </w:rPr>
  </w:style>
  <w:style w:type="character" w:customStyle="1" w:styleId="8">
    <w:name w:val="页脚 Char"/>
    <w:basedOn w:val="6"/>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zpwwkj</Company>
  <Pages>2</Pages>
  <Words>210</Words>
  <Characters>1201</Characters>
  <Lines>10</Lines>
  <Paragraphs>2</Paragraphs>
  <TotalTime>1</TotalTime>
  <ScaleCrop>false</ScaleCrop>
  <LinksUpToDate>false</LinksUpToDate>
  <CharactersWithSpaces>1409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2018-01-26T13:50:00Z</dcterms:created>
  <dc:creator>镜，双城。。</dc:creator>
  <cp:lastModifiedBy>ankang</cp:lastModifiedBy>
  <cp:lastPrinted>2018-01-26T14:21:00Z</cp:lastPrinted>
  <dcterms:modified xsi:type="dcterms:W3CDTF">2023-10-17T14:19:59Z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