
<file path=[Content_Types].xml><?xml version="1.0" encoding="utf-8"?>
<Types xmlns="http://schemas.openxmlformats.org/package/2006/content-types">
  <Default Extension="xml" ContentType="application/xml"/>
  <Default Extension="xlsx" ContentType="application/vnd.openxmlformats-officedocument.spreadsheetml.sheet"/>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p>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hint="default" w:ascii="方正小标宋简体" w:hAnsi="方正小标宋简体" w:eastAsia="方正小标宋简体" w:cs="方正小标宋简体"/>
          <w:b w:val="0"/>
          <w:bCs w:val="0"/>
          <w:sz w:val="52"/>
          <w:szCs w:val="52"/>
          <w:lang w:val="en-US"/>
        </w:rPr>
      </w:pPr>
      <w:r>
        <w:rPr>
          <w:rFonts w:hint="default" w:ascii="方正小标宋简体" w:hAnsi="方正小标宋简体" w:eastAsia="方正小标宋简体" w:cs="方正小标宋简体"/>
          <w:b w:val="0"/>
          <w:bCs w:val="0"/>
          <w:sz w:val="52"/>
          <w:szCs w:val="52"/>
          <w:lang w:val="en-US" w:eastAsia="zh-CN"/>
        </w:rPr>
        <w:t>镇坪县</w:t>
      </w:r>
      <w:r>
        <w:rPr>
          <w:rFonts w:hint="eastAsia" w:ascii="方正小标宋简体" w:hAnsi="方正小标宋简体" w:eastAsia="方正小标宋简体" w:cs="方正小标宋简体"/>
          <w:b w:val="0"/>
          <w:bCs w:val="0"/>
          <w:sz w:val="52"/>
          <w:szCs w:val="52"/>
          <w:lang w:val="en-US" w:eastAsia="zh-CN"/>
        </w:rPr>
        <w:t>移民(脱贫）搬迁工作办公室</w:t>
      </w:r>
    </w:p>
    <w:p>
      <w:pPr>
        <w:spacing w:line="560" w:lineRule="exact"/>
        <w:jc w:val="center"/>
        <w:rPr>
          <w:rFonts w:ascii="宋体" w:hAnsi="宋体" w:eastAsia="宋体" w:cs="宋体"/>
          <w:b/>
          <w:bCs/>
          <w:sz w:val="44"/>
          <w:szCs w:val="44"/>
        </w:rPr>
      </w:pPr>
      <w:r>
        <w:rPr>
          <w:rFonts w:hint="eastAsia" w:ascii="方正小标宋简体" w:hAnsi="方正小标宋简体" w:eastAsia="方正小标宋简体" w:cs="方正小标宋简体"/>
          <w:b w:val="0"/>
          <w:bCs w:val="0"/>
          <w:sz w:val="52"/>
          <w:szCs w:val="52"/>
        </w:rPr>
        <w:t>20</w:t>
      </w:r>
      <w:r>
        <w:rPr>
          <w:rFonts w:hint="eastAsia" w:ascii="方正小标宋简体" w:hAnsi="方正小标宋简体" w:eastAsia="方正小标宋简体" w:cs="方正小标宋简体"/>
          <w:b w:val="0"/>
          <w:bCs w:val="0"/>
          <w:sz w:val="52"/>
          <w:szCs w:val="52"/>
          <w:lang w:val="en-US" w:eastAsia="zh-CN"/>
        </w:rPr>
        <w:t>21</w:t>
      </w:r>
      <w:r>
        <w:rPr>
          <w:rFonts w:hint="eastAsia" w:ascii="方正小标宋简体" w:hAnsi="方正小标宋简体" w:eastAsia="方正小标宋简体" w:cs="方正小标宋简体"/>
          <w:b w:val="0"/>
          <w:bCs w:val="0"/>
          <w:sz w:val="52"/>
          <w:szCs w:val="52"/>
        </w:rPr>
        <w:t>年</w:t>
      </w:r>
      <w:r>
        <w:rPr>
          <w:rFonts w:hint="eastAsia" w:ascii="方正小标宋简体" w:hAnsi="方正小标宋简体" w:eastAsia="方正小标宋简体" w:cs="方正小标宋简体"/>
          <w:b w:val="0"/>
          <w:bCs w:val="0"/>
          <w:sz w:val="52"/>
          <w:szCs w:val="52"/>
          <w:lang w:eastAsia="zh-CN"/>
        </w:rPr>
        <w:t>度</w:t>
      </w:r>
      <w:r>
        <w:rPr>
          <w:rFonts w:hint="eastAsia" w:ascii="方正小标宋简体" w:hAnsi="方正小标宋简体" w:eastAsia="方正小标宋简体" w:cs="方正小标宋简体"/>
          <w:b w:val="0"/>
          <w:bCs w:val="0"/>
          <w:sz w:val="52"/>
          <w:szCs w:val="52"/>
        </w:rPr>
        <w:t>部门决算</w:t>
      </w: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p>
    <w:p>
      <w:pPr>
        <w:spacing w:line="560" w:lineRule="exact"/>
        <w:jc w:val="center"/>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hint="eastAsia"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560" w:lineRule="exact"/>
        <w:rPr>
          <w:rFonts w:ascii="宋体" w:hAnsi="宋体" w:eastAsia="宋体" w:cs="宋体"/>
          <w:b/>
          <w:bCs/>
          <w:sz w:val="44"/>
          <w:szCs w:val="44"/>
        </w:rPr>
      </w:pPr>
    </w:p>
    <w:p>
      <w:pPr>
        <w:spacing w:line="400" w:lineRule="exact"/>
        <w:ind w:firstLine="2560" w:firstLineChars="800"/>
        <w:rPr>
          <w:rFonts w:ascii="宋体" w:hAnsi="宋体" w:eastAsia="宋体" w:cs="宋体"/>
          <w:b/>
          <w:bCs/>
          <w:sz w:val="32"/>
          <w:szCs w:val="32"/>
        </w:rPr>
      </w:pPr>
      <w:r>
        <w:rPr>
          <w:rFonts w:hint="eastAsia" w:ascii="黑体" w:hAnsi="黑体" w:eastAsia="黑体"/>
          <w:sz w:val="32"/>
          <w:szCs w:val="32"/>
        </w:rPr>
        <w:drawing>
          <wp:anchor distT="0" distB="0" distL="114300" distR="114300" simplePos="0" relativeHeight="251665408" behindDoc="1" locked="0" layoutInCell="1" allowOverlap="1">
            <wp:simplePos x="0" y="0"/>
            <wp:positionH relativeFrom="column">
              <wp:posOffset>1757045</wp:posOffset>
            </wp:positionH>
            <wp:positionV relativeFrom="paragraph">
              <wp:posOffset>200025</wp:posOffset>
            </wp:positionV>
            <wp:extent cx="1440180" cy="1480185"/>
            <wp:effectExtent l="0" t="0" r="7620" b="5715"/>
            <wp:wrapNone/>
            <wp:docPr id="9" name="图片 9" descr="微信图片_2023032715373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微信图片_20230327153734"/>
                    <pic:cNvPicPr>
                      <a:picLocks noChangeAspect="true"/>
                    </pic:cNvPicPr>
                  </pic:nvPicPr>
                  <pic:blipFill>
                    <a:blip r:embed="rId7">
                      <a:lum bright="6000" contrast="100000"/>
                    </a:blip>
                    <a:srcRect l="23385" t="35387" r="17641" b="30542"/>
                    <a:stretch>
                      <a:fillRect/>
                    </a:stretch>
                  </pic:blipFill>
                  <pic:spPr>
                    <a:xfrm>
                      <a:off x="0" y="0"/>
                      <a:ext cx="1440180" cy="1480185"/>
                    </a:xfrm>
                    <a:prstGeom prst="rect">
                      <a:avLst/>
                    </a:prstGeom>
                    <a:effectLst/>
                  </pic:spPr>
                </pic:pic>
              </a:graphicData>
            </a:graphic>
          </wp:anchor>
        </w:drawing>
      </w:r>
    </w:p>
    <w:p>
      <w:pPr>
        <w:spacing w:line="400" w:lineRule="exact"/>
        <w:ind w:firstLine="2570" w:firstLineChars="800"/>
        <w:rPr>
          <w:rFonts w:hint="eastAsia" w:ascii="宋体" w:hAnsi="宋体" w:eastAsia="宋体" w:cs="宋体"/>
          <w:b/>
          <w:bCs/>
          <w:sz w:val="32"/>
          <w:szCs w:val="32"/>
        </w:rPr>
      </w:pPr>
    </w:p>
    <w:p>
      <w:pPr>
        <w:spacing w:line="400" w:lineRule="exact"/>
        <w:ind w:firstLine="2088" w:firstLineChars="650"/>
        <w:rPr>
          <w:rFonts w:hint="default" w:ascii="宋体" w:hAnsi="宋体" w:eastAsia="宋体" w:cs="宋体"/>
          <w:b/>
          <w:bCs/>
          <w:sz w:val="32"/>
          <w:szCs w:val="32"/>
          <w:lang w:val="en-US" w:eastAsia="zh-CN"/>
        </w:rPr>
      </w:pPr>
      <w:r>
        <w:rPr>
          <w:rFonts w:hint="eastAsia" w:ascii="宋体" w:hAnsi="宋体" w:eastAsia="宋体" w:cs="宋体"/>
          <w:b/>
          <w:bCs/>
          <w:sz w:val="32"/>
          <w:szCs w:val="32"/>
        </w:rPr>
        <w:t>保密审查情况：</w:t>
      </w:r>
      <w:r>
        <w:rPr>
          <w:rFonts w:hint="eastAsia" w:ascii="宋体" w:hAnsi="宋体" w:cs="宋体"/>
          <w:b/>
          <w:bCs/>
          <w:sz w:val="32"/>
          <w:szCs w:val="32"/>
          <w:lang w:val="en-US" w:eastAsia="zh-CN"/>
        </w:rPr>
        <w:t>已审查</w:t>
      </w:r>
    </w:p>
    <w:p>
      <w:pPr>
        <w:spacing w:line="400" w:lineRule="exact"/>
        <w:jc w:val="center"/>
        <w:rPr>
          <w:rFonts w:ascii="宋体" w:hAnsi="宋体" w:cs="宋体"/>
          <w:b/>
          <w:bCs/>
          <w:sz w:val="32"/>
          <w:szCs w:val="32"/>
        </w:rPr>
      </w:pPr>
    </w:p>
    <w:p>
      <w:pPr>
        <w:spacing w:line="400" w:lineRule="exact"/>
        <w:ind w:firstLine="2088" w:firstLineChars="650"/>
        <w:rPr>
          <w:rFonts w:hint="eastAsia" w:ascii="宋体" w:hAnsi="宋体" w:eastAsia="宋体" w:cs="宋体"/>
          <w:b/>
          <w:bCs/>
          <w:sz w:val="32"/>
          <w:szCs w:val="32"/>
          <w:lang w:eastAsia="zh-CN"/>
        </w:rPr>
      </w:pPr>
      <w:r>
        <w:rPr>
          <w:rFonts w:hint="eastAsia" w:ascii="宋体" w:hAnsi="宋体" w:cs="宋体"/>
          <w:b/>
          <w:bCs/>
          <w:sz w:val="32"/>
          <w:szCs w:val="32"/>
        </w:rPr>
        <w:t>部门主要负责人审签情况：</w:t>
      </w:r>
      <w:r>
        <w:rPr>
          <w:rFonts w:hint="eastAsia" w:ascii="宋体" w:hAnsi="宋体" w:cs="宋体"/>
          <w:b/>
          <w:bCs/>
          <w:sz w:val="32"/>
          <w:szCs w:val="32"/>
          <w:lang w:eastAsia="zh-CN"/>
        </w:rPr>
        <w:t>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hint="eastAsia"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rPr>
        <w:sectPr>
          <w:headerReference r:id="rId3" w:type="default"/>
          <w:footerReference r:id="rId4" w:type="default"/>
          <w:pgSz w:w="11906" w:h="16838"/>
          <w:pgMar w:top="1440" w:right="1800" w:bottom="1440" w:left="1800" w:header="851" w:footer="992" w:gutter="0"/>
          <w:cols w:space="720" w:num="1"/>
          <w:docGrid w:type="lines" w:linePitch="315" w:charSpace="0"/>
        </w:sectPr>
      </w:pPr>
    </w:p>
    <w:p>
      <w:pPr>
        <w:jc w:val="center"/>
        <w:rPr>
          <w:rFonts w:ascii="黑体" w:hAnsi="宋体" w:eastAsia="黑体"/>
          <w:bCs/>
          <w:color w:val="000000"/>
          <w:kern w:val="0"/>
          <w:sz w:val="36"/>
          <w:szCs w:val="36"/>
        </w:rPr>
      </w:pPr>
      <w:r>
        <w:rPr>
          <w:rFonts w:ascii="黑体" w:hAnsi="宋体" w:eastAsia="黑体"/>
          <w:bCs/>
          <w:color w:val="000000"/>
          <w:kern w:val="0"/>
          <w:sz w:val="36"/>
          <w:szCs w:val="36"/>
        </w:rPr>
        <w:t>目</w:t>
      </w:r>
      <w:r>
        <w:rPr>
          <w:rFonts w:hint="eastAsia" w:ascii="黑体" w:hAnsi="宋体" w:eastAsia="黑体"/>
          <w:bCs/>
          <w:color w:val="000000"/>
          <w:kern w:val="0"/>
          <w:sz w:val="36"/>
          <w:szCs w:val="36"/>
        </w:rPr>
        <w:t xml:space="preserve">  </w:t>
      </w:r>
      <w:r>
        <w:rPr>
          <w:rFonts w:ascii="黑体" w:hAnsi="宋体" w:eastAsia="黑体"/>
          <w:bCs/>
          <w:color w:val="000000"/>
          <w:kern w:val="0"/>
          <w:sz w:val="36"/>
          <w:szCs w:val="36"/>
        </w:rPr>
        <w:t>录</w:t>
      </w:r>
    </w:p>
    <w:p>
      <w:pPr>
        <w:widowControl/>
        <w:jc w:val="center"/>
        <w:rPr>
          <w:rFonts w:hint="eastAsia"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rPr>
        <w:t>第一部分  部门概况</w:t>
      </w:r>
    </w:p>
    <w:p>
      <w:pPr>
        <w:widowControl/>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rPr>
        <w:t>一、部门主要职</w:t>
      </w:r>
      <w:r>
        <w:rPr>
          <w:rFonts w:hint="eastAsia" w:ascii="仿宋" w:hAnsi="仿宋" w:eastAsia="仿宋" w:cs="楷体"/>
          <w:color w:val="000000"/>
          <w:kern w:val="0"/>
          <w:sz w:val="32"/>
          <w:szCs w:val="32"/>
          <w:lang w:eastAsia="zh-CN"/>
        </w:rPr>
        <w:t>能</w:t>
      </w:r>
      <w:r>
        <w:rPr>
          <w:rFonts w:hint="eastAsia" w:ascii="仿宋" w:hAnsi="仿宋" w:eastAsia="仿宋" w:cs="楷体"/>
          <w:color w:val="000000"/>
          <w:kern w:val="0"/>
          <w:sz w:val="32"/>
          <w:szCs w:val="32"/>
        </w:rPr>
        <w:t>及内设机构</w:t>
      </w:r>
    </w:p>
    <w:p>
      <w:pPr>
        <w:widowControl/>
        <w:numPr>
          <w:ilvl w:val="0"/>
          <w:numId w:val="1"/>
        </w:numPr>
        <w:ind w:left="410" w:leftChars="0" w:hanging="410" w:firstLineChars="0"/>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rPr>
        <w:t>部门决算单位构成</w:t>
      </w:r>
    </w:p>
    <w:p>
      <w:pPr>
        <w:widowControl/>
        <w:numPr>
          <w:ilvl w:val="0"/>
          <w:numId w:val="1"/>
        </w:numPr>
        <w:ind w:left="410" w:leftChars="0" w:hanging="410" w:firstLineChars="0"/>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rPr>
        <w:t>部门人员情况</w:t>
      </w:r>
    </w:p>
    <w:p>
      <w:pPr>
        <w:widowControl/>
        <w:numPr>
          <w:ilvl w:val="0"/>
          <w:numId w:val="0"/>
        </w:numPr>
        <w:ind w:leftChars="200"/>
        <w:jc w:val="left"/>
        <w:rPr>
          <w:rFonts w:hint="eastAsia" w:ascii="仿宋" w:hAnsi="仿宋" w:eastAsia="仿宋" w:cs="楷体"/>
          <w:color w:val="000000"/>
          <w:kern w:val="0"/>
          <w:sz w:val="32"/>
          <w:szCs w:val="32"/>
        </w:rPr>
      </w:pPr>
    </w:p>
    <w:p>
      <w:pPr>
        <w:widowControl/>
        <w:jc w:val="center"/>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 xml:space="preserve">第二部分  </w:t>
      </w:r>
      <w:r>
        <w:rPr>
          <w:rFonts w:hint="eastAsia" w:ascii="方正小标宋简体" w:hAnsi="方正小标宋简体" w:eastAsia="方正小标宋简体" w:cs="方正小标宋简体"/>
          <w:color w:val="000000"/>
          <w:kern w:val="0"/>
          <w:sz w:val="32"/>
          <w:szCs w:val="32"/>
          <w:lang w:eastAsia="zh-CN"/>
        </w:rPr>
        <w:t>202</w:t>
      </w:r>
      <w:r>
        <w:rPr>
          <w:rFonts w:hint="eastAsia" w:ascii="方正小标宋简体" w:hAnsi="方正小标宋简体" w:eastAsia="方正小标宋简体" w:cs="方正小标宋简体"/>
          <w:color w:val="000000"/>
          <w:kern w:val="0"/>
          <w:sz w:val="32"/>
          <w:szCs w:val="32"/>
          <w:lang w:val="en-US" w:eastAsia="zh-CN"/>
        </w:rPr>
        <w:t>1</w:t>
      </w:r>
      <w:r>
        <w:rPr>
          <w:rFonts w:hint="eastAsia" w:ascii="方正小标宋简体" w:hAnsi="方正小标宋简体" w:eastAsia="方正小标宋简体" w:cs="方正小标宋简体"/>
          <w:color w:val="000000"/>
          <w:kern w:val="0"/>
          <w:sz w:val="32"/>
          <w:szCs w:val="32"/>
        </w:rPr>
        <w:t>年</w:t>
      </w:r>
      <w:r>
        <w:rPr>
          <w:rFonts w:hint="eastAsia" w:ascii="方正小标宋简体" w:hAnsi="方正小标宋简体" w:eastAsia="方正小标宋简体" w:cs="方正小标宋简体"/>
          <w:color w:val="000000"/>
          <w:kern w:val="0"/>
          <w:sz w:val="32"/>
          <w:szCs w:val="32"/>
          <w:lang w:eastAsia="zh-CN"/>
        </w:rPr>
        <w:t>度</w:t>
      </w:r>
      <w:r>
        <w:rPr>
          <w:rFonts w:hint="eastAsia" w:ascii="方正小标宋简体" w:hAnsi="方正小标宋简体" w:eastAsia="方正小标宋简体" w:cs="方正小标宋简体"/>
          <w:color w:val="000000"/>
          <w:kern w:val="0"/>
          <w:sz w:val="32"/>
          <w:szCs w:val="32"/>
        </w:rPr>
        <w:t>部门决算表</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一、收入支出决算总表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二、收入决算表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三、支出决算表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四、财政拨款收入支出决算总表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五、一般公共预算财政拨款支出决算表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 xml:space="preserve">七、一般公共预算财政拨款“三公”经费及会议费、培训费支出决算表    </w:t>
      </w:r>
    </w:p>
    <w:p>
      <w:pPr>
        <w:widowControl/>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八、政府性基金预算财政拨款收入支出决算表</w:t>
      </w:r>
    </w:p>
    <w:p>
      <w:pPr>
        <w:widowControl/>
        <w:jc w:val="left"/>
        <w:rPr>
          <w:rFonts w:hint="eastAsia" w:ascii="仿宋" w:hAnsi="仿宋" w:eastAsia="仿宋" w:cs="楷体"/>
          <w:color w:val="000000"/>
          <w:kern w:val="0"/>
          <w:sz w:val="32"/>
          <w:szCs w:val="32"/>
          <w:lang w:val="en-US" w:eastAsia="zh-CN"/>
        </w:rPr>
      </w:pPr>
      <w:r>
        <w:rPr>
          <w:rFonts w:hint="eastAsia" w:ascii="仿宋" w:hAnsi="仿宋" w:eastAsia="仿宋" w:cs="楷体"/>
          <w:color w:val="000000"/>
          <w:kern w:val="0"/>
          <w:sz w:val="32"/>
          <w:szCs w:val="32"/>
          <w:lang w:val="en-US" w:eastAsia="zh-CN"/>
        </w:rPr>
        <w:t>九、</w:t>
      </w:r>
      <w:r>
        <w:rPr>
          <w:rFonts w:hint="eastAsia" w:ascii="仿宋" w:hAnsi="仿宋" w:eastAsia="仿宋" w:cs="楷体"/>
          <w:color w:val="000000"/>
          <w:kern w:val="0"/>
          <w:sz w:val="32"/>
          <w:szCs w:val="32"/>
          <w:lang w:eastAsia="zh-CN"/>
        </w:rPr>
        <w:t>国有资本经营预算财政拨款支出决算表</w:t>
      </w:r>
    </w:p>
    <w:p>
      <w:pPr>
        <w:widowControl/>
        <w:jc w:val="center"/>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 xml:space="preserve">第三部分  </w:t>
      </w:r>
      <w:r>
        <w:rPr>
          <w:rFonts w:hint="eastAsia" w:ascii="方正小标宋简体" w:hAnsi="方正小标宋简体" w:eastAsia="方正小标宋简体" w:cs="方正小标宋简体"/>
          <w:color w:val="000000"/>
          <w:kern w:val="0"/>
          <w:sz w:val="32"/>
          <w:szCs w:val="32"/>
          <w:lang w:eastAsia="zh-CN"/>
        </w:rPr>
        <w:t>202</w:t>
      </w:r>
      <w:r>
        <w:rPr>
          <w:rFonts w:hint="eastAsia" w:ascii="方正小标宋简体" w:hAnsi="方正小标宋简体" w:eastAsia="方正小标宋简体" w:cs="方正小标宋简体"/>
          <w:color w:val="000000"/>
          <w:kern w:val="0"/>
          <w:sz w:val="32"/>
          <w:szCs w:val="32"/>
          <w:lang w:val="en-US" w:eastAsia="zh-CN"/>
        </w:rPr>
        <w:t>1</w:t>
      </w:r>
      <w:r>
        <w:rPr>
          <w:rFonts w:hint="eastAsia" w:ascii="方正小标宋简体" w:hAnsi="方正小标宋简体" w:eastAsia="方正小标宋简体" w:cs="方正小标宋简体"/>
          <w:color w:val="000000"/>
          <w:kern w:val="0"/>
          <w:sz w:val="32"/>
          <w:szCs w:val="32"/>
        </w:rPr>
        <w:t>年</w:t>
      </w:r>
      <w:r>
        <w:rPr>
          <w:rFonts w:hint="eastAsia" w:ascii="方正小标宋简体" w:hAnsi="方正小标宋简体" w:eastAsia="方正小标宋简体" w:cs="方正小标宋简体"/>
          <w:color w:val="000000"/>
          <w:kern w:val="0"/>
          <w:sz w:val="32"/>
          <w:szCs w:val="32"/>
          <w:lang w:eastAsia="zh-CN"/>
        </w:rPr>
        <w:t>度</w:t>
      </w:r>
      <w:r>
        <w:rPr>
          <w:rFonts w:hint="eastAsia" w:ascii="方正小标宋简体" w:hAnsi="方正小标宋简体" w:eastAsia="方正小标宋简体" w:cs="方正小标宋简体"/>
          <w:color w:val="000000"/>
          <w:kern w:val="0"/>
          <w:sz w:val="32"/>
          <w:szCs w:val="32"/>
        </w:rPr>
        <w:t>部门决算情况说明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一、收入支出决算总体情况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二、收入决算情况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三、支出决算情况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ascii="楷体" w:hAnsi="楷体" w:eastAsia="楷体" w:cs="楷体"/>
        </w:rPr>
      </w:pPr>
      <w:r>
        <w:rPr>
          <w:rFonts w:hint="eastAsia" w:ascii="仿宋" w:hAnsi="仿宋" w:eastAsia="仿宋" w:cs="楷体"/>
          <w:color w:val="000000"/>
          <w:kern w:val="0"/>
          <w:sz w:val="32"/>
          <w:szCs w:val="32"/>
        </w:rPr>
        <w:t>四、财政拨款收入支出决算总体情况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r>
        <w:rPr>
          <w:rFonts w:hint="eastAsia" w:ascii="楷体" w:hAnsi="楷体" w:eastAsia="楷体"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五、一般公共预算财政拨款支出决算情况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六、一般公共预算财政拨款基本支出决算情况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ind w:left="640" w:hanging="640" w:hangingChars="200"/>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七、一般公共预算财政拨款“三公”经费及会议费、培训费支出决算情况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rPr>
        <w:t>八、政府性基金预算财政拨款收入支出情况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lang w:val="en-US" w:eastAsia="zh-CN"/>
        </w:rPr>
        <w:t>九</w:t>
      </w:r>
      <w:r>
        <w:rPr>
          <w:rFonts w:hint="eastAsia" w:ascii="仿宋" w:hAnsi="仿宋" w:eastAsia="仿宋" w:cs="楷体"/>
          <w:color w:val="000000"/>
          <w:kern w:val="0"/>
          <w:sz w:val="32"/>
          <w:szCs w:val="32"/>
        </w:rPr>
        <w:t>、</w:t>
      </w:r>
      <w:r>
        <w:rPr>
          <w:rFonts w:hint="eastAsia" w:ascii="仿宋" w:hAnsi="仿宋" w:eastAsia="仿宋" w:cs="楷体"/>
          <w:color w:val="000000"/>
          <w:kern w:val="0"/>
          <w:sz w:val="32"/>
          <w:szCs w:val="32"/>
          <w:lang w:eastAsia="zh-CN"/>
        </w:rPr>
        <w:t>国有资本经营预算财政拨款支出决算情况说明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lang w:eastAsia="zh-CN"/>
        </w:rPr>
        <w:t>十、</w:t>
      </w:r>
      <w:r>
        <w:rPr>
          <w:rFonts w:hint="eastAsia" w:ascii="仿宋" w:hAnsi="仿宋" w:eastAsia="仿宋" w:cs="楷体"/>
          <w:color w:val="000000"/>
          <w:kern w:val="0"/>
          <w:sz w:val="32"/>
          <w:szCs w:val="32"/>
        </w:rPr>
        <w:t>机关运行经费支出情况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hint="eastAsia" w:ascii="仿宋" w:hAnsi="仿宋" w:eastAsia="仿宋" w:cs="楷体"/>
          <w:color w:val="000000"/>
          <w:kern w:val="0"/>
          <w:sz w:val="32"/>
          <w:szCs w:val="32"/>
        </w:rPr>
      </w:pPr>
      <w:r>
        <w:rPr>
          <w:rFonts w:hint="eastAsia" w:ascii="仿宋" w:hAnsi="仿宋" w:eastAsia="仿宋" w:cs="楷体"/>
          <w:color w:val="000000"/>
          <w:kern w:val="0"/>
          <w:sz w:val="32"/>
          <w:szCs w:val="32"/>
          <w:lang w:eastAsia="zh-CN"/>
        </w:rPr>
        <w:t>十一、</w:t>
      </w:r>
      <w:r>
        <w:rPr>
          <w:rFonts w:hint="eastAsia" w:ascii="仿宋" w:hAnsi="仿宋" w:eastAsia="仿宋" w:cs="楷体"/>
          <w:color w:val="000000"/>
          <w:kern w:val="0"/>
          <w:sz w:val="32"/>
          <w:szCs w:val="32"/>
        </w:rPr>
        <w:t>政府采购支出情况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left"/>
        <w:rPr>
          <w:rFonts w:hint="eastAsia" w:ascii="仿宋" w:hAnsi="仿宋" w:eastAsia="仿宋" w:cs="楷体"/>
          <w:color w:val="000000"/>
          <w:kern w:val="0"/>
          <w:sz w:val="32"/>
          <w:szCs w:val="32"/>
          <w:lang w:eastAsia="zh-CN"/>
        </w:rPr>
      </w:pPr>
      <w:r>
        <w:rPr>
          <w:rFonts w:hint="eastAsia" w:ascii="仿宋" w:hAnsi="仿宋" w:eastAsia="仿宋" w:cs="楷体"/>
          <w:color w:val="000000"/>
          <w:kern w:val="0"/>
          <w:sz w:val="32"/>
          <w:szCs w:val="32"/>
          <w:lang w:eastAsia="zh-CN"/>
        </w:rPr>
        <w:t>十二、</w:t>
      </w:r>
      <w:r>
        <w:rPr>
          <w:rFonts w:hint="eastAsia" w:ascii="仿宋" w:hAnsi="仿宋" w:eastAsia="仿宋" w:cs="楷体"/>
          <w:color w:val="000000"/>
          <w:kern w:val="0"/>
          <w:sz w:val="32"/>
          <w:szCs w:val="32"/>
        </w:rPr>
        <w:t>国有资产占用及购置情况</w:t>
      </w:r>
      <w:r>
        <w:rPr>
          <w:rFonts w:hint="eastAsia" w:ascii="仿宋" w:hAnsi="仿宋" w:eastAsia="仿宋" w:cs="楷体"/>
          <w:color w:val="000000"/>
          <w:kern w:val="0"/>
          <w:sz w:val="32"/>
          <w:szCs w:val="32"/>
          <w:lang w:eastAsia="zh-CN"/>
        </w:rPr>
        <w:t>说明</w:t>
      </w:r>
    </w:p>
    <w:p>
      <w:pPr>
        <w:widowControl/>
        <w:jc w:val="left"/>
        <w:rPr>
          <w:rFonts w:ascii="仿宋" w:hAnsi="仿宋" w:eastAsia="仿宋" w:cs="楷体"/>
          <w:color w:val="000000"/>
          <w:kern w:val="0"/>
          <w:sz w:val="32"/>
          <w:szCs w:val="32"/>
        </w:rPr>
      </w:pPr>
      <w:r>
        <w:rPr>
          <w:rFonts w:hint="eastAsia" w:ascii="仿宋" w:hAnsi="仿宋" w:eastAsia="仿宋" w:cs="楷体"/>
          <w:color w:val="000000"/>
          <w:kern w:val="0"/>
          <w:sz w:val="32"/>
          <w:szCs w:val="32"/>
          <w:lang w:eastAsia="zh-CN"/>
        </w:rPr>
        <w:t>十三、</w:t>
      </w:r>
      <w:r>
        <w:rPr>
          <w:rFonts w:hint="eastAsia" w:ascii="仿宋" w:hAnsi="仿宋" w:eastAsia="仿宋" w:cs="楷体"/>
          <w:color w:val="000000"/>
          <w:kern w:val="0"/>
          <w:sz w:val="32"/>
          <w:szCs w:val="32"/>
        </w:rPr>
        <w:t>预算绩效情况</w:t>
      </w:r>
      <w:r>
        <w:rPr>
          <w:rFonts w:hint="eastAsia" w:ascii="仿宋" w:hAnsi="仿宋" w:eastAsia="仿宋" w:cs="楷体"/>
          <w:color w:val="000000"/>
          <w:kern w:val="0"/>
          <w:sz w:val="32"/>
          <w:szCs w:val="32"/>
          <w:lang w:eastAsia="zh-CN"/>
        </w:rPr>
        <w:t>说明</w:t>
      </w:r>
      <w:r>
        <w:rPr>
          <w:rFonts w:hint="eastAsia" w:ascii="仿宋" w:hAnsi="仿宋" w:eastAsia="仿宋" w:cs="楷体"/>
          <w:color w:val="000000"/>
          <w:kern w:val="0"/>
          <w:sz w:val="32"/>
          <w:szCs w:val="32"/>
        </w:rPr>
        <w:t xml:space="preserve"> </w:t>
      </w:r>
    </w:p>
    <w:p>
      <w:pPr>
        <w:widowControl/>
        <w:jc w:val="center"/>
        <w:rPr>
          <w:rFonts w:hint="eastAsia" w:ascii="方正小标宋简体" w:hAnsi="方正小标宋简体" w:eastAsia="方正小标宋简体" w:cs="方正小标宋简体"/>
          <w:color w:val="000000"/>
          <w:kern w:val="0"/>
          <w:sz w:val="32"/>
          <w:szCs w:val="32"/>
        </w:rPr>
      </w:pPr>
      <w:r>
        <w:rPr>
          <w:rFonts w:hint="eastAsia" w:ascii="方正小标宋简体" w:hAnsi="方正小标宋简体" w:eastAsia="方正小标宋简体" w:cs="方正小标宋简体"/>
          <w:color w:val="000000"/>
          <w:kern w:val="0"/>
          <w:sz w:val="32"/>
          <w:szCs w:val="32"/>
        </w:rPr>
        <w:t>第四部分 专业名词解释</w:t>
      </w: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jc w:val="center"/>
        <w:rPr>
          <w:rFonts w:hint="eastAsia" w:ascii="黑体" w:hAnsi="宋体" w:eastAsia="黑体"/>
          <w:color w:val="000000"/>
          <w:kern w:val="0"/>
          <w:sz w:val="44"/>
          <w:szCs w:val="44"/>
        </w:rPr>
      </w:pPr>
    </w:p>
    <w:p>
      <w:pPr>
        <w:numPr>
          <w:ilvl w:val="0"/>
          <w:numId w:val="0"/>
        </w:numPr>
        <w:jc w:val="center"/>
        <w:rPr>
          <w:rFonts w:ascii="黑体" w:hAnsi="宋体" w:eastAsia="黑体"/>
          <w:color w:val="000000"/>
          <w:kern w:val="0"/>
          <w:sz w:val="32"/>
          <w:szCs w:val="32"/>
        </w:rPr>
      </w:pPr>
      <w:r>
        <w:rPr>
          <w:rFonts w:hint="eastAsia" w:ascii="方正小标宋简体" w:hAnsi="方正小标宋简体" w:eastAsia="方正小标宋简体" w:cs="方正小标宋简体"/>
          <w:color w:val="000000"/>
          <w:kern w:val="0"/>
          <w:sz w:val="44"/>
          <w:szCs w:val="44"/>
          <w:lang w:eastAsia="zh-CN"/>
        </w:rPr>
        <w:t>第一部分</w:t>
      </w:r>
      <w:r>
        <w:rPr>
          <w:rFonts w:hint="eastAsia" w:ascii="方正小标宋简体" w:hAnsi="方正小标宋简体" w:eastAsia="方正小标宋简体" w:cs="方正小标宋简体"/>
          <w:color w:val="000000"/>
          <w:kern w:val="0"/>
          <w:sz w:val="44"/>
          <w:szCs w:val="44"/>
          <w:lang w:val="en-US" w:eastAsia="zh-CN"/>
        </w:rPr>
        <w:t xml:space="preserve"> </w:t>
      </w:r>
      <w:r>
        <w:rPr>
          <w:rFonts w:hint="eastAsia" w:ascii="方正小标宋简体" w:hAnsi="方正小标宋简体" w:eastAsia="方正小标宋简体" w:cs="方正小标宋简体"/>
          <w:color w:val="000000"/>
          <w:kern w:val="0"/>
          <w:sz w:val="44"/>
          <w:szCs w:val="44"/>
        </w:rPr>
        <w:t>部门概况</w:t>
      </w:r>
    </w:p>
    <w:p>
      <w:pPr>
        <w:numPr>
          <w:ilvl w:val="0"/>
          <w:numId w:val="0"/>
        </w:numPr>
        <w:jc w:val="both"/>
        <w:rPr>
          <w:rFonts w:ascii="黑体" w:hAnsi="宋体" w:eastAsia="黑体"/>
          <w:color w:val="000000"/>
          <w:kern w:val="0"/>
          <w:sz w:val="32"/>
          <w:szCs w:val="32"/>
        </w:rPr>
      </w:pPr>
      <w:r>
        <w:rPr>
          <w:rFonts w:hint="eastAsia" w:ascii="黑体" w:hAnsi="宋体" w:eastAsia="黑体"/>
          <w:color w:val="000000"/>
          <w:kern w:val="0"/>
          <w:sz w:val="32"/>
          <w:szCs w:val="32"/>
          <w:lang w:val="en-US" w:eastAsia="zh-CN"/>
        </w:rPr>
        <w:t xml:space="preserve">    </w:t>
      </w:r>
      <w:r>
        <w:rPr>
          <w:rFonts w:hint="eastAsia" w:ascii="黑体" w:hAnsi="宋体" w:eastAsia="黑体"/>
          <w:color w:val="000000"/>
          <w:kern w:val="0"/>
          <w:sz w:val="32"/>
          <w:szCs w:val="32"/>
        </w:rPr>
        <w:t>一、部门主要职</w:t>
      </w:r>
      <w:r>
        <w:rPr>
          <w:rFonts w:hint="eastAsia" w:ascii="黑体" w:hAnsi="宋体" w:eastAsia="黑体"/>
          <w:color w:val="000000"/>
          <w:kern w:val="0"/>
          <w:sz w:val="32"/>
          <w:szCs w:val="32"/>
          <w:lang w:eastAsia="zh-CN"/>
        </w:rPr>
        <w:t>能</w:t>
      </w:r>
      <w:r>
        <w:rPr>
          <w:rFonts w:hint="eastAsia" w:ascii="黑体" w:hAnsi="宋体" w:eastAsia="黑体"/>
          <w:color w:val="000000"/>
          <w:kern w:val="0"/>
          <w:sz w:val="32"/>
          <w:szCs w:val="32"/>
        </w:rPr>
        <w:t>及内设机构</w:t>
      </w:r>
    </w:p>
    <w:p>
      <w:pPr>
        <w:widowControl/>
        <w:ind w:firstLine="640" w:firstLineChars="200"/>
        <w:jc w:val="left"/>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rPr>
        <w:t>（一）主要职</w:t>
      </w:r>
      <w:r>
        <w:rPr>
          <w:rFonts w:hint="eastAsia" w:ascii="楷体" w:hAnsi="楷体" w:eastAsia="楷体" w:cs="楷体"/>
          <w:b w:val="0"/>
          <w:bCs w:val="0"/>
          <w:color w:val="000000"/>
          <w:kern w:val="0"/>
          <w:sz w:val="32"/>
          <w:szCs w:val="32"/>
          <w:lang w:eastAsia="zh-CN"/>
        </w:rPr>
        <w:t>能。</w:t>
      </w:r>
    </w:p>
    <w:p>
      <w:pPr>
        <w:ind w:firstLine="640" w:firstLineChars="200"/>
        <w:rPr>
          <w:rFonts w:ascii="仿宋" w:hAnsi="仿宋" w:eastAsia="仿宋" w:cs="仿宋"/>
          <w:sz w:val="32"/>
          <w:szCs w:val="32"/>
        </w:rPr>
      </w:pPr>
      <w:r>
        <w:rPr>
          <w:rFonts w:hint="eastAsia" w:ascii="仿宋" w:hAnsi="仿宋" w:eastAsia="仿宋" w:cs="仿宋"/>
          <w:sz w:val="32"/>
          <w:szCs w:val="32"/>
        </w:rPr>
        <w:t>部门主要职责： 负责全县移民(脱贫) 搬迁工作的项目编 制、报送、资金争取和计划任务的下达； 负责组织实施全县移 民(脱贫) 搬迁工作； 负责全县移民(脱贫) 搬迁的规划设计、项目实施、安全保障、检查验收工作；负责全县移民(脱贫)  搬迁专项资金管理和监督使用工作； 负责移民(脱贫) 搬迁的 对外宣传及联络工作； 完成县</w:t>
      </w:r>
      <w:r>
        <w:rPr>
          <w:rFonts w:hint="eastAsia" w:ascii="仿宋" w:hAnsi="仿宋" w:eastAsia="仿宋" w:cs="仿宋"/>
          <w:sz w:val="32"/>
          <w:szCs w:val="32"/>
          <w:lang w:eastAsia="zh-CN"/>
        </w:rPr>
        <w:t>自然资源</w:t>
      </w:r>
      <w:r>
        <w:rPr>
          <w:rFonts w:hint="eastAsia" w:ascii="仿宋" w:hAnsi="仿宋" w:eastAsia="仿宋" w:cs="仿宋"/>
          <w:sz w:val="32"/>
          <w:szCs w:val="32"/>
        </w:rPr>
        <w:t>局交办的其他工作任务。</w:t>
      </w:r>
    </w:p>
    <w:p>
      <w:pPr>
        <w:widowControl/>
        <w:numPr>
          <w:ilvl w:val="0"/>
          <w:numId w:val="2"/>
        </w:numPr>
        <w:ind w:firstLine="640" w:firstLineChars="200"/>
        <w:jc w:val="left"/>
        <w:rPr>
          <w:rFonts w:hint="eastAsia" w:ascii="楷体" w:hAnsi="楷体" w:eastAsia="楷体" w:cs="楷体"/>
          <w:b w:val="0"/>
          <w:bCs w:val="0"/>
          <w:color w:val="000000"/>
          <w:kern w:val="0"/>
          <w:sz w:val="32"/>
          <w:szCs w:val="32"/>
          <w:lang w:eastAsia="zh-CN"/>
        </w:rPr>
      </w:pPr>
      <w:r>
        <w:rPr>
          <w:rFonts w:hint="eastAsia" w:ascii="楷体" w:hAnsi="楷体" w:eastAsia="楷体" w:cs="楷体"/>
          <w:b w:val="0"/>
          <w:bCs w:val="0"/>
          <w:color w:val="000000"/>
          <w:kern w:val="0"/>
          <w:sz w:val="32"/>
          <w:szCs w:val="32"/>
        </w:rPr>
        <w:t>内设机构</w:t>
      </w:r>
      <w:r>
        <w:rPr>
          <w:rFonts w:hint="eastAsia" w:ascii="楷体" w:hAnsi="楷体" w:eastAsia="楷体" w:cs="楷体"/>
          <w:b w:val="0"/>
          <w:bCs w:val="0"/>
          <w:color w:val="000000"/>
          <w:kern w:val="0"/>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镇坪县移民(脱贫) 搬迁工作办公室为县</w:t>
      </w:r>
      <w:r>
        <w:rPr>
          <w:rFonts w:hint="eastAsia" w:ascii="仿宋" w:hAnsi="仿宋" w:eastAsia="仿宋" w:cs="仿宋"/>
          <w:sz w:val="32"/>
          <w:szCs w:val="32"/>
          <w:lang w:eastAsia="zh-CN"/>
        </w:rPr>
        <w:t>自然资源局</w:t>
      </w:r>
      <w:r>
        <w:rPr>
          <w:rFonts w:hint="eastAsia" w:ascii="仿宋" w:hAnsi="仿宋" w:eastAsia="仿宋" w:cs="仿宋"/>
          <w:sz w:val="32"/>
          <w:szCs w:val="32"/>
        </w:rPr>
        <w:t>下属正科级事业单位。内设移民(脱贫) 搬迁项目管理部。</w:t>
      </w:r>
    </w:p>
    <w:p>
      <w:pPr>
        <w:widowControl/>
        <w:ind w:firstLine="640" w:firstLineChars="200"/>
        <w:jc w:val="left"/>
        <w:rPr>
          <w:rFonts w:hint="eastAsia"/>
        </w:rPr>
      </w:pPr>
      <w:r>
        <w:rPr>
          <w:rFonts w:ascii="黑体" w:hAnsi="宋体" w:eastAsia="黑体"/>
          <w:color w:val="000000"/>
          <w:kern w:val="0"/>
          <w:sz w:val="32"/>
          <w:szCs w:val="32"/>
        </w:rPr>
        <w:t>二、</w:t>
      </w:r>
      <w:r>
        <w:rPr>
          <w:rFonts w:hint="eastAsia" w:ascii="黑体" w:hAnsi="宋体" w:eastAsia="黑体"/>
          <w:color w:val="000000"/>
          <w:kern w:val="0"/>
          <w:sz w:val="32"/>
          <w:szCs w:val="32"/>
        </w:rPr>
        <w:t>部门决算单位构成</w:t>
      </w:r>
    </w:p>
    <w:p>
      <w:pPr>
        <w:ind w:firstLine="640"/>
        <w:rPr>
          <w:rFonts w:hint="eastAsia" w:ascii="仿宋" w:hAnsi="仿宋" w:eastAsia="仿宋" w:cs="仿宋"/>
          <w:sz w:val="30"/>
          <w:szCs w:val="30"/>
          <w:lang w:eastAsia="zh-CN"/>
        </w:rPr>
      </w:pPr>
      <w:r>
        <w:rPr>
          <w:rFonts w:hint="eastAsia" w:ascii="仿宋" w:hAnsi="仿宋" w:eastAsia="仿宋" w:cs="仿宋"/>
          <w:sz w:val="30"/>
          <w:szCs w:val="30"/>
          <w:lang w:eastAsia="zh-CN"/>
        </w:rPr>
        <w:t>纳入</w:t>
      </w:r>
      <w:r>
        <w:rPr>
          <w:rFonts w:hint="eastAsia" w:ascii="仿宋" w:hAnsi="仿宋" w:eastAsia="仿宋" w:cs="仿宋"/>
          <w:sz w:val="30"/>
          <w:szCs w:val="30"/>
          <w:lang w:val="en-US" w:eastAsia="zh-CN"/>
        </w:rPr>
        <w:t>2021年本部门决算编制范围的单位共1个，</w:t>
      </w:r>
      <w:r>
        <w:rPr>
          <w:rFonts w:hint="eastAsia" w:ascii="仿宋" w:hAnsi="仿宋" w:eastAsia="仿宋" w:cs="仿宋"/>
          <w:sz w:val="30"/>
          <w:szCs w:val="30"/>
        </w:rPr>
        <w:t>县移民（脱贫）搬迁工作办公室为独立预算单位，</w:t>
      </w:r>
      <w:r>
        <w:rPr>
          <w:rFonts w:hint="eastAsia" w:ascii="仿宋" w:hAnsi="仿宋" w:eastAsia="仿宋" w:cs="仿宋"/>
          <w:sz w:val="30"/>
          <w:szCs w:val="30"/>
          <w:lang w:val="en-US" w:eastAsia="zh-CN"/>
        </w:rPr>
        <w:t>决</w:t>
      </w:r>
      <w:r>
        <w:rPr>
          <w:rFonts w:hint="eastAsia" w:ascii="仿宋" w:hAnsi="仿宋" w:eastAsia="仿宋" w:cs="仿宋"/>
          <w:sz w:val="30"/>
          <w:szCs w:val="30"/>
        </w:rPr>
        <w:t>算独立编制公开。</w:t>
      </w:r>
    </w:p>
    <w:tbl>
      <w:tblPr>
        <w:tblStyle w:val="1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3"/>
        <w:gridCol w:w="6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top"/>
          </w:tcPr>
          <w:p>
            <w:pPr>
              <w:rPr>
                <w:rFonts w:hint="eastAsia" w:ascii="微软雅黑" w:hAnsi="微软雅黑" w:eastAsia="微软雅黑" w:cs="微软雅黑"/>
                <w:sz w:val="32"/>
                <w:szCs w:val="32"/>
                <w:vertAlign w:val="baseline"/>
                <w:lang w:eastAsia="zh-CN"/>
              </w:rPr>
            </w:pPr>
            <w:r>
              <w:rPr>
                <w:rFonts w:hint="eastAsia" w:ascii="微软雅黑" w:hAnsi="微软雅黑" w:eastAsia="微软雅黑" w:cs="微软雅黑"/>
                <w:sz w:val="32"/>
                <w:szCs w:val="32"/>
                <w:vertAlign w:val="baseline"/>
                <w:lang w:eastAsia="zh-CN"/>
              </w:rPr>
              <w:t>序号</w:t>
            </w:r>
          </w:p>
        </w:tc>
        <w:tc>
          <w:tcPr>
            <w:tcW w:w="6319" w:type="dxa"/>
            <w:vAlign w:val="top"/>
          </w:tcPr>
          <w:p>
            <w:pPr>
              <w:rPr>
                <w:rFonts w:hint="eastAsia" w:ascii="微软雅黑" w:hAnsi="微软雅黑" w:eastAsia="微软雅黑" w:cs="微软雅黑"/>
                <w:sz w:val="32"/>
                <w:szCs w:val="32"/>
                <w:vertAlign w:val="baseline"/>
                <w:lang w:eastAsia="zh-CN"/>
              </w:rPr>
            </w:pPr>
            <w:r>
              <w:rPr>
                <w:rFonts w:hint="eastAsia" w:ascii="微软雅黑" w:hAnsi="微软雅黑" w:eastAsia="微软雅黑" w:cs="微软雅黑"/>
                <w:sz w:val="32"/>
                <w:szCs w:val="32"/>
                <w:vertAlign w:val="baseline"/>
                <w:lang w:eastAsia="zh-CN"/>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top"/>
          </w:tcPr>
          <w:p>
            <w:pPr>
              <w:rPr>
                <w:rFonts w:hint="default" w:ascii="微软雅黑" w:hAnsi="微软雅黑" w:eastAsia="微软雅黑" w:cs="微软雅黑"/>
                <w:sz w:val="32"/>
                <w:szCs w:val="32"/>
                <w:vertAlign w:val="baseline"/>
                <w:lang w:val="en-US" w:eastAsia="zh-CN"/>
              </w:rPr>
            </w:pPr>
            <w:r>
              <w:rPr>
                <w:rFonts w:hint="eastAsia" w:ascii="微软雅黑" w:hAnsi="微软雅黑" w:eastAsia="微软雅黑" w:cs="微软雅黑"/>
                <w:sz w:val="32"/>
                <w:szCs w:val="32"/>
                <w:vertAlign w:val="baseline"/>
                <w:lang w:val="en-US" w:eastAsia="zh-CN"/>
              </w:rPr>
              <w:t>1</w:t>
            </w:r>
          </w:p>
        </w:tc>
        <w:tc>
          <w:tcPr>
            <w:tcW w:w="6319" w:type="dxa"/>
            <w:vAlign w:val="top"/>
          </w:tcPr>
          <w:p>
            <w:pPr>
              <w:rPr>
                <w:rFonts w:hint="eastAsia" w:ascii="微软雅黑" w:hAnsi="微软雅黑" w:eastAsia="仿宋" w:cs="微软雅黑"/>
                <w:sz w:val="32"/>
                <w:szCs w:val="32"/>
                <w:vertAlign w:val="baseline"/>
                <w:lang w:eastAsia="zh-CN"/>
              </w:rPr>
            </w:pPr>
            <w:r>
              <w:rPr>
                <w:rFonts w:hint="eastAsia" w:ascii="仿宋" w:hAnsi="仿宋" w:eastAsia="仿宋" w:cs="仿宋"/>
                <w:sz w:val="30"/>
                <w:szCs w:val="30"/>
              </w:rPr>
              <w:t>县移民（脱贫）搬迁工作办公室</w:t>
            </w:r>
            <w:r>
              <w:rPr>
                <w:rFonts w:hint="eastAsia" w:ascii="仿宋" w:hAnsi="仿宋" w:eastAsia="仿宋" w:cs="仿宋"/>
                <w:sz w:val="30"/>
                <w:szCs w:val="30"/>
                <w:lang w:eastAsia="zh-CN"/>
              </w:rPr>
              <w:t>（本级）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03" w:type="dxa"/>
            <w:vAlign w:val="top"/>
          </w:tcPr>
          <w:p>
            <w:pPr>
              <w:rPr>
                <w:rFonts w:hint="eastAsia" w:ascii="微软雅黑" w:hAnsi="微软雅黑" w:eastAsia="微软雅黑" w:cs="微软雅黑"/>
                <w:sz w:val="32"/>
                <w:szCs w:val="32"/>
                <w:vertAlign w:val="baseline"/>
                <w:lang w:eastAsia="zh-CN"/>
              </w:rPr>
            </w:pPr>
          </w:p>
        </w:tc>
        <w:tc>
          <w:tcPr>
            <w:tcW w:w="6319" w:type="dxa"/>
            <w:vAlign w:val="top"/>
          </w:tcPr>
          <w:p>
            <w:pPr>
              <w:rPr>
                <w:rFonts w:hint="eastAsia" w:ascii="微软雅黑" w:hAnsi="微软雅黑" w:eastAsia="微软雅黑" w:cs="微软雅黑"/>
                <w:sz w:val="32"/>
                <w:szCs w:val="32"/>
                <w:vertAlign w:val="baseline"/>
                <w:lang w:eastAsia="zh-CN"/>
              </w:rPr>
            </w:pPr>
          </w:p>
        </w:tc>
      </w:tr>
    </w:tbl>
    <w:p>
      <w:pPr>
        <w:rPr>
          <w:rFonts w:hint="default" w:ascii="仿宋_GB2312" w:hAnsi="仿宋_GB2312" w:eastAsia="仿宋_GB2312" w:cs="仿宋_GB2312"/>
          <w:sz w:val="32"/>
          <w:szCs w:val="32"/>
          <w:lang w:val="en-US" w:eastAsia="zh-CN"/>
        </w:rPr>
      </w:pPr>
    </w:p>
    <w:p>
      <w:pPr>
        <w:ind w:firstLine="640" w:firstLineChars="200"/>
        <w:rPr>
          <w:rFonts w:ascii="黑体" w:hAnsi="黑体" w:eastAsia="黑体"/>
          <w:b w:val="0"/>
          <w:bCs w:val="0"/>
          <w:sz w:val="32"/>
          <w:szCs w:val="32"/>
        </w:rPr>
      </w:pPr>
      <w:r>
        <w:rPr>
          <w:rFonts w:hint="eastAsia" w:ascii="黑体" w:hAnsi="黑体" w:eastAsia="黑体"/>
          <w:b w:val="0"/>
          <w:bCs w:val="0"/>
          <w:sz w:val="32"/>
          <w:szCs w:val="32"/>
        </w:rPr>
        <w:t>三、部门人员情况</w:t>
      </w:r>
    </w:p>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540" w:lineRule="exact"/>
        <w:ind w:firstLine="640" w:firstLineChars="200"/>
        <w:jc w:val="both"/>
        <w:textAlignment w:val="auto"/>
        <w:rPr>
          <w:rFonts w:hint="eastAsia" w:ascii="微软雅黑" w:hAnsi="微软雅黑" w:eastAsia="宋体" w:cs="微软雅黑"/>
          <w:color w:val="auto"/>
          <w:sz w:val="32"/>
          <w:szCs w:val="32"/>
          <w:lang w:eastAsia="zh-CN"/>
        </w:rPr>
      </w:pPr>
      <w:r>
        <w:rPr>
          <w:rFonts w:hint="eastAsia" w:ascii="宋体" w:hAnsi="宋体" w:eastAsia="宋体" w:cs="宋体"/>
          <w:color w:val="auto"/>
          <w:sz w:val="32"/>
          <w:szCs w:val="32"/>
          <w:lang w:val="en-US" w:eastAsia="zh-CN"/>
        </w:rPr>
        <w:t>截止20</w:t>
      </w:r>
      <w:r>
        <w:rPr>
          <w:rFonts w:hint="eastAsia" w:ascii="宋体" w:hAnsi="宋体" w:cs="宋体"/>
          <w:color w:val="auto"/>
          <w:sz w:val="32"/>
          <w:szCs w:val="32"/>
          <w:lang w:val="en-US" w:eastAsia="zh-CN"/>
        </w:rPr>
        <w:t>21</w:t>
      </w:r>
      <w:r>
        <w:rPr>
          <w:rFonts w:hint="eastAsia" w:ascii="宋体" w:hAnsi="宋体" w:eastAsia="宋体" w:cs="宋体"/>
          <w:color w:val="auto"/>
          <w:sz w:val="32"/>
          <w:szCs w:val="32"/>
          <w:lang w:val="en-US" w:eastAsia="zh-CN"/>
        </w:rPr>
        <w:t>年底，本部门</w:t>
      </w:r>
      <w:r>
        <w:rPr>
          <w:rFonts w:hint="eastAsia" w:ascii="宋体" w:hAnsi="宋体" w:eastAsia="宋体" w:cs="宋体"/>
          <w:color w:val="auto"/>
          <w:sz w:val="32"/>
          <w:szCs w:val="32"/>
        </w:rPr>
        <w:t>人员编制为</w:t>
      </w:r>
      <w:r>
        <w:rPr>
          <w:rFonts w:hint="eastAsia" w:ascii="宋体" w:hAnsi="宋体" w:cs="宋体"/>
          <w:color w:val="auto"/>
          <w:sz w:val="32"/>
          <w:szCs w:val="32"/>
          <w:lang w:val="en-US" w:eastAsia="zh-CN"/>
        </w:rPr>
        <w:t>5</w:t>
      </w:r>
      <w:r>
        <w:rPr>
          <w:rFonts w:hint="eastAsia" w:ascii="宋体" w:hAnsi="宋体" w:eastAsia="宋体" w:cs="宋体"/>
          <w:color w:val="auto"/>
          <w:sz w:val="32"/>
          <w:szCs w:val="32"/>
          <w:lang w:eastAsia="zh-CN"/>
        </w:rPr>
        <w:t>人</w:t>
      </w:r>
      <w:r>
        <w:rPr>
          <w:rFonts w:hint="eastAsia" w:ascii="宋体" w:hAnsi="宋体" w:eastAsia="宋体" w:cs="宋体"/>
          <w:color w:val="auto"/>
          <w:sz w:val="32"/>
          <w:szCs w:val="32"/>
        </w:rPr>
        <w:t>，其中行政编制</w:t>
      </w:r>
      <w:r>
        <w:rPr>
          <w:rFonts w:hint="eastAsia" w:ascii="宋体" w:hAnsi="宋体" w:cs="宋体"/>
          <w:color w:val="auto"/>
          <w:sz w:val="32"/>
          <w:szCs w:val="32"/>
          <w:lang w:val="en-US" w:eastAsia="zh-CN"/>
        </w:rPr>
        <w:t>0</w:t>
      </w:r>
      <w:r>
        <w:rPr>
          <w:rFonts w:hint="eastAsia" w:ascii="宋体" w:hAnsi="宋体" w:eastAsia="宋体" w:cs="宋体"/>
          <w:color w:val="auto"/>
          <w:sz w:val="32"/>
          <w:szCs w:val="32"/>
          <w:lang w:eastAsia="zh-CN"/>
        </w:rPr>
        <w:t>人</w:t>
      </w:r>
      <w:r>
        <w:rPr>
          <w:rFonts w:hint="eastAsia" w:ascii="宋体" w:hAnsi="宋体" w:eastAsia="宋体" w:cs="宋体"/>
          <w:color w:val="auto"/>
          <w:sz w:val="32"/>
          <w:szCs w:val="32"/>
        </w:rPr>
        <w:t>，事业编制</w:t>
      </w:r>
      <w:r>
        <w:rPr>
          <w:rFonts w:hint="eastAsia" w:ascii="宋体" w:hAnsi="宋体" w:cs="宋体"/>
          <w:color w:val="auto"/>
          <w:sz w:val="32"/>
          <w:szCs w:val="32"/>
          <w:lang w:val="en-US" w:eastAsia="zh-CN"/>
        </w:rPr>
        <w:t>5</w:t>
      </w:r>
      <w:r>
        <w:rPr>
          <w:rFonts w:hint="eastAsia" w:ascii="宋体" w:hAnsi="宋体" w:eastAsia="宋体" w:cs="宋体"/>
          <w:color w:val="auto"/>
          <w:sz w:val="32"/>
          <w:szCs w:val="32"/>
          <w:lang w:eastAsia="zh-CN"/>
        </w:rPr>
        <w:t>人</w:t>
      </w:r>
      <w:r>
        <w:rPr>
          <w:rFonts w:hint="eastAsia" w:ascii="宋体" w:hAnsi="宋体" w:cs="宋体"/>
          <w:color w:val="auto"/>
          <w:sz w:val="32"/>
          <w:szCs w:val="32"/>
          <w:lang w:eastAsia="zh-CN"/>
        </w:rPr>
        <w:t>，</w:t>
      </w:r>
      <w:r>
        <w:rPr>
          <w:rFonts w:hint="eastAsia" w:ascii="宋体" w:hAnsi="宋体" w:eastAsia="宋体" w:cs="宋体"/>
          <w:color w:val="auto"/>
          <w:sz w:val="32"/>
          <w:szCs w:val="32"/>
          <w:lang w:eastAsia="zh-CN"/>
        </w:rPr>
        <w:t>实有在职人员</w:t>
      </w:r>
      <w:r>
        <w:rPr>
          <w:rFonts w:hint="eastAsia" w:ascii="宋体" w:hAnsi="宋体" w:cs="宋体"/>
          <w:color w:val="auto"/>
          <w:sz w:val="32"/>
          <w:szCs w:val="32"/>
          <w:lang w:val="en-US" w:eastAsia="zh-CN"/>
        </w:rPr>
        <w:t>5</w:t>
      </w:r>
      <w:r>
        <w:rPr>
          <w:rFonts w:hint="eastAsia" w:ascii="宋体" w:hAnsi="宋体" w:eastAsia="宋体" w:cs="宋体"/>
          <w:color w:val="auto"/>
          <w:sz w:val="32"/>
          <w:szCs w:val="32"/>
          <w:lang w:val="en-US" w:eastAsia="zh-CN"/>
        </w:rPr>
        <w:t>人，其中</w:t>
      </w:r>
      <w:r>
        <w:rPr>
          <w:rFonts w:hint="eastAsia" w:ascii="宋体" w:hAnsi="宋体" w:cs="宋体"/>
          <w:color w:val="auto"/>
          <w:sz w:val="32"/>
          <w:szCs w:val="32"/>
          <w:lang w:val="en-US" w:eastAsia="zh-CN"/>
        </w:rPr>
        <w:t>行政人员0人，</w:t>
      </w:r>
      <w:r>
        <w:rPr>
          <w:rFonts w:hint="eastAsia" w:ascii="宋体" w:hAnsi="宋体" w:eastAsia="宋体" w:cs="宋体"/>
          <w:color w:val="auto"/>
          <w:sz w:val="32"/>
          <w:szCs w:val="32"/>
        </w:rPr>
        <w:t>事业人员</w:t>
      </w:r>
      <w:r>
        <w:rPr>
          <w:rFonts w:hint="eastAsia" w:ascii="宋体" w:hAnsi="宋体" w:cs="宋体"/>
          <w:color w:val="auto"/>
          <w:sz w:val="32"/>
          <w:szCs w:val="32"/>
          <w:lang w:val="en-US" w:eastAsia="zh-CN"/>
        </w:rPr>
        <w:t>5</w:t>
      </w:r>
      <w:r>
        <w:rPr>
          <w:rFonts w:hint="eastAsia" w:ascii="宋体" w:hAnsi="宋体" w:eastAsia="宋体" w:cs="宋体"/>
          <w:color w:val="auto"/>
          <w:sz w:val="32"/>
          <w:szCs w:val="32"/>
        </w:rPr>
        <w:t>人</w:t>
      </w:r>
      <w:r>
        <w:rPr>
          <w:rFonts w:hint="eastAsia" w:ascii="宋体" w:hAnsi="宋体" w:cs="宋体"/>
          <w:color w:val="auto"/>
          <w:sz w:val="32"/>
          <w:szCs w:val="32"/>
          <w:lang w:eastAsia="zh-CN"/>
        </w:rPr>
        <w:t>。</w:t>
      </w:r>
    </w:p>
    <w:p>
      <w:pPr>
        <w:jc w:val="center"/>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lang w:eastAsia="zh-CN"/>
        </w:rPr>
        <w:drawing>
          <wp:inline distT="0" distB="0" distL="114300" distR="114300">
            <wp:extent cx="5080000" cy="3810000"/>
            <wp:effectExtent l="4445" t="4445" r="8255" b="825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jc w:val="center"/>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pStyle w:val="2"/>
        <w:rPr>
          <w:rFonts w:hint="eastAsia" w:ascii="方正小标宋简体" w:hAnsi="方正小标宋简体" w:eastAsia="方正小标宋简体" w:cs="方正小标宋简体"/>
          <w:color w:val="000000"/>
          <w:kern w:val="0"/>
          <w:sz w:val="44"/>
          <w:szCs w:val="44"/>
        </w:rPr>
      </w:pPr>
    </w:p>
    <w:p>
      <w:pPr>
        <w:jc w:val="center"/>
        <w:rPr>
          <w:rFonts w:hint="eastAsia" w:ascii="方正小标宋简体" w:hAnsi="方正小标宋简体" w:eastAsia="方正小标宋简体" w:cs="方正小标宋简体"/>
          <w:color w:val="000000"/>
          <w:kern w:val="0"/>
          <w:sz w:val="44"/>
          <w:szCs w:val="44"/>
        </w:rPr>
      </w:pPr>
    </w:p>
    <w:p>
      <w:pPr>
        <w:numPr>
          <w:ilvl w:val="0"/>
          <w:numId w:val="3"/>
        </w:numPr>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lang w:eastAsia="zh-CN"/>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年度部门决算表</w:t>
      </w:r>
    </w:p>
    <w:tbl>
      <w:tblPr>
        <w:tblStyle w:val="11"/>
        <w:tblW w:w="93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17"/>
        <w:gridCol w:w="6346"/>
        <w:gridCol w:w="1020"/>
        <w:gridCol w:w="13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9358" w:type="dxa"/>
            <w:gridSpan w:val="4"/>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黑体" w:hAnsi="宋体" w:eastAsia="黑体" w:cs="黑体"/>
                <w:i w:val="0"/>
                <w:iCs w:val="0"/>
                <w:color w:val="000000"/>
                <w:sz w:val="36"/>
                <w:szCs w:val="36"/>
                <w:u w:val="none"/>
              </w:rPr>
            </w:pPr>
            <w:r>
              <w:rPr>
                <w:rFonts w:hint="eastAsia" w:ascii="黑体" w:hAnsi="宋体" w:eastAsia="黑体" w:cs="黑体"/>
                <w:i w:val="0"/>
                <w:iCs w:val="0"/>
                <w:color w:val="000000"/>
                <w:kern w:val="0"/>
                <w:sz w:val="36"/>
                <w:szCs w:val="36"/>
                <w:u w:val="none"/>
                <w:lang w:val="en-US" w:eastAsia="zh-CN" w:bidi="ar"/>
              </w:rPr>
              <w:t>目  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序号</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内容</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是否空表</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4"/>
                <w:szCs w:val="24"/>
                <w:u w:val="none"/>
              </w:rPr>
            </w:pPr>
            <w:r>
              <w:rPr>
                <w:rFonts w:hint="eastAsia" w:ascii="黑体" w:hAnsi="宋体" w:eastAsia="黑体" w:cs="黑体"/>
                <w:i w:val="0"/>
                <w:iCs w:val="0"/>
                <w:color w:val="000000"/>
                <w:kern w:val="0"/>
                <w:sz w:val="24"/>
                <w:szCs w:val="24"/>
                <w:u w:val="none"/>
                <w:lang w:val="en-US" w:eastAsia="zh-CN" w:bidi="ar"/>
              </w:rPr>
              <w:t>表格为空的理由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表1</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收入支出决算总表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表2</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收入决算表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表3</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支出决算表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表4</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财政拨款收入支出决算总表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表5</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一般公共预算财政拨款支出决算表（按功能分类科目）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表6</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一般公共预算财政拨款基本支出决算表 （按经济分类科目）</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表7</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一般公共预算财政拨款“三公”经费及会   议费、培训费支出决算表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表8</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政府性基金预算财政拨款收入支出决算表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否</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trPr>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表9</w:t>
            </w:r>
          </w:p>
        </w:tc>
        <w:tc>
          <w:tcPr>
            <w:tcW w:w="63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国有资本经营预算财政拨款支出决算表</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是</w:t>
            </w:r>
          </w:p>
        </w:tc>
        <w:tc>
          <w:tcPr>
            <w:tcW w:w="1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本年度无国有资本经营</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预算支出</w:t>
            </w:r>
          </w:p>
        </w:tc>
      </w:tr>
    </w:tbl>
    <w:p>
      <w:pPr>
        <w:widowControl/>
        <w:jc w:val="both"/>
        <w:textAlignment w:val="center"/>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tbl>
      <w:tblPr>
        <w:tblStyle w:val="11"/>
        <w:tblW w:w="94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515"/>
        <w:gridCol w:w="1443"/>
        <w:gridCol w:w="2837"/>
        <w:gridCol w:w="1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33"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24"/>
                <w:szCs w:val="24"/>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515"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144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837"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63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958" w:type="dxa"/>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2837"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63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958"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收入</w:t>
            </w:r>
          </w:p>
        </w:tc>
        <w:tc>
          <w:tcPr>
            <w:tcW w:w="4475" w:type="dxa"/>
            <w:gridSpan w:val="2"/>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w:t>
            </w:r>
          </w:p>
        </w:tc>
        <w:tc>
          <w:tcPr>
            <w:tcW w:w="1443"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决算数</w:t>
            </w: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项目(按功能分类)</w:t>
            </w:r>
          </w:p>
        </w:tc>
        <w:tc>
          <w:tcPr>
            <w:tcW w:w="163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1.一般公共预算财政拨款</w:t>
            </w:r>
          </w:p>
        </w:tc>
        <w:tc>
          <w:tcPr>
            <w:tcW w:w="14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90.92</w:t>
            </w: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1.一般公共服务支出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2.政府性基金预算财政拨款</w:t>
            </w:r>
          </w:p>
        </w:tc>
        <w:tc>
          <w:tcPr>
            <w:tcW w:w="14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2.外交支出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3.国有资本经营预算财政拨款</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3.国防支出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4.上级补助收入</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4.公共安全支出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5.事业收入</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5.教育支出</w:t>
            </w:r>
          </w:p>
        </w:tc>
        <w:tc>
          <w:tcPr>
            <w:tcW w:w="1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6.经营收入</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6.科学技术支出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7.附属单位上缴收入</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7.文化旅游体育与传媒支出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8.其他收入</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8.社会保障和就业支出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9.卫生健康支出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10.节能环保支出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11.城乡社区支出</w:t>
            </w:r>
          </w:p>
        </w:tc>
        <w:tc>
          <w:tcPr>
            <w:tcW w:w="1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12.农林水支出</w:t>
            </w:r>
          </w:p>
        </w:tc>
        <w:tc>
          <w:tcPr>
            <w:tcW w:w="1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13.交通运输支出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14.资源勘探信息等支出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15.商业服务业等支出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16.金融支出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17.援助其他地区支出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18.自然资源海洋气象等支出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19.住房保障支出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20.粮油物资储备支出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21.国有资本经营预算支出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22.灾害防治及应急管理支出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23.其他支出</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13"/>
                <w:szCs w:val="13"/>
                <w:u w:val="none"/>
              </w:rPr>
            </w:pP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本年收入合计</w:t>
            </w:r>
          </w:p>
        </w:tc>
        <w:tc>
          <w:tcPr>
            <w:tcW w:w="14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1,582.87</w:t>
            </w: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本年支出合计</w:t>
            </w:r>
          </w:p>
        </w:tc>
        <w:tc>
          <w:tcPr>
            <w:tcW w:w="1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使用非财政拨款结余</w:t>
            </w:r>
          </w:p>
        </w:tc>
        <w:tc>
          <w:tcPr>
            <w:tcW w:w="144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结余分配</w:t>
            </w:r>
          </w:p>
        </w:tc>
        <w:tc>
          <w:tcPr>
            <w:tcW w:w="16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年初结转和结余</w:t>
            </w:r>
          </w:p>
        </w:tc>
        <w:tc>
          <w:tcPr>
            <w:tcW w:w="144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8.78</w:t>
            </w:r>
          </w:p>
        </w:tc>
        <w:tc>
          <w:tcPr>
            <w:tcW w:w="28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年末结转和结余</w:t>
            </w:r>
          </w:p>
        </w:tc>
        <w:tc>
          <w:tcPr>
            <w:tcW w:w="163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15" w:type="dxa"/>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收入总计</w:t>
            </w:r>
          </w:p>
        </w:tc>
        <w:tc>
          <w:tcPr>
            <w:tcW w:w="1443"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1,591.66</w:t>
            </w:r>
          </w:p>
        </w:tc>
        <w:tc>
          <w:tcPr>
            <w:tcW w:w="2837" w:type="dxa"/>
            <w:tcBorders>
              <w:top w:val="nil"/>
              <w:left w:val="nil"/>
              <w:bottom w:val="single" w:color="000000" w:sz="8"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支出总计</w:t>
            </w:r>
          </w:p>
        </w:tc>
        <w:tc>
          <w:tcPr>
            <w:tcW w:w="1638"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33" w:type="dxa"/>
            <w:gridSpan w:val="4"/>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16"/>
                <w:szCs w:val="16"/>
                <w:u w:val="none"/>
                <w:lang w:val="en-US" w:eastAsia="zh-CN" w:bidi="ar"/>
              </w:rPr>
              <w:t>注：本表反映部门本年度的总收支和年末结转结余情况。本表金额转换为万元时，因四舍五入可能存在尾差。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sectPr>
          <w:footerReference r:id="rId5" w:type="default"/>
          <w:pgSz w:w="11906" w:h="16838"/>
          <w:pgMar w:top="1440" w:right="1080" w:bottom="1440" w:left="1080" w:header="851" w:footer="992" w:gutter="0"/>
          <w:pgNumType w:fmt="decimal" w:start="1"/>
          <w:cols w:space="0" w:num="1"/>
          <w:rtlGutter w:val="0"/>
          <w:docGrid w:type="lines" w:linePitch="315" w:charSpace="0"/>
        </w:sectPr>
      </w:pPr>
    </w:p>
    <w:p>
      <w:pPr>
        <w:pStyle w:val="10"/>
        <w:rPr>
          <w:rFonts w:hint="eastAsia" w:ascii="宋体" w:hAnsi="宋体" w:eastAsia="宋体" w:cs="宋体"/>
          <w:b/>
          <w:bCs/>
          <w:kern w:val="2"/>
          <w:sz w:val="21"/>
          <w:szCs w:val="21"/>
          <w:lang w:val="en-US" w:eastAsia="zh-CN" w:bidi="ar-SA"/>
        </w:rPr>
      </w:pPr>
    </w:p>
    <w:tbl>
      <w:tblPr>
        <w:tblStyle w:val="11"/>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34"/>
        <w:gridCol w:w="433"/>
        <w:gridCol w:w="240"/>
        <w:gridCol w:w="1526"/>
        <w:gridCol w:w="962"/>
        <w:gridCol w:w="950"/>
        <w:gridCol w:w="725"/>
        <w:gridCol w:w="538"/>
        <w:gridCol w:w="975"/>
        <w:gridCol w:w="662"/>
        <w:gridCol w:w="888"/>
        <w:gridCol w:w="10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20" w:type="dxa"/>
            <w:gridSpan w:val="1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24"/>
                <w:szCs w:val="24"/>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34"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43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526" w:type="dxa"/>
            <w:tcBorders>
              <w:top w:val="nil"/>
              <w:left w:val="nil"/>
              <w:bottom w:val="nil"/>
              <w:right w:val="nil"/>
            </w:tcBorders>
            <w:shd w:val="clear" w:color="auto" w:fill="auto"/>
            <w:vAlign w:val="bottom"/>
          </w:tcPr>
          <w:p>
            <w:pPr>
              <w:rPr>
                <w:rFonts w:hint="default" w:ascii="Arial" w:hAnsi="Arial" w:cs="Arial"/>
                <w:i w:val="0"/>
                <w:iCs w:val="0"/>
                <w:color w:val="000000"/>
                <w:sz w:val="20"/>
                <w:szCs w:val="20"/>
                <w:u w:val="none"/>
              </w:rPr>
            </w:pPr>
          </w:p>
        </w:tc>
        <w:tc>
          <w:tcPr>
            <w:tcW w:w="9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53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6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88"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8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545" w:type="dxa"/>
            <w:gridSpan w:val="6"/>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72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53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9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66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88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87"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263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96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本年收入合计</w:t>
            </w:r>
          </w:p>
        </w:tc>
        <w:tc>
          <w:tcPr>
            <w:tcW w:w="9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财政拨款收入</w:t>
            </w:r>
          </w:p>
        </w:tc>
        <w:tc>
          <w:tcPr>
            <w:tcW w:w="7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上级补助收入</w:t>
            </w:r>
          </w:p>
        </w:tc>
        <w:tc>
          <w:tcPr>
            <w:tcW w:w="1513" w:type="dxa"/>
            <w:gridSpan w:val="2"/>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事业收入</w:t>
            </w:r>
          </w:p>
        </w:tc>
        <w:tc>
          <w:tcPr>
            <w:tcW w:w="66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经营收入</w:t>
            </w:r>
          </w:p>
        </w:tc>
        <w:tc>
          <w:tcPr>
            <w:tcW w:w="8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附属单位上缴收入</w:t>
            </w:r>
          </w:p>
        </w:tc>
        <w:tc>
          <w:tcPr>
            <w:tcW w:w="1087"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152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9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13" w:type="dxa"/>
            <w:gridSpan w:val="2"/>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87"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53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97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其中：教育收费</w:t>
            </w:r>
          </w:p>
        </w:tc>
        <w:tc>
          <w:tcPr>
            <w:tcW w:w="6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87"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10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52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53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7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87"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263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1,582.87</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1,582.87</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1"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教育支出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进修及培训</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2"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2050803</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培训支出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城乡社区支出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国有土地使用权出让收入安排的支出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7"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2120899</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其他国有土地使用权出让收入安排的支出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农林水支出</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扶贫</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trPr>
        <w:tc>
          <w:tcPr>
            <w:tcW w:w="110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2130504</w:t>
            </w:r>
          </w:p>
        </w:tc>
        <w:tc>
          <w:tcPr>
            <w:tcW w:w="15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农村基础设施建设</w:t>
            </w:r>
          </w:p>
        </w:tc>
        <w:tc>
          <w:tcPr>
            <w:tcW w:w="9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90.72</w:t>
            </w:r>
          </w:p>
        </w:tc>
        <w:tc>
          <w:tcPr>
            <w:tcW w:w="7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53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9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6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87"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20" w:type="dxa"/>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注：本表反映部门本年度取得的各项收入情况。本表金额转换为万元时，因四舍五入可能存在尾差。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sectPr>
          <w:pgSz w:w="11906" w:h="16838"/>
          <w:pgMar w:top="1440" w:right="1080" w:bottom="1440" w:left="1080" w:header="851" w:footer="992" w:gutter="0"/>
          <w:pgNumType w:fmt="decimal" w:start="1"/>
          <w:cols w:space="0" w:num="1"/>
          <w:rtlGutter w:val="0"/>
          <w:docGrid w:type="lines" w:linePitch="315" w:charSpace="0"/>
        </w:sectPr>
      </w:pPr>
    </w:p>
    <w:tbl>
      <w:tblPr>
        <w:tblStyle w:val="11"/>
        <w:tblW w:w="94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3"/>
        <w:gridCol w:w="2712"/>
        <w:gridCol w:w="950"/>
        <w:gridCol w:w="1100"/>
        <w:gridCol w:w="1075"/>
        <w:gridCol w:w="713"/>
        <w:gridCol w:w="812"/>
        <w:gridCol w:w="1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33"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24"/>
                <w:szCs w:val="24"/>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3445"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1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7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3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395" w:type="dxa"/>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1100"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0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1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81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338"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445"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95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本年支出合计</w:t>
            </w:r>
          </w:p>
        </w:tc>
        <w:tc>
          <w:tcPr>
            <w:tcW w:w="11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10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71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上缴上级支出</w:t>
            </w:r>
          </w:p>
        </w:tc>
        <w:tc>
          <w:tcPr>
            <w:tcW w:w="81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经营支出</w:t>
            </w:r>
          </w:p>
        </w:tc>
        <w:tc>
          <w:tcPr>
            <w:tcW w:w="1338"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27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3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7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3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733"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7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5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1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1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33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3445" w:type="dxa"/>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1,591.62</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69.10</w:t>
            </w: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1,522.52</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0"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教育支出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进修及培训</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2050803</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培训支出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城乡社区支出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国有土地使用权出让收入安排的支出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7"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2120899</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其他国有土地使用权出让收入安排的支出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农林水支出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30.56</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3"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扶贫</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30.56</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2130504</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农村基础设施建设</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90.75</w:t>
            </w:r>
          </w:p>
        </w:tc>
        <w:tc>
          <w:tcPr>
            <w:tcW w:w="1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21.84</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6"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2130599</w:t>
            </w:r>
          </w:p>
        </w:tc>
        <w:tc>
          <w:tcPr>
            <w:tcW w:w="27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其他扶贫支出</w:t>
            </w:r>
          </w:p>
        </w:tc>
        <w:tc>
          <w:tcPr>
            <w:tcW w:w="9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8.72</w:t>
            </w: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8.72</w:t>
            </w: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3" w:type="dxa"/>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2712" w:type="dxa"/>
            <w:tcBorders>
              <w:top w:val="nil"/>
              <w:left w:val="nil"/>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95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10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3"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733" w:type="dxa"/>
            <w:tcBorders>
              <w:top w:val="nil"/>
              <w:left w:val="single" w:color="000000" w:sz="4" w:space="0"/>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2712" w:type="dxa"/>
            <w:tcBorders>
              <w:top w:val="nil"/>
              <w:left w:val="nil"/>
              <w:bottom w:val="single" w:color="000000" w:sz="8" w:space="0"/>
              <w:right w:val="single" w:color="000000" w:sz="4" w:space="0"/>
            </w:tcBorders>
            <w:shd w:val="clear" w:color="auto" w:fill="auto"/>
            <w:vAlign w:val="center"/>
          </w:tcPr>
          <w:p>
            <w:pPr>
              <w:jc w:val="left"/>
              <w:rPr>
                <w:rFonts w:hint="eastAsia" w:ascii="宋体" w:hAnsi="宋体" w:eastAsia="宋体" w:cs="宋体"/>
                <w:i w:val="0"/>
                <w:iCs w:val="0"/>
                <w:color w:val="000000"/>
                <w:sz w:val="13"/>
                <w:szCs w:val="13"/>
                <w:u w:val="none"/>
              </w:rPr>
            </w:pPr>
          </w:p>
        </w:tc>
        <w:tc>
          <w:tcPr>
            <w:tcW w:w="950"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100"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075"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3"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812"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338"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3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注：本表反映部门本年度各项支出情况。本表金额转换为万元时，因四舍五入可能存在尾差。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tbl>
      <w:tblPr>
        <w:tblStyle w:val="11"/>
        <w:tblW w:w="943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058"/>
        <w:gridCol w:w="825"/>
        <w:gridCol w:w="2425"/>
        <w:gridCol w:w="912"/>
        <w:gridCol w:w="1000"/>
        <w:gridCol w:w="900"/>
        <w:gridCol w:w="1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433"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24"/>
                <w:szCs w:val="24"/>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883" w:type="dxa"/>
            <w:gridSpan w:val="2"/>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2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1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31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308"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91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0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900"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31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883" w:type="dxa"/>
            <w:gridSpan w:val="2"/>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收     入</w:t>
            </w:r>
          </w:p>
        </w:tc>
        <w:tc>
          <w:tcPr>
            <w:tcW w:w="6550" w:type="dxa"/>
            <w:gridSpan w:val="5"/>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2058"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    目</w:t>
            </w:r>
          </w:p>
        </w:tc>
        <w:tc>
          <w:tcPr>
            <w:tcW w:w="8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c>
          <w:tcPr>
            <w:tcW w:w="242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项目（按功能分类）</w:t>
            </w:r>
          </w:p>
        </w:tc>
        <w:tc>
          <w:tcPr>
            <w:tcW w:w="4125" w:type="dxa"/>
            <w:gridSpan w:val="4"/>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2058" w:type="dxa"/>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42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912"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10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w:t>
            </w:r>
          </w:p>
        </w:tc>
        <w:tc>
          <w:tcPr>
            <w:tcW w:w="9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政府性基金预算财政拨款</w:t>
            </w:r>
          </w:p>
        </w:tc>
        <w:tc>
          <w:tcPr>
            <w:tcW w:w="1313"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1.一般公共预算财政拨款</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90.92</w:t>
            </w: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1.一般公共服务支出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2.政府性基金预算财政拨款</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2.外交支出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3.国有资本经营预算财政拨款</w:t>
            </w: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3.国防支出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4.公共安全支出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5.教育支出</w:t>
            </w:r>
          </w:p>
        </w:tc>
        <w:tc>
          <w:tcPr>
            <w:tcW w:w="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7"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6.科学技术支出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7.文化旅游体育与传媒支出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8.社会保障和就业支出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9.卫生健康支出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10.节能环保支出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7"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11.城乡社区支出</w:t>
            </w:r>
          </w:p>
        </w:tc>
        <w:tc>
          <w:tcPr>
            <w:tcW w:w="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3"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12.农林水支出</w:t>
            </w:r>
          </w:p>
        </w:tc>
        <w:tc>
          <w:tcPr>
            <w:tcW w:w="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13.交通运输支出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14.资源勘探信息等支出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15.商业服务业等支出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16.金融支出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17.援助其他地区支出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18.自然资源海洋气象等支出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19.住房保障支出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2"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20.粮油物资储备支出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21.国有资本经营预算支出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22.灾害防治及应急管理支出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3"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23.其他支出</w:t>
            </w: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收入总计</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1,582.87</w:t>
            </w: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支出总计</w:t>
            </w:r>
          </w:p>
        </w:tc>
        <w:tc>
          <w:tcPr>
            <w:tcW w:w="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1,591.62</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99.67</w:t>
            </w:r>
          </w:p>
        </w:tc>
        <w:tc>
          <w:tcPr>
            <w:tcW w:w="9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年初财政拨款结转和结余</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8.78</w:t>
            </w:r>
          </w:p>
        </w:tc>
        <w:tc>
          <w:tcPr>
            <w:tcW w:w="242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年末财政拨款结转和结余</w:t>
            </w:r>
          </w:p>
        </w:tc>
        <w:tc>
          <w:tcPr>
            <w:tcW w:w="91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0.04</w:t>
            </w:r>
          </w:p>
        </w:tc>
        <w:tc>
          <w:tcPr>
            <w:tcW w:w="100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0.04</w:t>
            </w: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一般公共预算财政拨款</w:t>
            </w:r>
          </w:p>
        </w:tc>
        <w:tc>
          <w:tcPr>
            <w:tcW w:w="8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8.78</w:t>
            </w:r>
          </w:p>
        </w:tc>
        <w:tc>
          <w:tcPr>
            <w:tcW w:w="242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政府性基金预算财政拨款</w:t>
            </w: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5" w:hRule="atLeast"/>
        </w:trPr>
        <w:tc>
          <w:tcPr>
            <w:tcW w:w="2058"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国有资本经营预算财政拨款</w:t>
            </w:r>
          </w:p>
        </w:tc>
        <w:tc>
          <w:tcPr>
            <w:tcW w:w="825"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2425" w:type="dxa"/>
            <w:tcBorders>
              <w:top w:val="nil"/>
              <w:left w:val="nil"/>
              <w:bottom w:val="single" w:color="000000" w:sz="4" w:space="0"/>
              <w:right w:val="single" w:color="000000" w:sz="4" w:space="0"/>
            </w:tcBorders>
            <w:shd w:val="clear" w:color="FFFFFF" w:fill="C0C0C0"/>
            <w:vAlign w:val="center"/>
          </w:tcPr>
          <w:p>
            <w:pPr>
              <w:jc w:val="left"/>
              <w:rPr>
                <w:rFonts w:hint="eastAsia" w:ascii="宋体" w:hAnsi="宋体" w:eastAsia="宋体" w:cs="宋体"/>
                <w:i w:val="0"/>
                <w:iCs w:val="0"/>
                <w:color w:val="000000"/>
                <w:sz w:val="13"/>
                <w:szCs w:val="13"/>
                <w:u w:val="none"/>
              </w:rPr>
            </w:pPr>
          </w:p>
        </w:tc>
        <w:tc>
          <w:tcPr>
            <w:tcW w:w="912"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0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900" w:type="dxa"/>
            <w:tcBorders>
              <w:top w:val="nil"/>
              <w:left w:val="nil"/>
              <w:bottom w:val="single" w:color="000000" w:sz="4" w:space="0"/>
              <w:right w:val="single" w:color="000000" w:sz="4" w:space="0"/>
            </w:tcBorders>
            <w:shd w:val="clear" w:color="auto" w:fill="auto"/>
            <w:vAlign w:val="center"/>
          </w:tcPr>
          <w:p>
            <w:pPr>
              <w:jc w:val="right"/>
              <w:rPr>
                <w:rFonts w:hint="eastAsia" w:ascii="宋体" w:hAnsi="宋体" w:eastAsia="宋体" w:cs="宋体"/>
                <w:i w:val="0"/>
                <w:iCs w:val="0"/>
                <w:color w:val="000000"/>
                <w:sz w:val="13"/>
                <w:szCs w:val="13"/>
                <w:u w:val="none"/>
              </w:rPr>
            </w:pPr>
          </w:p>
        </w:tc>
        <w:tc>
          <w:tcPr>
            <w:tcW w:w="1313" w:type="dxa"/>
            <w:tcBorders>
              <w:top w:val="nil"/>
              <w:left w:val="nil"/>
              <w:bottom w:val="single" w:color="000000" w:sz="4" w:space="0"/>
              <w:right w:val="single" w:color="000000" w:sz="8" w:space="0"/>
            </w:tcBorders>
            <w:shd w:val="clear" w:color="auto" w:fill="auto"/>
            <w:vAlign w:val="center"/>
          </w:tcPr>
          <w:p>
            <w:pPr>
              <w:jc w:val="lef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58" w:type="dxa"/>
            <w:tcBorders>
              <w:top w:val="nil"/>
              <w:left w:val="single" w:color="000000" w:sz="4" w:space="0"/>
              <w:bottom w:val="single" w:color="000000" w:sz="8"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总计</w:t>
            </w:r>
          </w:p>
        </w:tc>
        <w:tc>
          <w:tcPr>
            <w:tcW w:w="825"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1,591.66</w:t>
            </w:r>
          </w:p>
        </w:tc>
        <w:tc>
          <w:tcPr>
            <w:tcW w:w="2425" w:type="dxa"/>
            <w:tcBorders>
              <w:top w:val="nil"/>
              <w:left w:val="nil"/>
              <w:bottom w:val="single" w:color="000000" w:sz="8"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3"/>
                <w:szCs w:val="13"/>
                <w:u w:val="none"/>
              </w:rPr>
            </w:pPr>
            <w:r>
              <w:rPr>
                <w:rFonts w:hint="eastAsia" w:ascii="宋体" w:hAnsi="宋体" w:eastAsia="宋体" w:cs="宋体"/>
                <w:b/>
                <w:bCs/>
                <w:i w:val="0"/>
                <w:iCs w:val="0"/>
                <w:color w:val="000000"/>
                <w:kern w:val="0"/>
                <w:sz w:val="13"/>
                <w:szCs w:val="13"/>
                <w:u w:val="none"/>
                <w:lang w:val="en-US" w:eastAsia="zh-CN" w:bidi="ar"/>
              </w:rPr>
              <w:t>总计</w:t>
            </w:r>
          </w:p>
        </w:tc>
        <w:tc>
          <w:tcPr>
            <w:tcW w:w="912"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1,591.66</w:t>
            </w:r>
          </w:p>
        </w:tc>
        <w:tc>
          <w:tcPr>
            <w:tcW w:w="10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99.71</w:t>
            </w:r>
          </w:p>
        </w:tc>
        <w:tc>
          <w:tcPr>
            <w:tcW w:w="900" w:type="dxa"/>
            <w:tcBorders>
              <w:top w:val="nil"/>
              <w:left w:val="nil"/>
              <w:bottom w:val="single" w:color="000000" w:sz="8"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1313" w:type="dxa"/>
            <w:tcBorders>
              <w:top w:val="nil"/>
              <w:left w:val="nil"/>
              <w:bottom w:val="single" w:color="000000" w:sz="8" w:space="0"/>
              <w:right w:val="single" w:color="000000" w:sz="8" w:space="0"/>
            </w:tcBorders>
            <w:shd w:val="clear" w:color="auto" w:fill="auto"/>
            <w:vAlign w:val="center"/>
          </w:tcPr>
          <w:p>
            <w:pPr>
              <w:jc w:val="right"/>
              <w:rPr>
                <w:rFonts w:hint="eastAsia" w:ascii="宋体" w:hAnsi="宋体" w:eastAsia="宋体" w:cs="宋体"/>
                <w:i w:val="0"/>
                <w:iCs w:val="0"/>
                <w:color w:val="000000"/>
                <w:sz w:val="11"/>
                <w:szCs w:val="1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6" w:hRule="atLeast"/>
        </w:trPr>
        <w:tc>
          <w:tcPr>
            <w:tcW w:w="9433"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注：本表反映部门本年度一般公共预算财政拨款、政府性基金预算财政拨款和国有资本经营预算财政拨款的总收支和年末结转结余情况。本表金额转换为万元时，因四舍五入可能存在尾差。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tbl>
      <w:tblPr>
        <w:tblStyle w:val="11"/>
        <w:tblW w:w="986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4"/>
        <w:gridCol w:w="274"/>
        <w:gridCol w:w="301"/>
        <w:gridCol w:w="2521"/>
        <w:gridCol w:w="1663"/>
        <w:gridCol w:w="1125"/>
        <w:gridCol w:w="1175"/>
        <w:gridCol w:w="2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69"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一般公共预算财政拨款支出决算表（按功能分类科目）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274"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274"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30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52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66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2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5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5033"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1125"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1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536"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70"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1663"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本年支出合计</w:t>
            </w:r>
          </w:p>
        </w:tc>
        <w:tc>
          <w:tcPr>
            <w:tcW w:w="112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11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2536"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252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6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536"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8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6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536"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849"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52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663"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2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536"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370"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99.67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69.10</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30.57</w:t>
            </w: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教育支出</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进修及培训</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2050803</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培训支出</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0.20</w:t>
            </w:r>
          </w:p>
        </w:tc>
        <w:tc>
          <w:tcPr>
            <w:tcW w:w="11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农林水支出</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30.56</w:t>
            </w: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扶贫</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99.47</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30.56</w:t>
            </w: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2130504</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农村基础设施建设</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90.75</w:t>
            </w:r>
          </w:p>
        </w:tc>
        <w:tc>
          <w:tcPr>
            <w:tcW w:w="112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68.90</w:t>
            </w: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21.84</w:t>
            </w: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9"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2130599</w:t>
            </w:r>
          </w:p>
        </w:tc>
        <w:tc>
          <w:tcPr>
            <w:tcW w:w="25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其他扶贫支出</w:t>
            </w:r>
          </w:p>
        </w:tc>
        <w:tc>
          <w:tcPr>
            <w:tcW w:w="166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8.72</w:t>
            </w:r>
          </w:p>
        </w:tc>
        <w:tc>
          <w:tcPr>
            <w:tcW w:w="112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17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8.72</w:t>
            </w:r>
          </w:p>
        </w:tc>
        <w:tc>
          <w:tcPr>
            <w:tcW w:w="2536"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69"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注：本表反映部门本年度一般公共预算财政拨款实际支出情况。本表金额转换为万元时，因四舍五入可能存在尾差。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tbl>
      <w:tblPr>
        <w:tblStyle w:val="11"/>
        <w:tblW w:w="988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92"/>
        <w:gridCol w:w="493"/>
        <w:gridCol w:w="452"/>
        <w:gridCol w:w="2696"/>
        <w:gridCol w:w="954"/>
        <w:gridCol w:w="1062"/>
        <w:gridCol w:w="1421"/>
        <w:gridCol w:w="23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883" w:type="dxa"/>
            <w:gridSpan w:val="8"/>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24"/>
                <w:szCs w:val="24"/>
                <w:u w:val="none"/>
                <w:lang w:val="en-US" w:eastAsia="zh-CN" w:bidi="ar"/>
              </w:rPr>
              <w:t>一般公共预算财政拨款基本支出决算表（按经济分类科目）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92"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493"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45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69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954"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6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42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31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133"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编制单位：镇坪县避灾扶贫搬迁安置办公室（汇总）</w:t>
            </w:r>
          </w:p>
        </w:tc>
        <w:tc>
          <w:tcPr>
            <w:tcW w:w="954"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062"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421"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2313"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33"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95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本年支出合计</w:t>
            </w:r>
          </w:p>
        </w:tc>
        <w:tc>
          <w:tcPr>
            <w:tcW w:w="106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人员经费</w:t>
            </w:r>
          </w:p>
        </w:tc>
        <w:tc>
          <w:tcPr>
            <w:tcW w:w="142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公用经费</w:t>
            </w:r>
          </w:p>
        </w:tc>
        <w:tc>
          <w:tcPr>
            <w:tcW w:w="2313"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经济分类科目编码</w:t>
            </w:r>
          </w:p>
        </w:tc>
        <w:tc>
          <w:tcPr>
            <w:tcW w:w="269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9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0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2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313"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43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43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696"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06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142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313"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133"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69.10</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55.40</w:t>
            </w: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13.71</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工资福利支出</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53.74</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53.74</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30101</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基本工资</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21.98</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21.98</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30102</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津贴补贴</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10.02</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10.02</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30103</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奖金</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1.66</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1.66</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30107</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绩效工资</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5.93</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5.93</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30108</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机关事业单位基本养老保险缴费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6.20</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6.20</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30110</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职工基本医疗保险缴费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30112</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其他社会保障缴费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0.32</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0.32</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30113</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住房公积金</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4.61</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4.61</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商品和服务支出</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13.71</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13.71</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30201</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办公费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2.71</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2.71</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30202</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印刷费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1.73</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1.73</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30206</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电费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1.09</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1.09</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30207</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邮电费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1.20</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1.20</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30211</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差旅费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4.16</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4.16</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30217</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公务接待费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30228</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工会经费</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1.05</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1.05</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30239</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其他交通费用</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1.05</w:t>
            </w:r>
          </w:p>
        </w:tc>
        <w:tc>
          <w:tcPr>
            <w:tcW w:w="106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4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1.05</w:t>
            </w: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303</w:t>
            </w:r>
          </w:p>
        </w:tc>
        <w:tc>
          <w:tcPr>
            <w:tcW w:w="26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对个人和家庭的补助</w:t>
            </w:r>
          </w:p>
        </w:tc>
        <w:tc>
          <w:tcPr>
            <w:tcW w:w="95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1.65</w:t>
            </w:r>
          </w:p>
        </w:tc>
        <w:tc>
          <w:tcPr>
            <w:tcW w:w="106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1.65</w:t>
            </w:r>
          </w:p>
        </w:tc>
        <w:tc>
          <w:tcPr>
            <w:tcW w:w="142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37" w:type="dxa"/>
            <w:gridSpan w:val="3"/>
            <w:tcBorders>
              <w:top w:val="nil"/>
              <w:left w:val="single" w:color="000000" w:sz="4" w:space="0"/>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30305</w:t>
            </w:r>
          </w:p>
        </w:tc>
        <w:tc>
          <w:tcPr>
            <w:tcW w:w="2696"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生活补助</w:t>
            </w:r>
          </w:p>
        </w:tc>
        <w:tc>
          <w:tcPr>
            <w:tcW w:w="954"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1.65</w:t>
            </w:r>
          </w:p>
        </w:tc>
        <w:tc>
          <w:tcPr>
            <w:tcW w:w="1062"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1.65</w:t>
            </w:r>
          </w:p>
        </w:tc>
        <w:tc>
          <w:tcPr>
            <w:tcW w:w="1421"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2313"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883" w:type="dxa"/>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注：本表反映部门本年度一般公共预算财政拨款基本支出明细情况。本表金额转换为万元时，因四舍五入可能存在尾差。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tbl>
      <w:tblPr>
        <w:tblStyle w:val="11"/>
        <w:tblW w:w="98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37"/>
        <w:gridCol w:w="987"/>
        <w:gridCol w:w="1288"/>
        <w:gridCol w:w="712"/>
        <w:gridCol w:w="888"/>
        <w:gridCol w:w="1146"/>
        <w:gridCol w:w="1237"/>
        <w:gridCol w:w="77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870"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一般公共预算财政拨款“三公”经费及会议费、培训费支出决算表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37" w:type="dxa"/>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987"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8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12"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888"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14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37"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024"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888" w:type="dxa"/>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1146"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237"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775" w:type="dxa"/>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1800" w:type="dxa"/>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1037" w:type="dxa"/>
            <w:vMerge w:val="restart"/>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6258"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一般公共预算财政拨款安排的“三公”经费</w:t>
            </w:r>
          </w:p>
        </w:tc>
        <w:tc>
          <w:tcPr>
            <w:tcW w:w="77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会议费</w:t>
            </w:r>
          </w:p>
        </w:tc>
        <w:tc>
          <w:tcPr>
            <w:tcW w:w="1800"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培训费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0" w:hRule="atLeast"/>
        </w:trPr>
        <w:tc>
          <w:tcPr>
            <w:tcW w:w="1037"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98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28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因公出国（境）费用</w:t>
            </w:r>
          </w:p>
        </w:tc>
        <w:tc>
          <w:tcPr>
            <w:tcW w:w="71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公务接待费</w:t>
            </w:r>
          </w:p>
        </w:tc>
        <w:tc>
          <w:tcPr>
            <w:tcW w:w="3271"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公务用车购置及运行维护费</w:t>
            </w:r>
          </w:p>
        </w:tc>
        <w:tc>
          <w:tcPr>
            <w:tcW w:w="7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trPr>
        <w:tc>
          <w:tcPr>
            <w:tcW w:w="1037"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98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88"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71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1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公务用车购置费</w:t>
            </w:r>
          </w:p>
        </w:tc>
        <w:tc>
          <w:tcPr>
            <w:tcW w:w="12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公务用车运行维护费</w:t>
            </w:r>
          </w:p>
        </w:tc>
        <w:tc>
          <w:tcPr>
            <w:tcW w:w="77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800"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1037" w:type="dxa"/>
            <w:vMerge w:val="continue"/>
            <w:tcBorders>
              <w:top w:val="single" w:color="000000" w:sz="4" w:space="0"/>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16"/>
                <w:szCs w:val="16"/>
                <w:u w:val="none"/>
              </w:rPr>
            </w:pPr>
          </w:p>
        </w:tc>
        <w:tc>
          <w:tcPr>
            <w:tcW w:w="98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12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1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w:t>
            </w:r>
          </w:p>
        </w:tc>
        <w:tc>
          <w:tcPr>
            <w:tcW w:w="8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w:t>
            </w:r>
          </w:p>
        </w:tc>
        <w:tc>
          <w:tcPr>
            <w:tcW w:w="11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123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6</w:t>
            </w:r>
          </w:p>
        </w:tc>
        <w:tc>
          <w:tcPr>
            <w:tcW w:w="77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w:t>
            </w:r>
          </w:p>
        </w:tc>
        <w:tc>
          <w:tcPr>
            <w:tcW w:w="1800" w:type="dxa"/>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37"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预算数</w:t>
            </w:r>
          </w:p>
        </w:tc>
        <w:tc>
          <w:tcPr>
            <w:tcW w:w="98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12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88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14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7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800" w:type="dxa"/>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1037" w:type="dxa"/>
            <w:tcBorders>
              <w:top w:val="nil"/>
              <w:left w:val="single" w:color="000000" w:sz="4" w:space="0"/>
              <w:bottom w:val="single" w:color="000000" w:sz="8"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决算数</w:t>
            </w:r>
          </w:p>
        </w:tc>
        <w:tc>
          <w:tcPr>
            <w:tcW w:w="987"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1288"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12" w:type="dxa"/>
            <w:tcBorders>
              <w:top w:val="nil"/>
              <w:left w:val="nil"/>
              <w:bottom w:val="single" w:color="000000" w:sz="8"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0.71</w:t>
            </w:r>
          </w:p>
        </w:tc>
        <w:tc>
          <w:tcPr>
            <w:tcW w:w="888"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146"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237"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775" w:type="dxa"/>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1800" w:type="dxa"/>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987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注：本表反映部门本年度一般公共预算财政拨款“三公”经费、会议费、培训费的支出预决算情况。本表金额转换为万元时，因四舍五入可能存在尾差。</w:t>
            </w:r>
          </w:p>
        </w:tc>
      </w:tr>
    </w:tbl>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pStyle w:val="10"/>
        <w:rPr>
          <w:rFonts w:hint="eastAsia" w:ascii="宋体" w:hAnsi="宋体" w:eastAsia="宋体" w:cs="宋体"/>
          <w:b/>
          <w:bCs/>
          <w:kern w:val="2"/>
          <w:sz w:val="21"/>
          <w:szCs w:val="21"/>
          <w:lang w:val="en-US" w:eastAsia="zh-CN" w:bidi="ar-SA"/>
        </w:rPr>
      </w:pPr>
    </w:p>
    <w:p>
      <w:pPr>
        <w:widowControl/>
        <w:jc w:val="both"/>
        <w:textAlignment w:val="center"/>
        <w:rPr>
          <w:rFonts w:hint="eastAsia" w:ascii="宋体" w:hAnsi="宋体" w:eastAsia="宋体" w:cs="宋体"/>
          <w:b/>
          <w:bCs/>
          <w:szCs w:val="21"/>
          <w:lang w:eastAsia="zh-CN"/>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cs="宋体"/>
          <w:color w:val="000000"/>
          <w:kern w:val="0"/>
          <w:szCs w:val="21"/>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eastAsia="宋体" w:cs="宋体"/>
          <w:color w:val="000000"/>
          <w:kern w:val="0"/>
          <w:szCs w:val="21"/>
          <w:lang w:eastAsia="zh-CN"/>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widowControl/>
        <w:jc w:val="left"/>
        <w:rPr>
          <w:rFonts w:hint="eastAsia" w:ascii="宋体" w:hAnsi="宋体" w:cs="宋体"/>
          <w:color w:val="000000"/>
          <w:kern w:val="0"/>
          <w:szCs w:val="21"/>
        </w:rPr>
      </w:pPr>
    </w:p>
    <w:p>
      <w:pPr>
        <w:jc w:val="center"/>
        <w:rPr>
          <w:rFonts w:hint="eastAsia" w:ascii="宋体" w:hAnsi="宋体" w:cs="宋体"/>
          <w:b/>
          <w:bCs/>
          <w:sz w:val="32"/>
          <w:szCs w:val="32"/>
        </w:rPr>
      </w:pPr>
    </w:p>
    <w:tbl>
      <w:tblPr>
        <w:tblStyle w:val="11"/>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0"/>
        <w:gridCol w:w="561"/>
        <w:gridCol w:w="2450"/>
        <w:gridCol w:w="938"/>
        <w:gridCol w:w="1007"/>
        <w:gridCol w:w="1007"/>
        <w:gridCol w:w="528"/>
        <w:gridCol w:w="1007"/>
        <w:gridCol w:w="1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29" w:type="dxa"/>
            <w:gridSpan w:val="9"/>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851" w:type="dxa"/>
            <w:gridSpan w:val="4"/>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编制部门：镇坪县避灾扶贫搬迁安置办公室（汇总）</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4" w:type="dxa"/>
            <w:gridSpan w:val="3"/>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3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年初结转和结余</w:t>
            </w:r>
          </w:p>
        </w:tc>
        <w:tc>
          <w:tcPr>
            <w:tcW w:w="69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本年收入</w:t>
            </w:r>
          </w:p>
        </w:tc>
        <w:tc>
          <w:tcPr>
            <w:tcW w:w="170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w:t>
            </w:r>
          </w:p>
        </w:tc>
        <w:tc>
          <w:tcPr>
            <w:tcW w:w="1178" w:type="dxa"/>
            <w:vMerge w:val="restart"/>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97" w:type="dxa"/>
            <w:gridSpan w:val="2"/>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87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3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382"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663"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c>
          <w:tcPr>
            <w:tcW w:w="117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97"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7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3597" w:type="dxa"/>
            <w:gridSpan w:val="2"/>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877"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94"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382"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663"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78" w:type="dxa"/>
            <w:vMerge w:val="continue"/>
            <w:tcBorders>
              <w:top w:val="single" w:color="000000" w:sz="4" w:space="0"/>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4474" w:type="dxa"/>
            <w:gridSpan w:val="3"/>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城乡社区支出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2120899</w:t>
            </w:r>
          </w:p>
        </w:tc>
        <w:tc>
          <w:tcPr>
            <w:tcW w:w="877"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 xml:space="preserve">  其他国有土地使用权出让收入安排的支出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1,491.95</w:t>
            </w: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注：本表反映部门本年度政府性基金预算财政拨款收入支出及结转和结余情况。本表金额转换为万元时，因四舍五入可能存在尾差。</w:t>
            </w:r>
          </w:p>
        </w:tc>
      </w:tr>
    </w:tbl>
    <w:p>
      <w:pPr>
        <w:jc w:val="center"/>
        <w:rPr>
          <w:rFonts w:hint="eastAsia" w:ascii="黑体" w:hAnsi="宋体" w:eastAsia="黑体"/>
          <w:color w:val="000000"/>
          <w:kern w:val="0"/>
          <w:sz w:val="44"/>
          <w:szCs w:val="44"/>
        </w:rPr>
      </w:pPr>
      <w:r>
        <w:rPr>
          <w:rFonts w:hint="eastAsia" w:ascii="黑体" w:hAnsi="宋体" w:eastAsia="黑体"/>
          <w:color w:val="000000"/>
          <w:kern w:val="0"/>
          <w:sz w:val="44"/>
          <w:szCs w:val="44"/>
        </w:rPr>
        <w:br w:type="page"/>
      </w:r>
    </w:p>
    <w:tbl>
      <w:tblPr>
        <w:tblStyle w:val="11"/>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5"/>
        <w:gridCol w:w="435"/>
        <w:gridCol w:w="435"/>
        <w:gridCol w:w="1836"/>
        <w:gridCol w:w="1567"/>
        <w:gridCol w:w="1466"/>
        <w:gridCol w:w="31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8429" w:type="dxa"/>
            <w:gridSpan w:val="7"/>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公开</w:t>
            </w:r>
            <w:r>
              <w:rPr>
                <w:rFonts w:hint="eastAsia" w:ascii="宋体" w:hAnsi="宋体" w:eastAsia="宋体" w:cs="宋体"/>
                <w:i w:val="0"/>
                <w:iCs w:val="0"/>
                <w:color w:val="000000"/>
                <w:kern w:val="0"/>
                <w:sz w:val="16"/>
                <w:szCs w:val="16"/>
                <w:u w:val="none"/>
                <w:lang w:val="en-US" w:eastAsia="zh-CN" w:bidi="ar"/>
              </w:rPr>
              <w:t>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4708" w:type="dxa"/>
            <w:gridSpan w:val="5"/>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编制单位：镇坪县避灾扶贫搬迁安置办公室（汇总）</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2021年</w:t>
            </w:r>
          </w:p>
        </w:tc>
        <w:tc>
          <w:tcPr>
            <w:tcW w:w="0" w:type="auto"/>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4"/>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w:t>
            </w:r>
          </w:p>
        </w:tc>
        <w:tc>
          <w:tcPr>
            <w:tcW w:w="4941" w:type="dxa"/>
            <w:gridSpan w:val="3"/>
            <w:tcBorders>
              <w:top w:val="single" w:color="000000" w:sz="4" w:space="0"/>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功能分类科目编码</w:t>
            </w:r>
          </w:p>
        </w:tc>
        <w:tc>
          <w:tcPr>
            <w:tcW w:w="149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科目名称</w:t>
            </w:r>
          </w:p>
        </w:tc>
        <w:tc>
          <w:tcPr>
            <w:tcW w:w="122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小计</w:t>
            </w:r>
          </w:p>
        </w:tc>
        <w:tc>
          <w:tcPr>
            <w:tcW w:w="110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基本支出</w:t>
            </w:r>
          </w:p>
        </w:tc>
        <w:tc>
          <w:tcPr>
            <w:tcW w:w="2616" w:type="dxa"/>
            <w:vMerge w:val="restart"/>
            <w:tcBorders>
              <w:top w:val="nil"/>
              <w:left w:val="nil"/>
              <w:bottom w:val="single" w:color="000000" w:sz="4" w:space="0"/>
              <w:right w:val="single" w:color="000000" w:sz="8"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99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616"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99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491"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220"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1105" w:type="dxa"/>
            <w:vMerge w:val="continue"/>
            <w:tcBorders>
              <w:top w:val="nil"/>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c>
          <w:tcPr>
            <w:tcW w:w="2616" w:type="dxa"/>
            <w:vMerge w:val="continue"/>
            <w:tcBorders>
              <w:top w:val="nil"/>
              <w:left w:val="nil"/>
              <w:bottom w:val="single" w:color="000000" w:sz="4" w:space="0"/>
              <w:right w:val="single" w:color="000000" w:sz="8" w:space="0"/>
            </w:tcBorders>
            <w:shd w:val="clear" w:color="FFFFFF" w:fill="C0C0C0"/>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488" w:type="dxa"/>
            <w:gridSpan w:val="4"/>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8" w:space="0"/>
              <w:right w:val="single" w:color="000000" w:sz="8"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2" w:hRule="atLeast"/>
        </w:trPr>
        <w:tc>
          <w:tcPr>
            <w:tcW w:w="8429"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注：本表反映部门本年度国有资本经营预算财政拨款支出情况。本表金额转换为万元时，因四舍五入可能存在尾差。</w:t>
            </w:r>
          </w:p>
        </w:tc>
      </w:tr>
    </w:tbl>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pStyle w:val="10"/>
        <w:rPr>
          <w:rFonts w:hint="eastAsia"/>
        </w:rPr>
      </w:pPr>
    </w:p>
    <w:p>
      <w:pPr>
        <w:rPr>
          <w:rFonts w:hint="eastAsia" w:ascii="宋体" w:hAnsi="宋体" w:eastAsia="宋体" w:cs="宋体"/>
          <w:szCs w:val="21"/>
          <w:lang w:eastAsia="zh-CN"/>
        </w:rPr>
      </w:pPr>
    </w:p>
    <w:p>
      <w:pPr>
        <w:rPr>
          <w:rFonts w:hint="eastAsia" w:ascii="宋体" w:hAnsi="宋体" w:eastAsia="宋体" w:cs="宋体"/>
          <w:szCs w:val="21"/>
          <w:lang w:eastAsia="zh-CN"/>
        </w:rPr>
      </w:pPr>
    </w:p>
    <w:p>
      <w:pPr>
        <w:rPr>
          <w:rFonts w:hint="eastAsia" w:ascii="宋体" w:hAnsi="宋体" w:eastAsia="宋体" w:cs="宋体"/>
          <w:szCs w:val="21"/>
          <w:lang w:eastAsia="zh-CN"/>
        </w:rPr>
      </w:pPr>
    </w:p>
    <w:p>
      <w:pPr>
        <w:wordWrap/>
        <w:spacing w:line="560" w:lineRule="exact"/>
        <w:jc w:val="center"/>
        <w:textAlignment w:val="auto"/>
        <w:rPr>
          <w:rFonts w:hint="eastAsia" w:ascii="方正小标宋简体" w:hAnsi="方正小标宋简体" w:eastAsia="方正小标宋简体" w:cs="方正小标宋简体"/>
          <w:color w:val="000000"/>
          <w:kern w:val="0"/>
          <w:sz w:val="44"/>
          <w:szCs w:val="44"/>
          <w:lang w:eastAsia="zh-CN"/>
        </w:rPr>
      </w:pPr>
      <w:r>
        <w:rPr>
          <w:rFonts w:hint="eastAsia" w:ascii="方正小标宋简体" w:hAnsi="方正小标宋简体" w:eastAsia="方正小标宋简体" w:cs="方正小标宋简体"/>
          <w:color w:val="000000"/>
          <w:kern w:val="0"/>
          <w:sz w:val="44"/>
          <w:szCs w:val="44"/>
        </w:rPr>
        <w:t xml:space="preserve">第三部分 </w:t>
      </w:r>
      <w:r>
        <w:rPr>
          <w:rFonts w:hint="eastAsia" w:ascii="方正小标宋简体" w:hAnsi="方正小标宋简体" w:eastAsia="方正小标宋简体" w:cs="方正小标宋简体"/>
          <w:color w:val="000000"/>
          <w:kern w:val="0"/>
          <w:sz w:val="44"/>
          <w:szCs w:val="44"/>
          <w:lang w:eastAsia="zh-CN"/>
        </w:rPr>
        <w:t>202</w:t>
      </w:r>
      <w:r>
        <w:rPr>
          <w:rFonts w:hint="eastAsia" w:ascii="方正小标宋简体" w:hAnsi="方正小标宋简体" w:eastAsia="方正小标宋简体" w:cs="方正小标宋简体"/>
          <w:color w:val="000000"/>
          <w:kern w:val="0"/>
          <w:sz w:val="44"/>
          <w:szCs w:val="44"/>
          <w:lang w:val="en-US" w:eastAsia="zh-CN"/>
        </w:rPr>
        <w:t>1</w:t>
      </w:r>
      <w:r>
        <w:rPr>
          <w:rFonts w:hint="eastAsia" w:ascii="方正小标宋简体" w:hAnsi="方正小标宋简体" w:eastAsia="方正小标宋简体" w:cs="方正小标宋简体"/>
          <w:color w:val="000000"/>
          <w:kern w:val="0"/>
          <w:sz w:val="44"/>
          <w:szCs w:val="44"/>
        </w:rPr>
        <w:t>年</w:t>
      </w:r>
      <w:r>
        <w:rPr>
          <w:rFonts w:hint="eastAsia" w:ascii="方正小标宋简体" w:hAnsi="方正小标宋简体" w:eastAsia="方正小标宋简体" w:cs="方正小标宋简体"/>
          <w:color w:val="000000"/>
          <w:kern w:val="0"/>
          <w:sz w:val="44"/>
          <w:szCs w:val="44"/>
          <w:lang w:eastAsia="zh-CN"/>
        </w:rPr>
        <w:t>度</w:t>
      </w:r>
      <w:r>
        <w:rPr>
          <w:rFonts w:hint="eastAsia" w:ascii="方正小标宋简体" w:hAnsi="方正小标宋简体" w:eastAsia="方正小标宋简体" w:cs="方正小标宋简体"/>
          <w:color w:val="000000"/>
          <w:kern w:val="0"/>
          <w:sz w:val="44"/>
          <w:szCs w:val="44"/>
        </w:rPr>
        <w:t>部门决算情况</w:t>
      </w:r>
      <w:r>
        <w:rPr>
          <w:rFonts w:hint="eastAsia" w:ascii="方正小标宋简体" w:hAnsi="方正小标宋简体" w:eastAsia="方正小标宋简体" w:cs="方正小标宋简体"/>
          <w:color w:val="000000"/>
          <w:kern w:val="0"/>
          <w:sz w:val="44"/>
          <w:szCs w:val="44"/>
          <w:lang w:eastAsia="zh-CN"/>
        </w:rPr>
        <w:t>说明</w:t>
      </w:r>
    </w:p>
    <w:p>
      <w:pPr>
        <w:widowControl/>
        <w:wordWrap/>
        <w:spacing w:line="560" w:lineRule="exact"/>
        <w:ind w:firstLine="640" w:firstLineChars="200"/>
        <w:jc w:val="left"/>
        <w:textAlignment w:val="auto"/>
        <w:rPr>
          <w:rFonts w:hint="eastAsia" w:ascii="黑体" w:hAnsi="黑体" w:eastAsia="黑体"/>
          <w:color w:val="000000"/>
          <w:kern w:val="0"/>
          <w:sz w:val="32"/>
          <w:szCs w:val="32"/>
        </w:rPr>
      </w:pPr>
    </w:p>
    <w:p>
      <w:pPr>
        <w:widowControl/>
        <w:wordWrap/>
        <w:spacing w:line="560" w:lineRule="exact"/>
        <w:ind w:firstLine="640" w:firstLineChars="200"/>
        <w:jc w:val="left"/>
        <w:textAlignment w:val="auto"/>
        <w:rPr>
          <w:rFonts w:ascii="黑体" w:hAnsi="黑体" w:eastAsia="黑体"/>
          <w:color w:val="000000"/>
          <w:kern w:val="0"/>
          <w:sz w:val="32"/>
          <w:szCs w:val="32"/>
        </w:rPr>
      </w:pPr>
      <w:r>
        <w:rPr>
          <w:rFonts w:hint="eastAsia" w:ascii="黑体" w:hAnsi="黑体" w:eastAsia="黑体"/>
          <w:color w:val="000000"/>
          <w:kern w:val="0"/>
          <w:sz w:val="32"/>
          <w:szCs w:val="32"/>
        </w:rPr>
        <w:t>一、收入支出决算总体情况</w:t>
      </w:r>
      <w:r>
        <w:rPr>
          <w:rFonts w:hint="eastAsia" w:ascii="黑体" w:hAnsi="黑体" w:eastAsia="黑体"/>
          <w:color w:val="000000"/>
          <w:kern w:val="0"/>
          <w:sz w:val="32"/>
          <w:szCs w:val="32"/>
          <w:lang w:eastAsia="zh-CN"/>
        </w:rPr>
        <w:t>说明</w:t>
      </w:r>
      <w:r>
        <w:rPr>
          <w:rFonts w:hint="eastAsia" w:ascii="黑体" w:hAnsi="黑体" w:eastAsia="黑体"/>
          <w:color w:val="000000"/>
          <w:kern w:val="0"/>
          <w:sz w:val="32"/>
          <w:szCs w:val="32"/>
        </w:rPr>
        <w:t xml:space="preserve"> </w:t>
      </w:r>
    </w:p>
    <w:p>
      <w:pPr>
        <w:widowControl/>
        <w:wordWrap/>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rPr>
        <w:t>收</w:t>
      </w:r>
      <w:r>
        <w:rPr>
          <w:rFonts w:hint="eastAsia" w:ascii="仿宋_GB2312" w:hAnsi="仿宋" w:eastAsia="仿宋_GB2312"/>
          <w:sz w:val="32"/>
          <w:szCs w:val="32"/>
          <w:lang w:val="en-US" w:eastAsia="zh-CN"/>
        </w:rPr>
        <w:t>入合计1582.87万元，</w:t>
      </w:r>
      <w:r>
        <w:rPr>
          <w:rFonts w:hint="eastAsia" w:ascii="仿宋_GB2312" w:hAnsi="宋体" w:eastAsia="仿宋_GB2312" w:cs="仿宋_GB2312"/>
          <w:color w:val="000000"/>
          <w:kern w:val="0"/>
          <w:sz w:val="32"/>
          <w:szCs w:val="32"/>
          <w:lang w:eastAsia="zh-CN"/>
        </w:rPr>
        <w:t>与</w:t>
      </w:r>
      <w:r>
        <w:rPr>
          <w:rFonts w:hint="eastAsia" w:ascii="仿宋_GB2312" w:hAnsi="仿宋" w:eastAsia="仿宋_GB2312"/>
          <w:sz w:val="32"/>
          <w:szCs w:val="32"/>
        </w:rPr>
        <w:t>上年</w:t>
      </w:r>
      <w:r>
        <w:rPr>
          <w:rFonts w:hint="eastAsia" w:ascii="仿宋_GB2312" w:hAnsi="仿宋" w:eastAsia="仿宋_GB2312"/>
          <w:sz w:val="32"/>
          <w:szCs w:val="32"/>
          <w:lang w:eastAsia="zh-CN"/>
        </w:rPr>
        <w:t>相</w:t>
      </w:r>
      <w:r>
        <w:rPr>
          <w:rFonts w:hint="eastAsia" w:ascii="仿宋_GB2312" w:hAnsi="仿宋" w:eastAsia="仿宋_GB2312"/>
          <w:sz w:val="32"/>
          <w:szCs w:val="32"/>
        </w:rPr>
        <w:t>比</w:t>
      </w:r>
      <w:r>
        <w:rPr>
          <w:rFonts w:hint="eastAsia" w:ascii="仿宋_GB2312" w:hAnsi="仿宋" w:eastAsia="仿宋_GB2312"/>
          <w:sz w:val="32"/>
          <w:szCs w:val="32"/>
          <w:lang w:val="en-US" w:eastAsia="zh-CN"/>
        </w:rPr>
        <w:t>减少3351.95万元，下降68 %，主要原因是当年无一般债券资金和易地扶贫搬迁中央预算内补助资金收入。</w:t>
      </w:r>
    </w:p>
    <w:p>
      <w:pPr>
        <w:pStyle w:val="10"/>
        <w:rPr>
          <w:rFonts w:hint="default"/>
          <w:lang w:val="en-US" w:eastAsia="zh-CN"/>
        </w:rPr>
      </w:pPr>
      <w:r>
        <w:rPr>
          <w:rFonts w:hint="eastAsia" w:ascii="仿宋_GB2312" w:hAnsi="仿宋"/>
          <w:sz w:val="32"/>
          <w:szCs w:val="32"/>
          <w:lang w:val="en-US" w:eastAsia="zh-CN"/>
        </w:rPr>
        <w:t>年初结转8.87万元，收入总计1591.66万元。</w:t>
      </w: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lang w:eastAsia="zh-CN"/>
        </w:rPr>
        <w:t>支出合计</w:t>
      </w:r>
      <w:r>
        <w:rPr>
          <w:rFonts w:hint="eastAsia" w:ascii="仿宋_GB2312" w:hAnsi="宋体" w:eastAsia="仿宋_GB2312" w:cs="仿宋_GB2312"/>
          <w:color w:val="000000"/>
          <w:kern w:val="0"/>
          <w:sz w:val="32"/>
          <w:szCs w:val="32"/>
          <w:lang w:val="en-US" w:eastAsia="zh-CN"/>
        </w:rPr>
        <w:t>1591.62</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val="en-US" w:eastAsia="zh-CN"/>
        </w:rPr>
        <w:t>与上年相比减少了3434.54万元，下降69%，</w:t>
      </w:r>
      <w:r>
        <w:rPr>
          <w:rFonts w:hint="eastAsia" w:ascii="仿宋_GB2312" w:hAnsi="仿宋" w:eastAsia="仿宋_GB2312"/>
          <w:sz w:val="32"/>
          <w:szCs w:val="32"/>
          <w:lang w:val="en-US" w:eastAsia="zh-CN"/>
        </w:rPr>
        <w:t>主要原因是当年无无一般债券资金和易地扶贫搬迁中央预算内补助资金支出</w:t>
      </w:r>
      <w:r>
        <w:rPr>
          <w:rFonts w:hint="eastAsia" w:ascii="仿宋_GB2312" w:hAnsi="仿宋" w:eastAsia="仿宋_GB2312"/>
          <w:sz w:val="32"/>
          <w:szCs w:val="32"/>
          <w:lang w:eastAsia="zh-CN"/>
        </w:rPr>
        <w:t>。</w:t>
      </w:r>
    </w:p>
    <w:p>
      <w:pPr>
        <w:pStyle w:val="10"/>
        <w:rPr>
          <w:rFonts w:hint="default"/>
          <w:lang w:val="en-US" w:eastAsia="zh-CN"/>
        </w:rPr>
      </w:pPr>
      <w:r>
        <w:rPr>
          <w:rFonts w:hint="eastAsia" w:ascii="仿宋_GB2312" w:hAnsi="仿宋"/>
          <w:sz w:val="32"/>
          <w:szCs w:val="32"/>
          <w:lang w:eastAsia="zh-CN"/>
        </w:rPr>
        <w:t>本年结转</w:t>
      </w:r>
      <w:r>
        <w:rPr>
          <w:rFonts w:hint="eastAsia" w:ascii="仿宋_GB2312" w:hAnsi="仿宋"/>
          <w:sz w:val="32"/>
          <w:szCs w:val="32"/>
          <w:lang w:val="en-US" w:eastAsia="zh-CN"/>
        </w:rPr>
        <w:t>0.04万元。</w:t>
      </w:r>
    </w:p>
    <w:p>
      <w:pPr>
        <w:pStyle w:val="10"/>
        <w:rPr>
          <w:rFonts w:hint="eastAsia"/>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60288" behindDoc="0" locked="0" layoutInCell="1" allowOverlap="1">
            <wp:simplePos x="0" y="0"/>
            <wp:positionH relativeFrom="column">
              <wp:posOffset>620395</wp:posOffset>
            </wp:positionH>
            <wp:positionV relativeFrom="paragraph">
              <wp:posOffset>142875</wp:posOffset>
            </wp:positionV>
            <wp:extent cx="5080000" cy="3810000"/>
            <wp:effectExtent l="4445" t="4445" r="20955" b="14605"/>
            <wp:wrapNone/>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pStyle w:val="10"/>
        <w:rPr>
          <w:rFonts w:hint="eastAsia"/>
        </w:rPr>
      </w:pPr>
    </w:p>
    <w:p>
      <w:pPr>
        <w:widowControl/>
        <w:wordWrap/>
        <w:spacing w:line="560" w:lineRule="exact"/>
        <w:ind w:firstLine="960" w:firstLineChars="300"/>
        <w:jc w:val="left"/>
        <w:textAlignment w:val="auto"/>
        <w:rPr>
          <w:rFonts w:ascii="黑体" w:hAnsi="黑体" w:eastAsia="黑体"/>
          <w:color w:val="000000"/>
          <w:kern w:val="0"/>
          <w:sz w:val="32"/>
          <w:szCs w:val="32"/>
        </w:rPr>
      </w:pPr>
      <w:r>
        <w:rPr>
          <w:rFonts w:hint="eastAsia" w:ascii="黑体" w:hAnsi="黑体" w:eastAsia="黑体"/>
          <w:color w:val="000000"/>
          <w:kern w:val="0"/>
          <w:sz w:val="32"/>
          <w:szCs w:val="32"/>
        </w:rPr>
        <w:t>二、收入决算情况</w:t>
      </w:r>
      <w:r>
        <w:rPr>
          <w:rFonts w:hint="eastAsia" w:ascii="黑体" w:hAnsi="黑体" w:eastAsia="黑体"/>
          <w:color w:val="000000"/>
          <w:kern w:val="0"/>
          <w:sz w:val="32"/>
          <w:szCs w:val="32"/>
          <w:lang w:eastAsia="zh-CN"/>
        </w:rPr>
        <w:t>说明</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rPr>
        <w:t>收</w:t>
      </w:r>
      <w:r>
        <w:rPr>
          <w:rFonts w:hint="eastAsia" w:ascii="仿宋_GB2312" w:hAnsi="仿宋" w:eastAsia="仿宋_GB2312"/>
          <w:sz w:val="32"/>
          <w:szCs w:val="32"/>
          <w:lang w:val="en-US" w:eastAsia="zh-CN"/>
        </w:rPr>
        <w:t>入合计1582.87万元，其中：财政拨款收入1582.87万元，占收入的100%。</w:t>
      </w:r>
      <w:r>
        <w:rPr>
          <w:rFonts w:ascii="仿宋_GB2312" w:hAnsi="宋体" w:eastAsia="仿宋_GB2312" w:cs="仿宋_GB2312"/>
          <w:color w:val="000000"/>
          <w:kern w:val="0"/>
          <w:sz w:val="32"/>
          <w:szCs w:val="32"/>
        </w:rPr>
        <w:t>事业收入</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%；经营收入</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%；其他收入</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rPr>
        <w:t>。</w:t>
      </w:r>
    </w:p>
    <w:p>
      <w:pPr>
        <w:pStyle w:val="10"/>
        <w:rPr>
          <w:rFonts w:hint="eastAsia"/>
        </w:rPr>
      </w:pPr>
    </w:p>
    <w:p>
      <w:pPr>
        <w:pStyle w:val="10"/>
        <w:rPr>
          <w:rFonts w:hint="eastAsia"/>
        </w:rPr>
      </w:pPr>
    </w:p>
    <w:p>
      <w:pPr>
        <w:pStyle w:val="10"/>
        <w:rPr>
          <w:rFonts w:hint="eastAsia"/>
        </w:rPr>
      </w:pPr>
    </w:p>
    <w:p>
      <w:pPr>
        <w:pStyle w:val="10"/>
        <w:rPr>
          <w:rFonts w:hint="eastAsia"/>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eastAsia="zh-CN"/>
        </w:rPr>
        <w:drawing>
          <wp:anchor distT="0" distB="0" distL="114300" distR="114300" simplePos="0" relativeHeight="251659264" behindDoc="0" locked="0" layoutInCell="1" allowOverlap="1">
            <wp:simplePos x="0" y="0"/>
            <wp:positionH relativeFrom="column">
              <wp:posOffset>387985</wp:posOffset>
            </wp:positionH>
            <wp:positionV relativeFrom="paragraph">
              <wp:posOffset>126365</wp:posOffset>
            </wp:positionV>
            <wp:extent cx="5080000" cy="3810000"/>
            <wp:effectExtent l="4445" t="4445" r="5715" b="10795"/>
            <wp:wrapNone/>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pStyle w:val="10"/>
        <w:rPr>
          <w:rFonts w:hint="eastAsia" w:ascii="仿宋_GB2312" w:hAnsi="宋体" w:eastAsia="仿宋_GB2312" w:cs="仿宋_GB2312"/>
          <w:color w:val="000000"/>
          <w:kern w:val="0"/>
          <w:sz w:val="32"/>
          <w:szCs w:val="32"/>
        </w:rPr>
      </w:pPr>
    </w:p>
    <w:p>
      <w:pPr>
        <w:pStyle w:val="10"/>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黑体" w:hAnsi="黑体" w:eastAsia="黑体"/>
        </w:rPr>
      </w:pPr>
      <w:r>
        <w:rPr>
          <w:rFonts w:hint="eastAsia" w:ascii="黑体" w:hAnsi="黑体" w:eastAsia="黑体"/>
          <w:color w:val="000000"/>
          <w:kern w:val="0"/>
          <w:sz w:val="32"/>
          <w:szCs w:val="32"/>
        </w:rPr>
        <w:t>三、支出决算情况</w:t>
      </w:r>
      <w:r>
        <w:rPr>
          <w:rFonts w:hint="eastAsia" w:ascii="黑体" w:hAnsi="黑体" w:eastAsia="黑体"/>
          <w:color w:val="000000"/>
          <w:kern w:val="0"/>
          <w:sz w:val="32"/>
          <w:szCs w:val="32"/>
          <w:lang w:eastAsia="zh-CN"/>
        </w:rPr>
        <w:t>说明</w:t>
      </w:r>
      <w:r>
        <w:rPr>
          <w:rFonts w:hint="eastAsia" w:ascii="黑体" w:hAnsi="黑体" w:eastAsia="黑体"/>
          <w:color w:val="000000"/>
          <w:kern w:val="0"/>
          <w:sz w:val="32"/>
          <w:szCs w:val="32"/>
        </w:rPr>
        <w:t xml:space="preserve">  </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仿宋_GB2312" w:hAnsi="宋体" w:eastAsia="仿宋_GB2312" w:cs="仿宋_GB2312"/>
          <w:color w:val="000000"/>
          <w:kern w:val="0"/>
          <w:sz w:val="32"/>
          <w:szCs w:val="32"/>
          <w:lang w:eastAsia="zh-CN"/>
        </w:rPr>
        <w:t>本</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eastAsia="zh-CN"/>
        </w:rPr>
        <w:t>度</w:t>
      </w:r>
      <w:r>
        <w:rPr>
          <w:rFonts w:ascii="仿宋_GB2312" w:hAnsi="宋体" w:eastAsia="仿宋_GB2312" w:cs="仿宋_GB2312"/>
          <w:color w:val="000000"/>
          <w:kern w:val="0"/>
          <w:sz w:val="32"/>
          <w:szCs w:val="32"/>
        </w:rPr>
        <w:t>支出合计</w:t>
      </w:r>
      <w:r>
        <w:rPr>
          <w:rFonts w:hint="eastAsia" w:ascii="仿宋_GB2312" w:hAnsi="宋体" w:eastAsia="仿宋_GB2312" w:cs="仿宋_GB2312"/>
          <w:color w:val="000000"/>
          <w:kern w:val="0"/>
          <w:sz w:val="32"/>
          <w:szCs w:val="32"/>
          <w:lang w:val="en-US" w:eastAsia="zh-CN"/>
        </w:rPr>
        <w:t>1591.62</w:t>
      </w:r>
      <w:r>
        <w:rPr>
          <w:rFonts w:ascii="仿宋_GB2312" w:hAnsi="宋体" w:eastAsia="仿宋_GB2312" w:cs="仿宋_GB2312"/>
          <w:color w:val="000000"/>
          <w:kern w:val="0"/>
          <w:sz w:val="32"/>
          <w:szCs w:val="32"/>
        </w:rPr>
        <w:t>万元，其中</w:t>
      </w:r>
      <w:r>
        <w:rPr>
          <w:rFonts w:hint="eastAsia" w:ascii="仿宋_GB2312" w:hAnsi="宋体" w:eastAsia="仿宋_GB2312" w:cs="仿宋_GB2312"/>
          <w:color w:val="000000"/>
          <w:kern w:val="0"/>
          <w:sz w:val="32"/>
          <w:szCs w:val="32"/>
          <w:lang w:eastAsia="zh-CN"/>
        </w:rPr>
        <w:t>财政拨款支出99.67万元（包括</w:t>
      </w:r>
      <w:r>
        <w:rPr>
          <w:rFonts w:ascii="仿宋_GB2312" w:hAnsi="宋体" w:eastAsia="仿宋_GB2312" w:cs="仿宋_GB2312"/>
          <w:color w:val="000000"/>
          <w:kern w:val="0"/>
          <w:sz w:val="32"/>
          <w:szCs w:val="32"/>
        </w:rPr>
        <w:t>基本支出</w:t>
      </w:r>
      <w:r>
        <w:rPr>
          <w:rFonts w:hint="eastAsia" w:ascii="仿宋_GB2312" w:hAnsi="宋体" w:eastAsia="仿宋_GB2312" w:cs="仿宋_GB2312"/>
          <w:color w:val="000000"/>
          <w:kern w:val="0"/>
          <w:sz w:val="32"/>
          <w:szCs w:val="32"/>
          <w:lang w:val="en-US" w:eastAsia="zh-CN"/>
        </w:rPr>
        <w:t>69.1</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0.04</w:t>
      </w:r>
      <w:r>
        <w:rPr>
          <w:rFonts w:ascii="仿宋_GB2312" w:hAnsi="宋体" w:eastAsia="仿宋_GB2312" w:cs="仿宋_GB2312"/>
          <w:color w:val="000000"/>
          <w:kern w:val="0"/>
          <w:sz w:val="32"/>
          <w:szCs w:val="32"/>
        </w:rPr>
        <w:t>%；项目支出</w:t>
      </w:r>
      <w:r>
        <w:rPr>
          <w:rFonts w:hint="eastAsia" w:ascii="仿宋_GB2312" w:hAnsi="宋体" w:eastAsia="仿宋_GB2312" w:cs="仿宋_GB2312"/>
          <w:color w:val="000000"/>
          <w:kern w:val="0"/>
          <w:sz w:val="32"/>
          <w:szCs w:val="32"/>
          <w:lang w:val="en-US" w:eastAsia="zh-CN"/>
        </w:rPr>
        <w:t>1522.52</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96</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w:t>
      </w:r>
      <w:r>
        <w:rPr>
          <w:rFonts w:ascii="仿宋_GB2312" w:hAnsi="宋体" w:eastAsia="仿宋_GB2312" w:cs="仿宋_GB2312"/>
          <w:color w:val="000000"/>
          <w:kern w:val="0"/>
          <w:sz w:val="32"/>
          <w:szCs w:val="32"/>
        </w:rPr>
        <w:t>；经营支出</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p>
    <w:p>
      <w:pPr>
        <w:pStyle w:val="10"/>
        <w:rPr>
          <w:rFonts w:hint="eastAsia" w:ascii="仿宋_GB2312" w:hAnsi="宋体" w:eastAsia="仿宋_GB2312" w:cs="仿宋_GB2312"/>
          <w:color w:val="000000"/>
          <w:kern w:val="0"/>
          <w:sz w:val="32"/>
          <w:szCs w:val="32"/>
          <w:lang w:val="en-US" w:eastAsia="zh-CN"/>
        </w:rPr>
      </w:pPr>
    </w:p>
    <w:p>
      <w:pPr>
        <w:pStyle w:val="10"/>
        <w:rPr>
          <w:rFonts w:hint="default" w:ascii="仿宋_GB2312" w:hAnsi="宋体" w:eastAsia="仿宋_GB2312" w:cs="仿宋_GB2312"/>
          <w:color w:val="000000"/>
          <w:kern w:val="0"/>
          <w:sz w:val="32"/>
          <w:szCs w:val="32"/>
          <w:lang w:val="en-US" w:eastAsia="zh-CN"/>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eastAsia="zh-CN"/>
        </w:rPr>
        <w:drawing>
          <wp:anchor distT="0" distB="0" distL="114300" distR="114300" simplePos="0" relativeHeight="251661312" behindDoc="0" locked="0" layoutInCell="1" allowOverlap="1">
            <wp:simplePos x="0" y="0"/>
            <wp:positionH relativeFrom="column">
              <wp:posOffset>410845</wp:posOffset>
            </wp:positionH>
            <wp:positionV relativeFrom="paragraph">
              <wp:posOffset>225425</wp:posOffset>
            </wp:positionV>
            <wp:extent cx="5080000" cy="3810000"/>
            <wp:effectExtent l="4445" t="4445" r="20955" b="14605"/>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p>
    <w:p>
      <w:pPr>
        <w:pStyle w:val="2"/>
        <w:rPr>
          <w:rFonts w:ascii="仿宋_GB2312" w:hAnsi="宋体" w:eastAsia="仿宋_GB2312" w:cs="仿宋_GB2312"/>
          <w:color w:val="000000"/>
          <w:kern w:val="0"/>
          <w:sz w:val="32"/>
          <w:szCs w:val="32"/>
        </w:rPr>
      </w:pPr>
    </w:p>
    <w:p>
      <w:pPr>
        <w:pStyle w:val="2"/>
        <w:rPr>
          <w:rFonts w:ascii="仿宋_GB2312" w:hAnsi="宋体" w:eastAsia="仿宋_GB2312" w:cs="仿宋_GB2312"/>
          <w:color w:val="000000"/>
          <w:kern w:val="0"/>
          <w:sz w:val="32"/>
          <w:szCs w:val="32"/>
        </w:rPr>
      </w:pPr>
    </w:p>
    <w:p>
      <w:pPr>
        <w:pStyle w:val="2"/>
        <w:rPr>
          <w:rFonts w:ascii="仿宋_GB2312" w:hAnsi="宋体" w:eastAsia="仿宋_GB2312" w:cs="仿宋_GB2312"/>
          <w:color w:val="000000"/>
          <w:kern w:val="0"/>
          <w:sz w:val="32"/>
          <w:szCs w:val="32"/>
        </w:rPr>
      </w:pPr>
    </w:p>
    <w:p>
      <w:pPr>
        <w:pStyle w:val="2"/>
        <w:rPr>
          <w:rFonts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ascii="黑体" w:hAnsi="黑体" w:eastAsia="黑体"/>
          <w:color w:val="000000"/>
          <w:kern w:val="0"/>
          <w:sz w:val="32"/>
          <w:szCs w:val="32"/>
        </w:rPr>
      </w:pPr>
      <w:r>
        <w:rPr>
          <w:rFonts w:hint="eastAsia" w:ascii="黑体" w:hAnsi="黑体" w:eastAsia="黑体"/>
          <w:color w:val="000000"/>
          <w:kern w:val="0"/>
          <w:sz w:val="32"/>
          <w:szCs w:val="32"/>
        </w:rPr>
        <w:t>四、财政拨款收入支出决算总体情况</w:t>
      </w:r>
      <w:r>
        <w:rPr>
          <w:rFonts w:hint="eastAsia" w:ascii="黑体" w:hAnsi="黑体" w:eastAsia="黑体"/>
          <w:color w:val="000000"/>
          <w:kern w:val="0"/>
          <w:sz w:val="32"/>
          <w:szCs w:val="32"/>
          <w:lang w:eastAsia="zh-CN"/>
        </w:rPr>
        <w:t>说明</w:t>
      </w:r>
    </w:p>
    <w:p>
      <w:pPr>
        <w:widowControl/>
        <w:wordWrap/>
        <w:spacing w:line="560" w:lineRule="exact"/>
        <w:ind w:firstLine="640" w:firstLineChars="200"/>
        <w:jc w:val="left"/>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2021年度财政拨款收入1582.87万元（包括一般公共预算财政拨款收入90.92万元，政府性基金预算财政拨款收入1491.95万元），</w:t>
      </w:r>
      <w:r>
        <w:rPr>
          <w:rFonts w:hint="eastAsia" w:ascii="仿宋_GB2312" w:hAnsi="宋体" w:eastAsia="仿宋_GB2312" w:cs="仿宋_GB2312"/>
          <w:color w:val="000000"/>
          <w:kern w:val="0"/>
          <w:sz w:val="32"/>
          <w:szCs w:val="32"/>
          <w:lang w:eastAsia="zh-CN"/>
        </w:rPr>
        <w:t>与</w:t>
      </w:r>
      <w:r>
        <w:rPr>
          <w:rFonts w:hint="eastAsia" w:ascii="仿宋_GB2312" w:hAnsi="仿宋" w:eastAsia="仿宋_GB2312"/>
          <w:sz w:val="32"/>
          <w:szCs w:val="32"/>
        </w:rPr>
        <w:t>上年</w:t>
      </w:r>
      <w:r>
        <w:rPr>
          <w:rFonts w:hint="eastAsia" w:ascii="仿宋_GB2312" w:hAnsi="仿宋" w:eastAsia="仿宋_GB2312"/>
          <w:sz w:val="32"/>
          <w:szCs w:val="32"/>
          <w:lang w:eastAsia="zh-CN"/>
        </w:rPr>
        <w:t>相</w:t>
      </w:r>
      <w:r>
        <w:rPr>
          <w:rFonts w:hint="eastAsia" w:ascii="仿宋_GB2312" w:hAnsi="仿宋" w:eastAsia="仿宋_GB2312"/>
          <w:sz w:val="32"/>
          <w:szCs w:val="32"/>
        </w:rPr>
        <w:t>比</w:t>
      </w:r>
      <w:r>
        <w:rPr>
          <w:rFonts w:hint="eastAsia" w:ascii="仿宋_GB2312" w:hAnsi="仿宋" w:eastAsia="仿宋_GB2312"/>
          <w:sz w:val="32"/>
          <w:szCs w:val="32"/>
          <w:lang w:val="en-US" w:eastAsia="zh-CN"/>
        </w:rPr>
        <w:t>减少3351.95万元，下降68 %，主要原因是当年无一般债券资金和易地扶贫搬迁中央预算内补助资金收入。</w:t>
      </w:r>
    </w:p>
    <w:p>
      <w:pPr>
        <w:widowControl/>
        <w:wordWrap/>
        <w:spacing w:line="560" w:lineRule="exact"/>
        <w:ind w:firstLine="640" w:firstLineChars="200"/>
        <w:jc w:val="left"/>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年初结转8.78万元，</w:t>
      </w:r>
      <w:r>
        <w:rPr>
          <w:rFonts w:hint="eastAsia" w:ascii="仿宋_GB2312" w:hAnsi="仿宋"/>
          <w:sz w:val="32"/>
          <w:szCs w:val="32"/>
          <w:lang w:val="en-US" w:eastAsia="zh-CN"/>
        </w:rPr>
        <w:t>收入总计1591.66万元。</w:t>
      </w: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lang w:eastAsia="zh-CN"/>
        </w:rPr>
        <w:t>支出合计</w:t>
      </w:r>
      <w:r>
        <w:rPr>
          <w:rFonts w:hint="eastAsia" w:ascii="仿宋_GB2312" w:hAnsi="宋体" w:eastAsia="仿宋_GB2312" w:cs="仿宋_GB2312"/>
          <w:color w:val="000000"/>
          <w:kern w:val="0"/>
          <w:sz w:val="32"/>
          <w:szCs w:val="32"/>
          <w:lang w:val="en-US" w:eastAsia="zh-CN"/>
        </w:rPr>
        <w:t>1591.62</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（包括一般公共预算财政拨款收入</w:t>
      </w:r>
      <w:r>
        <w:rPr>
          <w:rFonts w:hint="eastAsia" w:ascii="仿宋_GB2312" w:hAnsi="宋体" w:eastAsia="仿宋_GB2312" w:cs="仿宋_GB2312"/>
          <w:color w:val="000000"/>
          <w:kern w:val="0"/>
          <w:sz w:val="32"/>
          <w:szCs w:val="32"/>
          <w:lang w:val="en-US" w:eastAsia="zh-CN"/>
        </w:rPr>
        <w:t>99.7万元，政府性基金预算财政拨款收入1491.92万元</w:t>
      </w:r>
      <w:r>
        <w:rPr>
          <w:rFonts w:hint="eastAsia" w:ascii="仿宋_GB2312" w:hAnsi="宋体" w:eastAsia="仿宋_GB2312" w:cs="仿宋_GB2312"/>
          <w:color w:val="000000"/>
          <w:kern w:val="0"/>
          <w:sz w:val="32"/>
          <w:szCs w:val="32"/>
          <w:lang w:eastAsia="zh-CN"/>
        </w:rPr>
        <w:t>）</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val="en-US" w:eastAsia="zh-CN"/>
        </w:rPr>
        <w:t>与上年相比减少了3434.54万元，下降69%，</w:t>
      </w:r>
      <w:r>
        <w:rPr>
          <w:rFonts w:hint="eastAsia" w:ascii="仿宋_GB2312" w:hAnsi="仿宋" w:eastAsia="仿宋_GB2312"/>
          <w:sz w:val="32"/>
          <w:szCs w:val="32"/>
          <w:lang w:val="en-US" w:eastAsia="zh-CN"/>
        </w:rPr>
        <w:t>主要原因是当年无无一般债券资金和易地扶贫搬迁中央预算内补助资金支出</w:t>
      </w:r>
      <w:r>
        <w:rPr>
          <w:rFonts w:hint="eastAsia" w:ascii="仿宋_GB2312" w:hAnsi="仿宋" w:eastAsia="仿宋_GB2312"/>
          <w:sz w:val="32"/>
          <w:szCs w:val="32"/>
          <w:lang w:eastAsia="zh-CN"/>
        </w:rPr>
        <w:t>。</w:t>
      </w:r>
    </w:p>
    <w:p>
      <w:pPr>
        <w:pStyle w:val="10"/>
        <w:rPr>
          <w:rFonts w:hint="default"/>
          <w:lang w:val="en-US" w:eastAsia="zh-CN"/>
        </w:rPr>
      </w:pPr>
      <w:r>
        <w:rPr>
          <w:rFonts w:hint="eastAsia" w:ascii="仿宋_GB2312" w:hAnsi="仿宋"/>
          <w:sz w:val="32"/>
          <w:szCs w:val="32"/>
          <w:lang w:eastAsia="zh-CN"/>
        </w:rPr>
        <w:t>本年结转</w:t>
      </w:r>
      <w:r>
        <w:rPr>
          <w:rFonts w:hint="eastAsia" w:ascii="仿宋_GB2312" w:hAnsi="仿宋"/>
          <w:sz w:val="32"/>
          <w:szCs w:val="32"/>
          <w:lang w:val="en-US" w:eastAsia="zh-CN"/>
        </w:rPr>
        <w:t>0.04万元。</w:t>
      </w: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drawing>
          <wp:anchor distT="0" distB="0" distL="114300" distR="114300" simplePos="0" relativeHeight="251662336"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widowControl/>
        <w:wordWrap/>
        <w:spacing w:line="560" w:lineRule="exact"/>
        <w:ind w:firstLine="640" w:firstLineChars="200"/>
        <w:jc w:val="left"/>
        <w:textAlignment w:val="auto"/>
        <w:rPr>
          <w:rFonts w:hint="eastAsia" w:ascii="仿宋_GB2312" w:hAnsi="仿宋" w:eastAsia="仿宋_GB2312"/>
          <w:sz w:val="32"/>
          <w:szCs w:val="32"/>
          <w:lang w:eastAsia="zh-CN"/>
        </w:rPr>
      </w:pPr>
    </w:p>
    <w:p>
      <w:pPr>
        <w:widowControl/>
        <w:wordWrap/>
        <w:spacing w:line="560" w:lineRule="exact"/>
        <w:ind w:firstLine="640" w:firstLineChars="200"/>
        <w:jc w:val="left"/>
        <w:textAlignment w:val="auto"/>
        <w:rPr>
          <w:rFonts w:ascii="黑体" w:hAnsi="黑体" w:eastAsia="黑体"/>
          <w:color w:val="000000"/>
          <w:kern w:val="0"/>
          <w:sz w:val="32"/>
          <w:szCs w:val="32"/>
        </w:rPr>
      </w:pPr>
      <w:r>
        <w:rPr>
          <w:rFonts w:hint="eastAsia" w:ascii="黑体" w:hAnsi="黑体" w:eastAsia="黑体"/>
          <w:color w:val="000000"/>
          <w:kern w:val="0"/>
          <w:sz w:val="32"/>
          <w:szCs w:val="32"/>
        </w:rPr>
        <w:t>五、一般公共预算财政拨款支出决算情况</w:t>
      </w:r>
      <w:r>
        <w:rPr>
          <w:rFonts w:hint="eastAsia" w:ascii="黑体" w:hAnsi="黑体" w:eastAsia="黑体"/>
          <w:color w:val="000000"/>
          <w:kern w:val="0"/>
          <w:sz w:val="32"/>
          <w:szCs w:val="32"/>
          <w:lang w:eastAsia="zh-CN"/>
        </w:rPr>
        <w:t>说明</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2021</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eastAsia="zh-CN"/>
        </w:rPr>
        <w:t>度</w:t>
      </w:r>
      <w:r>
        <w:rPr>
          <w:rFonts w:ascii="仿宋_GB2312" w:hAnsi="宋体" w:eastAsia="仿宋_GB2312" w:cs="仿宋_GB2312"/>
          <w:color w:val="000000"/>
          <w:kern w:val="0"/>
          <w:sz w:val="32"/>
          <w:szCs w:val="32"/>
        </w:rPr>
        <w:t>财政拨款支出预算1461.4441万元，</w:t>
      </w:r>
      <w:r>
        <w:rPr>
          <w:rFonts w:hint="eastAsia" w:ascii="仿宋_GB2312" w:hAnsi="宋体" w:eastAsia="仿宋_GB2312" w:cs="仿宋_GB2312"/>
          <w:color w:val="000000"/>
          <w:kern w:val="0"/>
          <w:sz w:val="32"/>
          <w:szCs w:val="32"/>
          <w:lang w:eastAsia="zh-CN"/>
        </w:rPr>
        <w:t>调整预算为</w:t>
      </w:r>
      <w:r>
        <w:rPr>
          <w:rFonts w:hint="eastAsia" w:ascii="仿宋_GB2312" w:hAnsi="宋体" w:eastAsia="仿宋_GB2312" w:cs="仿宋_GB2312"/>
          <w:color w:val="000000"/>
          <w:kern w:val="0"/>
          <w:sz w:val="32"/>
          <w:szCs w:val="32"/>
          <w:lang w:val="en-US" w:eastAsia="zh-CN"/>
        </w:rPr>
        <w:t>99.67万元，</w:t>
      </w:r>
      <w:r>
        <w:rPr>
          <w:rFonts w:ascii="仿宋_GB2312" w:hAnsi="宋体" w:eastAsia="仿宋_GB2312" w:cs="仿宋_GB2312"/>
          <w:color w:val="000000"/>
          <w:kern w:val="0"/>
          <w:sz w:val="32"/>
          <w:szCs w:val="32"/>
        </w:rPr>
        <w:t>支出决算</w:t>
      </w:r>
      <w:r>
        <w:rPr>
          <w:rFonts w:hint="eastAsia" w:ascii="仿宋_GB2312" w:hAnsi="宋体" w:eastAsia="仿宋_GB2312" w:cs="仿宋_GB2312"/>
          <w:color w:val="000000"/>
          <w:kern w:val="0"/>
          <w:sz w:val="32"/>
          <w:szCs w:val="32"/>
          <w:lang w:val="en-US" w:eastAsia="zh-CN"/>
        </w:rPr>
        <w:t>一般公共预算支出99.67</w:t>
      </w:r>
      <w:r>
        <w:rPr>
          <w:rFonts w:ascii="仿宋_GB2312" w:hAnsi="宋体" w:eastAsia="仿宋_GB2312" w:cs="仿宋_GB2312"/>
          <w:color w:val="000000"/>
          <w:kern w:val="0"/>
          <w:sz w:val="32"/>
          <w:szCs w:val="32"/>
        </w:rPr>
        <w:t>万元，占本年</w:t>
      </w:r>
      <w:r>
        <w:rPr>
          <w:rFonts w:hint="eastAsia" w:ascii="仿宋_GB2312" w:hAnsi="宋体" w:eastAsia="仿宋_GB2312" w:cs="仿宋_GB2312"/>
          <w:color w:val="000000"/>
          <w:kern w:val="0"/>
          <w:sz w:val="32"/>
          <w:szCs w:val="32"/>
          <w:lang w:eastAsia="zh-CN"/>
        </w:rPr>
        <w:t>一般公共预算</w:t>
      </w:r>
      <w:r>
        <w:rPr>
          <w:rFonts w:ascii="仿宋_GB2312" w:hAnsi="宋体" w:eastAsia="仿宋_GB2312" w:cs="仿宋_GB2312"/>
          <w:color w:val="000000"/>
          <w:kern w:val="0"/>
          <w:sz w:val="32"/>
          <w:szCs w:val="32"/>
        </w:rPr>
        <w:t>支出的</w:t>
      </w:r>
      <w:r>
        <w:rPr>
          <w:rFonts w:hint="eastAsia" w:ascii="仿宋_GB2312" w:hAnsi="宋体" w:eastAsia="仿宋_GB2312" w:cs="仿宋_GB2312"/>
          <w:color w:val="000000"/>
          <w:kern w:val="0"/>
          <w:sz w:val="32"/>
          <w:szCs w:val="32"/>
          <w:lang w:val="en-US" w:eastAsia="zh-CN"/>
        </w:rPr>
        <w:t>100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w:t>
      </w:r>
      <w:r>
        <w:rPr>
          <w:rFonts w:ascii="仿宋_GB2312" w:hAnsi="宋体" w:eastAsia="仿宋_GB2312" w:cs="仿宋_GB2312"/>
          <w:color w:val="000000"/>
          <w:kern w:val="0"/>
          <w:sz w:val="32"/>
          <w:szCs w:val="32"/>
        </w:rPr>
        <w:t>与</w:t>
      </w:r>
      <w:r>
        <w:rPr>
          <w:rFonts w:hint="eastAsia" w:ascii="仿宋_GB2312" w:hAnsi="宋体" w:eastAsia="仿宋_GB2312" w:cs="仿宋_GB2312"/>
          <w:color w:val="000000"/>
          <w:kern w:val="0"/>
          <w:sz w:val="32"/>
          <w:szCs w:val="32"/>
        </w:rPr>
        <w:t>上年</w:t>
      </w:r>
      <w:r>
        <w:rPr>
          <w:rFonts w:ascii="仿宋_GB2312" w:hAnsi="宋体" w:eastAsia="仿宋_GB2312" w:cs="仿宋_GB2312"/>
          <w:color w:val="000000"/>
          <w:kern w:val="0"/>
          <w:sz w:val="32"/>
          <w:szCs w:val="32"/>
        </w:rPr>
        <w:t>相比，</w:t>
      </w:r>
      <w:r>
        <w:rPr>
          <w:rFonts w:hint="eastAsia" w:ascii="仿宋_GB2312" w:hAnsi="宋体" w:eastAsia="仿宋_GB2312" w:cs="仿宋_GB2312"/>
          <w:color w:val="000000"/>
          <w:kern w:val="0"/>
          <w:sz w:val="32"/>
          <w:szCs w:val="32"/>
          <w:lang w:eastAsia="zh-CN"/>
        </w:rPr>
        <w:t>一般公共预算</w:t>
      </w:r>
      <w:r>
        <w:rPr>
          <w:rFonts w:ascii="仿宋_GB2312" w:hAnsi="宋体" w:eastAsia="仿宋_GB2312" w:cs="仿宋_GB2312"/>
          <w:color w:val="000000"/>
          <w:kern w:val="0"/>
          <w:sz w:val="32"/>
          <w:szCs w:val="32"/>
        </w:rPr>
        <w:t>财政拨款支出</w:t>
      </w:r>
      <w:r>
        <w:rPr>
          <w:rFonts w:hint="eastAsia" w:ascii="仿宋_GB2312" w:hAnsi="宋体" w:eastAsia="仿宋_GB2312" w:cs="仿宋_GB2312"/>
          <w:color w:val="000000"/>
          <w:kern w:val="0"/>
          <w:sz w:val="32"/>
          <w:szCs w:val="32"/>
          <w:lang w:eastAsia="zh-CN"/>
        </w:rPr>
        <w:t>减少</w:t>
      </w:r>
      <w:r>
        <w:rPr>
          <w:rFonts w:hint="eastAsia" w:ascii="仿宋_GB2312" w:hAnsi="宋体" w:eastAsia="仿宋_GB2312" w:cs="仿宋_GB2312"/>
          <w:color w:val="000000"/>
          <w:kern w:val="0"/>
          <w:sz w:val="32"/>
          <w:szCs w:val="32"/>
          <w:lang w:val="en-US" w:eastAsia="zh-CN"/>
        </w:rPr>
        <w:t>4426.49</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w:t>
      </w:r>
      <w:r>
        <w:rPr>
          <w:rFonts w:hint="eastAsia" w:ascii="仿宋_GB2312" w:hAnsi="仿宋" w:eastAsia="仿宋_GB2312"/>
          <w:sz w:val="32"/>
          <w:szCs w:val="32"/>
          <w:lang w:val="en-US" w:eastAsia="zh-CN"/>
        </w:rPr>
        <w:t>主要原因是无易地扶贫搬迁中央预算内补助资金收入，同时减少了专项业务经费预算支出</w:t>
      </w:r>
      <w:r>
        <w:rPr>
          <w:rFonts w:hint="eastAsia" w:ascii="仿宋_GB2312" w:hAnsi="宋体" w:eastAsia="仿宋_GB2312" w:cs="仿宋_GB2312"/>
          <w:color w:val="000000"/>
          <w:kern w:val="0"/>
          <w:sz w:val="32"/>
          <w:szCs w:val="32"/>
        </w:rPr>
        <w:t>。</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p>
    <w:p>
      <w:pPr>
        <w:widowControl/>
        <w:wordWrap/>
        <w:spacing w:line="560" w:lineRule="exact"/>
        <w:ind w:firstLine="640" w:firstLineChars="200"/>
        <w:jc w:val="left"/>
        <w:textAlignment w:val="auto"/>
        <w:rPr>
          <w:rFonts w:hint="eastAsia" w:ascii="仿宋_GB2312" w:hAnsi="宋体" w:eastAsia="仿宋_GB2312" w:cs="仿宋_GB2312"/>
          <w:i/>
          <w:iCs/>
          <w:color w:val="FF0000"/>
          <w:kern w:val="0"/>
          <w:sz w:val="32"/>
          <w:szCs w:val="32"/>
          <w:lang w:eastAsia="zh-CN"/>
        </w:rPr>
      </w:pPr>
      <w:r>
        <w:rPr>
          <w:rFonts w:hint="eastAsia" w:ascii="仿宋_GB2312" w:hAnsi="宋体" w:eastAsia="仿宋_GB2312" w:cs="仿宋_GB2312"/>
          <w:color w:val="000000"/>
          <w:kern w:val="0"/>
          <w:sz w:val="32"/>
          <w:szCs w:val="32"/>
          <w:lang w:eastAsia="zh-CN"/>
        </w:rPr>
        <w:drawing>
          <wp:anchor distT="0" distB="0" distL="114300" distR="114300" simplePos="0" relativeHeight="251663360" behindDoc="0" locked="0" layoutInCell="1" allowOverlap="1">
            <wp:simplePos x="0" y="0"/>
            <wp:positionH relativeFrom="column">
              <wp:posOffset>410845</wp:posOffset>
            </wp:positionH>
            <wp:positionV relativeFrom="paragraph">
              <wp:posOffset>-3540125</wp:posOffset>
            </wp:positionV>
            <wp:extent cx="5080000" cy="3810000"/>
            <wp:effectExtent l="4445" t="4445" r="20955" b="14605"/>
            <wp:wrapNone/>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pPr>
        <w:widowControl/>
        <w:wordWrap/>
        <w:spacing w:line="560" w:lineRule="exact"/>
        <w:ind w:firstLine="640" w:firstLineChars="200"/>
        <w:jc w:val="left"/>
        <w:textAlignment w:val="auto"/>
        <w:rPr>
          <w:rFonts w:hint="eastAsia" w:ascii="仿宋" w:hAnsi="仿宋" w:eastAsia="仿宋" w:cs="仿宋"/>
          <w:i w:val="0"/>
          <w:iCs w:val="0"/>
          <w:color w:val="auto"/>
          <w:kern w:val="0"/>
          <w:sz w:val="32"/>
          <w:szCs w:val="32"/>
          <w:lang w:val="en-US" w:eastAsia="zh-CN"/>
        </w:rPr>
      </w:pPr>
      <w:r>
        <w:rPr>
          <w:rFonts w:hint="eastAsia" w:ascii="仿宋" w:hAnsi="仿宋" w:eastAsia="仿宋" w:cs="仿宋"/>
          <w:i w:val="0"/>
          <w:iCs w:val="0"/>
          <w:color w:val="auto"/>
          <w:kern w:val="0"/>
          <w:sz w:val="32"/>
          <w:szCs w:val="32"/>
          <w:lang w:val="en-US" w:eastAsia="zh-CN"/>
        </w:rPr>
        <w:t>按照政府功能分类科目，其中：</w:t>
      </w:r>
    </w:p>
    <w:p>
      <w:pPr>
        <w:keepNext w:val="0"/>
        <w:keepLines w:val="0"/>
        <w:widowControl/>
        <w:suppressLineNumbers w:val="0"/>
        <w:ind w:firstLine="640" w:firstLineChars="200"/>
        <w:jc w:val="left"/>
        <w:rPr>
          <w:rFonts w:hint="eastAsia" w:ascii="仿宋" w:hAnsi="仿宋" w:eastAsia="仿宋" w:cs="仿宋"/>
          <w:sz w:val="32"/>
          <w:szCs w:val="32"/>
        </w:rPr>
      </w:pPr>
      <w:r>
        <w:rPr>
          <w:rFonts w:hint="eastAsia" w:ascii="仿宋" w:hAnsi="仿宋" w:eastAsia="仿宋" w:cs="仿宋"/>
          <w:b w:val="0"/>
          <w:bCs/>
          <w:color w:val="000000"/>
          <w:kern w:val="0"/>
          <w:sz w:val="32"/>
          <w:szCs w:val="32"/>
        </w:rPr>
        <w:t>1.</w:t>
      </w:r>
      <w:r>
        <w:rPr>
          <w:rFonts w:hint="eastAsia" w:ascii="仿宋" w:hAnsi="仿宋" w:eastAsia="仿宋" w:cs="仿宋"/>
          <w:color w:val="000000"/>
          <w:kern w:val="0"/>
          <w:sz w:val="32"/>
          <w:szCs w:val="32"/>
          <w:lang w:val="en-US" w:eastAsia="zh-CN" w:bidi="ar"/>
        </w:rPr>
        <w:t>农林水支出（类）扶贫（款）农村基础设施建设（项）</w:t>
      </w:r>
    </w:p>
    <w:p>
      <w:pPr>
        <w:widowControl/>
        <w:wordWrap/>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b/>
          <w:color w:val="000000"/>
          <w:kern w:val="0"/>
          <w:sz w:val="32"/>
          <w:szCs w:val="32"/>
        </w:rPr>
        <w:t xml:space="preserve"> </w:t>
      </w:r>
      <w:r>
        <w:rPr>
          <w:rFonts w:hint="eastAsia" w:ascii="仿宋" w:hAnsi="仿宋" w:eastAsia="仿宋" w:cs="仿宋"/>
          <w:color w:val="000000"/>
          <w:kern w:val="0"/>
          <w:sz w:val="32"/>
          <w:szCs w:val="32"/>
        </w:rPr>
        <w:t>预算</w:t>
      </w:r>
      <w:r>
        <w:rPr>
          <w:rFonts w:hint="eastAsia" w:ascii="仿宋" w:hAnsi="仿宋" w:eastAsia="仿宋" w:cs="仿宋"/>
          <w:color w:val="000000"/>
          <w:kern w:val="0"/>
          <w:sz w:val="32"/>
          <w:szCs w:val="32"/>
          <w:lang w:val="en-US" w:eastAsia="zh-CN"/>
        </w:rPr>
        <w:t>99.65</w:t>
      </w:r>
      <w:r>
        <w:rPr>
          <w:rFonts w:hint="eastAsia" w:ascii="仿宋" w:hAnsi="仿宋" w:eastAsia="仿宋" w:cs="仿宋"/>
          <w:color w:val="000000"/>
          <w:kern w:val="0"/>
          <w:sz w:val="32"/>
          <w:szCs w:val="32"/>
        </w:rPr>
        <w:t>万元，支出决算</w:t>
      </w:r>
      <w:r>
        <w:rPr>
          <w:rFonts w:hint="eastAsia" w:ascii="仿宋" w:hAnsi="仿宋" w:eastAsia="仿宋" w:cs="仿宋"/>
          <w:color w:val="000000"/>
          <w:kern w:val="0"/>
          <w:sz w:val="32"/>
          <w:szCs w:val="32"/>
          <w:lang w:val="en-US" w:eastAsia="zh-CN"/>
        </w:rPr>
        <w:t>99.65</w:t>
      </w:r>
      <w:r>
        <w:rPr>
          <w:rFonts w:hint="eastAsia" w:ascii="仿宋" w:hAnsi="仿宋" w:eastAsia="仿宋" w:cs="仿宋"/>
          <w:color w:val="000000"/>
          <w:kern w:val="0"/>
          <w:sz w:val="32"/>
          <w:szCs w:val="32"/>
        </w:rPr>
        <w:t>万元，完成预算的</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w:t>
      </w:r>
    </w:p>
    <w:p>
      <w:pPr>
        <w:keepNext w:val="0"/>
        <w:keepLines w:val="0"/>
        <w:widowControl/>
        <w:numPr>
          <w:ilvl w:val="0"/>
          <w:numId w:val="4"/>
        </w:numPr>
        <w:suppressLineNumbers w:val="0"/>
        <w:ind w:firstLine="640" w:firstLineChars="200"/>
        <w:jc w:val="left"/>
        <w:rPr>
          <w:rFonts w:hint="eastAsia" w:ascii="仿宋" w:hAnsi="仿宋" w:eastAsia="仿宋" w:cs="仿宋"/>
          <w:color w:val="000000"/>
          <w:kern w:val="0"/>
          <w:sz w:val="32"/>
          <w:szCs w:val="32"/>
          <w:lang w:val="en-US" w:eastAsia="zh-CN" w:bidi="ar"/>
        </w:rPr>
      </w:pPr>
      <w:r>
        <w:rPr>
          <w:rFonts w:hint="eastAsia" w:ascii="仿宋" w:hAnsi="仿宋" w:eastAsia="仿宋" w:cs="仿宋"/>
          <w:color w:val="000000"/>
          <w:kern w:val="0"/>
          <w:sz w:val="32"/>
          <w:szCs w:val="32"/>
          <w:lang w:val="en-US" w:eastAsia="zh-CN" w:bidi="ar"/>
        </w:rPr>
        <w:t>教育支出（类）进修及培训（款） 培训支出（项）</w:t>
      </w:r>
    </w:p>
    <w:p>
      <w:pPr>
        <w:widowControl/>
        <w:wordWrap/>
        <w:spacing w:line="56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预算</w:t>
      </w:r>
      <w:r>
        <w:rPr>
          <w:rFonts w:hint="eastAsia" w:ascii="仿宋" w:hAnsi="仿宋" w:eastAsia="仿宋" w:cs="仿宋"/>
          <w:color w:val="000000"/>
          <w:kern w:val="0"/>
          <w:sz w:val="32"/>
          <w:szCs w:val="32"/>
          <w:lang w:val="en-US" w:eastAsia="zh-CN"/>
        </w:rPr>
        <w:t>0.02</w:t>
      </w:r>
      <w:r>
        <w:rPr>
          <w:rFonts w:hint="eastAsia" w:ascii="仿宋" w:hAnsi="仿宋" w:eastAsia="仿宋" w:cs="仿宋"/>
          <w:color w:val="000000"/>
          <w:kern w:val="0"/>
          <w:sz w:val="32"/>
          <w:szCs w:val="32"/>
        </w:rPr>
        <w:t>万元，支出决算</w:t>
      </w:r>
      <w:r>
        <w:rPr>
          <w:rFonts w:hint="eastAsia" w:ascii="仿宋" w:hAnsi="仿宋" w:eastAsia="仿宋" w:cs="仿宋"/>
          <w:color w:val="000000"/>
          <w:kern w:val="0"/>
          <w:sz w:val="32"/>
          <w:szCs w:val="32"/>
          <w:lang w:val="en-US" w:eastAsia="zh-CN"/>
        </w:rPr>
        <w:t>0.02</w:t>
      </w:r>
      <w:r>
        <w:rPr>
          <w:rFonts w:hint="eastAsia" w:ascii="仿宋" w:hAnsi="仿宋" w:eastAsia="仿宋" w:cs="仿宋"/>
          <w:color w:val="000000"/>
          <w:kern w:val="0"/>
          <w:sz w:val="32"/>
          <w:szCs w:val="32"/>
        </w:rPr>
        <w:t>万元，完成预算的</w:t>
      </w:r>
      <w:r>
        <w:rPr>
          <w:rFonts w:hint="eastAsia" w:ascii="仿宋" w:hAnsi="仿宋" w:eastAsia="仿宋" w:cs="仿宋"/>
          <w:color w:val="000000"/>
          <w:kern w:val="0"/>
          <w:sz w:val="32"/>
          <w:szCs w:val="32"/>
          <w:lang w:val="en-US" w:eastAsia="zh-CN"/>
        </w:rPr>
        <w:t>100</w:t>
      </w:r>
      <w:r>
        <w:rPr>
          <w:rFonts w:hint="eastAsia" w:ascii="仿宋" w:hAnsi="仿宋" w:eastAsia="仿宋" w:cs="仿宋"/>
          <w:color w:val="000000"/>
          <w:kern w:val="0"/>
          <w:sz w:val="32"/>
          <w:szCs w:val="32"/>
        </w:rPr>
        <w:t>%。决算数</w:t>
      </w:r>
      <w:r>
        <w:rPr>
          <w:rFonts w:hint="eastAsia" w:ascii="仿宋" w:hAnsi="仿宋" w:eastAsia="仿宋" w:cs="仿宋"/>
          <w:color w:val="000000"/>
          <w:kern w:val="0"/>
          <w:sz w:val="32"/>
          <w:szCs w:val="32"/>
          <w:lang w:val="en-US" w:eastAsia="zh-CN"/>
        </w:rPr>
        <w:t>与</w:t>
      </w:r>
      <w:r>
        <w:rPr>
          <w:rFonts w:hint="eastAsia" w:ascii="仿宋" w:hAnsi="仿宋" w:eastAsia="仿宋" w:cs="仿宋"/>
          <w:color w:val="000000"/>
          <w:kern w:val="0"/>
          <w:sz w:val="32"/>
          <w:szCs w:val="32"/>
        </w:rPr>
        <w:t>预算数</w:t>
      </w:r>
      <w:r>
        <w:rPr>
          <w:rFonts w:hint="eastAsia" w:ascii="仿宋" w:hAnsi="仿宋" w:eastAsia="仿宋" w:cs="仿宋"/>
          <w:color w:val="000000"/>
          <w:kern w:val="0"/>
          <w:sz w:val="32"/>
          <w:szCs w:val="32"/>
          <w:lang w:val="en-US" w:eastAsia="zh-CN"/>
        </w:rPr>
        <w:t>持平。</w:t>
      </w:r>
    </w:p>
    <w:p>
      <w:pPr>
        <w:wordWrap/>
        <w:spacing w:line="560" w:lineRule="exact"/>
        <w:ind w:firstLine="640" w:firstLineChars="200"/>
        <w:textAlignment w:val="auto"/>
        <w:rPr>
          <w:rFonts w:ascii="仿宋_GB2312" w:hAnsi="仿宋" w:eastAsia="仿宋_GB2312"/>
          <w:i/>
          <w:iCs/>
          <w:sz w:val="32"/>
          <w:szCs w:val="32"/>
        </w:rPr>
      </w:pPr>
      <w:r>
        <w:rPr>
          <w:rFonts w:hint="eastAsia" w:ascii="黑体" w:hAnsi="黑体" w:eastAsia="黑体"/>
          <w:color w:val="000000"/>
          <w:kern w:val="0"/>
          <w:sz w:val="32"/>
          <w:szCs w:val="32"/>
        </w:rPr>
        <w:t>六、一般公共预算财政拨款基本支出决算情况</w:t>
      </w:r>
      <w:r>
        <w:rPr>
          <w:rFonts w:hint="eastAsia" w:ascii="黑体" w:hAnsi="黑体" w:eastAsia="黑体"/>
          <w:color w:val="000000"/>
          <w:kern w:val="0"/>
          <w:sz w:val="32"/>
          <w:szCs w:val="32"/>
          <w:lang w:eastAsia="zh-CN"/>
        </w:rPr>
        <w:t>说明</w:t>
      </w:r>
      <w:r>
        <w:rPr>
          <w:rFonts w:hint="eastAsia" w:ascii="黑体" w:hAnsi="黑体" w:eastAsia="黑体"/>
          <w:color w:val="000000"/>
          <w:kern w:val="0"/>
          <w:sz w:val="32"/>
          <w:szCs w:val="32"/>
        </w:rPr>
        <w:t xml:space="preserve"> </w:t>
      </w:r>
    </w:p>
    <w:p>
      <w:pPr>
        <w:widowControl/>
        <w:wordWrap/>
        <w:spacing w:line="560" w:lineRule="exact"/>
        <w:ind w:firstLine="620" w:firstLineChars="200"/>
        <w:jc w:val="left"/>
        <w:textAlignment w:val="auto"/>
        <w:rPr>
          <w:rFonts w:hint="eastAsia" w:ascii="仿宋_GB2312" w:hAnsi="仿宋_GB2312" w:eastAsia="仿宋_GB2312" w:cs="仿宋_GB2312"/>
          <w:color w:val="000000"/>
          <w:kern w:val="0"/>
          <w:sz w:val="31"/>
          <w:szCs w:val="31"/>
          <w:lang w:eastAsia="zh-CN"/>
        </w:rPr>
      </w:pPr>
      <w:r>
        <w:rPr>
          <w:rFonts w:hint="eastAsia" w:ascii="仿宋_GB2312" w:hAnsi="仿宋_GB2312" w:eastAsia="仿宋_GB2312" w:cs="仿宋_GB2312"/>
          <w:color w:val="000000"/>
          <w:kern w:val="0"/>
          <w:sz w:val="31"/>
          <w:szCs w:val="31"/>
          <w:lang w:val="en-US" w:eastAsia="zh-CN"/>
        </w:rPr>
        <w:t>2021</w:t>
      </w:r>
      <w:r>
        <w:rPr>
          <w:rFonts w:ascii="仿宋_GB2312" w:hAnsi="仿宋_GB2312" w:eastAsia="仿宋_GB2312" w:cs="仿宋_GB2312"/>
          <w:color w:val="000000"/>
          <w:kern w:val="0"/>
          <w:sz w:val="31"/>
          <w:szCs w:val="31"/>
        </w:rPr>
        <w:t>年</w:t>
      </w:r>
      <w:r>
        <w:rPr>
          <w:rFonts w:hint="eastAsia" w:ascii="仿宋_GB2312" w:hAnsi="仿宋_GB2312" w:eastAsia="仿宋_GB2312" w:cs="仿宋_GB2312"/>
          <w:color w:val="000000"/>
          <w:kern w:val="0"/>
          <w:sz w:val="31"/>
          <w:szCs w:val="31"/>
          <w:lang w:eastAsia="zh-CN"/>
        </w:rPr>
        <w:t>度</w:t>
      </w:r>
      <w:r>
        <w:rPr>
          <w:rFonts w:ascii="仿宋_GB2312" w:hAnsi="仿宋_GB2312" w:eastAsia="仿宋_GB2312" w:cs="仿宋_GB2312"/>
          <w:color w:val="000000"/>
          <w:kern w:val="0"/>
          <w:sz w:val="31"/>
          <w:szCs w:val="31"/>
        </w:rPr>
        <w:t>一般公共预算财政拨款基本支出</w:t>
      </w:r>
      <w:r>
        <w:rPr>
          <w:rFonts w:hint="eastAsia" w:ascii="仿宋_GB2312" w:hAnsi="仿宋_GB2312" w:eastAsia="仿宋_GB2312" w:cs="仿宋_GB2312"/>
          <w:color w:val="000000"/>
          <w:kern w:val="0"/>
          <w:sz w:val="31"/>
          <w:szCs w:val="31"/>
          <w:lang w:val="en-US" w:eastAsia="zh-CN"/>
        </w:rPr>
        <w:t>69.1</w:t>
      </w:r>
      <w:r>
        <w:rPr>
          <w:rFonts w:ascii="仿宋_GB2312" w:hAnsi="仿宋_GB2312" w:eastAsia="仿宋_GB2312" w:cs="仿宋_GB2312"/>
          <w:color w:val="000000"/>
          <w:kern w:val="0"/>
          <w:sz w:val="31"/>
          <w:szCs w:val="31"/>
        </w:rPr>
        <w:t>万元，包括人员经费和公用经费。</w:t>
      </w:r>
      <w:r>
        <w:rPr>
          <w:rFonts w:hint="eastAsia" w:ascii="仿宋_GB2312" w:hAnsi="仿宋_GB2312" w:eastAsia="仿宋_GB2312" w:cs="仿宋_GB2312"/>
          <w:color w:val="000000"/>
          <w:kern w:val="0"/>
          <w:sz w:val="31"/>
          <w:szCs w:val="31"/>
          <w:lang w:eastAsia="zh-CN"/>
        </w:rPr>
        <w:t>其中：</w:t>
      </w:r>
    </w:p>
    <w:p>
      <w:pPr>
        <w:widowControl/>
        <w:jc w:val="left"/>
        <w:rPr>
          <w:rFonts w:hint="default" w:ascii="仿宋" w:hAnsi="仿宋" w:eastAsia="仿宋" w:cs="仿宋"/>
          <w:sz w:val="32"/>
          <w:szCs w:val="32"/>
          <w:lang w:val="en-US"/>
        </w:rPr>
      </w:pPr>
      <w:r>
        <w:rPr>
          <w:rFonts w:hint="eastAsia" w:ascii="仿宋_GB2312" w:hAnsi="宋体" w:eastAsia="仿宋_GB2312" w:cs="仿宋_GB2312"/>
          <w:b/>
          <w:bCs/>
          <w:color w:val="000000"/>
          <w:kern w:val="0"/>
          <w:sz w:val="32"/>
          <w:szCs w:val="32"/>
          <w:lang w:val="en-US" w:eastAsia="zh-CN"/>
        </w:rPr>
        <w:t xml:space="preserve">    </w:t>
      </w:r>
      <w:r>
        <w:rPr>
          <w:rFonts w:hint="eastAsia" w:ascii="楷体" w:hAnsi="楷体" w:eastAsia="楷体" w:cs="楷体"/>
          <w:b w:val="0"/>
          <w:bCs w:val="0"/>
          <w:color w:val="000000"/>
          <w:kern w:val="0"/>
          <w:sz w:val="32"/>
          <w:szCs w:val="32"/>
          <w:lang w:eastAsia="zh-CN"/>
        </w:rPr>
        <w:t>（一）</w:t>
      </w:r>
      <w:r>
        <w:rPr>
          <w:rFonts w:hint="eastAsia" w:ascii="楷体" w:hAnsi="楷体" w:eastAsia="楷体" w:cs="楷体"/>
          <w:b w:val="0"/>
          <w:bCs w:val="0"/>
          <w:color w:val="000000"/>
          <w:kern w:val="0"/>
          <w:sz w:val="32"/>
          <w:szCs w:val="32"/>
        </w:rPr>
        <w:t>人员经费</w:t>
      </w:r>
      <w:r>
        <w:rPr>
          <w:rFonts w:hint="eastAsia" w:ascii="仿宋_GB2312" w:hAnsi="宋体" w:eastAsia="仿宋_GB2312" w:cs="仿宋_GB2312"/>
          <w:color w:val="000000"/>
          <w:kern w:val="0"/>
          <w:sz w:val="32"/>
          <w:szCs w:val="32"/>
          <w:lang w:val="en-US" w:eastAsia="zh-CN"/>
        </w:rPr>
        <w:t>55.4</w:t>
      </w:r>
      <w:r>
        <w:rPr>
          <w:rFonts w:ascii="仿宋_GB2312" w:hAnsi="宋体" w:eastAsia="仿宋_GB2312" w:cs="仿宋_GB2312"/>
          <w:color w:val="000000"/>
          <w:kern w:val="0"/>
          <w:sz w:val="32"/>
          <w:szCs w:val="32"/>
        </w:rPr>
        <w:t>万元，</w:t>
      </w:r>
      <w:r>
        <w:rPr>
          <w:rFonts w:hint="eastAsia" w:ascii="仿宋" w:hAnsi="仿宋" w:eastAsia="仿宋" w:cs="仿宋"/>
          <w:color w:val="000000"/>
          <w:kern w:val="0"/>
          <w:sz w:val="32"/>
          <w:szCs w:val="32"/>
        </w:rPr>
        <w:t>主要包括</w:t>
      </w:r>
      <w:r>
        <w:rPr>
          <w:rFonts w:hint="eastAsia" w:ascii="仿宋" w:hAnsi="仿宋" w:eastAsia="仿宋" w:cs="仿宋"/>
          <w:color w:val="000000"/>
          <w:kern w:val="0"/>
          <w:sz w:val="32"/>
          <w:szCs w:val="32"/>
          <w:lang w:val="en-US" w:eastAsia="zh-CN"/>
        </w:rPr>
        <w:t>工资福利支出：</w:t>
      </w:r>
      <w:r>
        <w:rPr>
          <w:rFonts w:hint="eastAsia" w:ascii="仿宋" w:hAnsi="仿宋" w:eastAsia="仿宋" w:cs="仿宋"/>
          <w:sz w:val="32"/>
          <w:szCs w:val="32"/>
        </w:rPr>
        <w:t>基本工资</w:t>
      </w:r>
      <w:r>
        <w:rPr>
          <w:rFonts w:hint="eastAsia" w:ascii="仿宋" w:hAnsi="仿宋" w:eastAsia="仿宋" w:cs="仿宋"/>
          <w:sz w:val="32"/>
          <w:szCs w:val="32"/>
          <w:lang w:val="en-US" w:eastAsia="zh-CN"/>
        </w:rPr>
        <w:t>21.98万元</w:t>
      </w:r>
      <w:r>
        <w:rPr>
          <w:rFonts w:hint="eastAsia" w:ascii="仿宋" w:hAnsi="仿宋" w:eastAsia="仿宋" w:cs="仿宋"/>
          <w:sz w:val="32"/>
          <w:szCs w:val="32"/>
        </w:rPr>
        <w:t>、津贴补贴</w:t>
      </w:r>
      <w:r>
        <w:rPr>
          <w:rFonts w:hint="eastAsia" w:ascii="仿宋" w:hAnsi="仿宋" w:eastAsia="仿宋" w:cs="仿宋"/>
          <w:sz w:val="32"/>
          <w:szCs w:val="32"/>
          <w:lang w:val="en-US" w:eastAsia="zh-CN"/>
        </w:rPr>
        <w:t>10.02万元</w:t>
      </w:r>
      <w:r>
        <w:rPr>
          <w:rFonts w:hint="eastAsia" w:ascii="仿宋" w:hAnsi="仿宋" w:eastAsia="仿宋" w:cs="仿宋"/>
          <w:sz w:val="32"/>
          <w:szCs w:val="32"/>
        </w:rPr>
        <w:t>、</w:t>
      </w:r>
      <w:r>
        <w:rPr>
          <w:rFonts w:hint="eastAsia" w:ascii="仿宋" w:hAnsi="仿宋" w:eastAsia="仿宋" w:cs="仿宋"/>
          <w:sz w:val="32"/>
          <w:szCs w:val="32"/>
          <w:lang w:val="en-US" w:eastAsia="zh-CN"/>
        </w:rPr>
        <w:t>奖金1.66万元、绩效工资5.93万元、机关事业单位基本养老保险缴费6.2万元、职工基本医疗保险缴费3.02万元、其他社会保障缴费0.32万元、住房公积金4.61万元；对个人和家庭的补助支出：生活补助1.65万元。</w:t>
      </w:r>
    </w:p>
    <w:p>
      <w:pPr>
        <w:widowControl/>
        <w:wordWrap/>
        <w:spacing w:line="560" w:lineRule="exact"/>
        <w:ind w:firstLine="640" w:firstLineChars="200"/>
        <w:jc w:val="left"/>
        <w:textAlignment w:val="auto"/>
      </w:pPr>
      <w:r>
        <w:rPr>
          <w:rFonts w:hint="eastAsia" w:ascii="楷体" w:hAnsi="楷体" w:eastAsia="楷体" w:cs="楷体"/>
          <w:b w:val="0"/>
          <w:bCs w:val="0"/>
          <w:color w:val="000000"/>
          <w:kern w:val="0"/>
          <w:sz w:val="32"/>
          <w:szCs w:val="32"/>
          <w:lang w:eastAsia="zh-CN"/>
        </w:rPr>
        <w:t>（二）公用</w:t>
      </w:r>
      <w:r>
        <w:rPr>
          <w:rFonts w:hint="eastAsia" w:ascii="楷体" w:hAnsi="楷体" w:eastAsia="楷体" w:cs="楷体"/>
          <w:b w:val="0"/>
          <w:bCs w:val="0"/>
          <w:color w:val="000000"/>
          <w:kern w:val="0"/>
          <w:sz w:val="32"/>
          <w:szCs w:val="32"/>
        </w:rPr>
        <w:t>经费</w:t>
      </w:r>
      <w:r>
        <w:rPr>
          <w:rFonts w:hint="eastAsia" w:ascii="仿宋_GB2312" w:hAnsi="宋体" w:eastAsia="仿宋_GB2312" w:cs="仿宋_GB2312"/>
          <w:color w:val="000000"/>
          <w:kern w:val="0"/>
          <w:sz w:val="32"/>
          <w:szCs w:val="32"/>
          <w:lang w:val="en-US" w:eastAsia="zh-CN"/>
        </w:rPr>
        <w:t>13.7</w:t>
      </w:r>
      <w:r>
        <w:rPr>
          <w:rFonts w:ascii="仿宋_GB2312" w:hAnsi="宋体" w:eastAsia="仿宋_GB2312" w:cs="仿宋_GB2312"/>
          <w:color w:val="000000"/>
          <w:kern w:val="0"/>
          <w:sz w:val="32"/>
          <w:szCs w:val="32"/>
        </w:rPr>
        <w:t>万元，</w:t>
      </w:r>
      <w:r>
        <w:rPr>
          <w:rFonts w:hint="eastAsia" w:ascii="仿宋" w:hAnsi="仿宋" w:eastAsia="仿宋" w:cs="仿宋"/>
          <w:color w:val="000000"/>
          <w:kern w:val="0"/>
          <w:sz w:val="32"/>
          <w:szCs w:val="32"/>
        </w:rPr>
        <w:t>主要包括</w:t>
      </w:r>
      <w:r>
        <w:rPr>
          <w:rFonts w:hint="eastAsia" w:ascii="仿宋" w:hAnsi="仿宋" w:eastAsia="仿宋" w:cs="仿宋"/>
          <w:color w:val="000000"/>
          <w:kern w:val="0"/>
          <w:sz w:val="32"/>
          <w:szCs w:val="32"/>
          <w:lang w:eastAsia="zh-CN"/>
        </w:rPr>
        <w:t>：</w:t>
      </w:r>
      <w:r>
        <w:rPr>
          <w:rFonts w:hint="eastAsia" w:ascii="仿宋" w:hAnsi="仿宋" w:eastAsia="仿宋" w:cs="仿宋"/>
          <w:sz w:val="32"/>
          <w:szCs w:val="32"/>
        </w:rPr>
        <w:t>办公费</w:t>
      </w:r>
      <w:r>
        <w:rPr>
          <w:rFonts w:hint="eastAsia" w:ascii="仿宋" w:hAnsi="仿宋" w:eastAsia="仿宋" w:cs="仿宋"/>
          <w:sz w:val="32"/>
          <w:szCs w:val="32"/>
          <w:lang w:val="en-US" w:eastAsia="zh-CN"/>
        </w:rPr>
        <w:t>2.71万元</w:t>
      </w:r>
      <w:r>
        <w:rPr>
          <w:rFonts w:hint="eastAsia" w:ascii="仿宋" w:hAnsi="仿宋" w:eastAsia="仿宋" w:cs="仿宋"/>
          <w:sz w:val="32"/>
          <w:szCs w:val="32"/>
        </w:rPr>
        <w:t>、印刷费</w:t>
      </w:r>
      <w:r>
        <w:rPr>
          <w:rFonts w:hint="eastAsia" w:ascii="仿宋" w:hAnsi="仿宋" w:eastAsia="仿宋" w:cs="仿宋"/>
          <w:sz w:val="32"/>
          <w:szCs w:val="32"/>
          <w:lang w:val="en-US" w:eastAsia="zh-CN"/>
        </w:rPr>
        <w:t>1.73万元</w:t>
      </w:r>
      <w:r>
        <w:rPr>
          <w:rFonts w:hint="eastAsia" w:ascii="仿宋" w:hAnsi="仿宋" w:eastAsia="仿宋" w:cs="仿宋"/>
          <w:sz w:val="32"/>
          <w:szCs w:val="32"/>
        </w:rPr>
        <w:t>、</w:t>
      </w:r>
      <w:r>
        <w:rPr>
          <w:rFonts w:hint="eastAsia" w:ascii="仿宋" w:hAnsi="仿宋" w:eastAsia="仿宋" w:cs="仿宋"/>
          <w:sz w:val="32"/>
          <w:szCs w:val="32"/>
          <w:lang w:val="en-US" w:eastAsia="zh-CN"/>
        </w:rPr>
        <w:t>电费1.09万元、邮电费1.2万元、差旅费4.16万元、公务接待费0.71万元、工会经费1.05万元、其他交通费用1.05万元。</w:t>
      </w:r>
    </w:p>
    <w:p>
      <w:pPr>
        <w:wordWrap/>
        <w:spacing w:line="560" w:lineRule="exact"/>
        <w:ind w:firstLine="640" w:firstLineChars="200"/>
        <w:textAlignment w:val="auto"/>
        <w:rPr>
          <w:rFonts w:ascii="黑体" w:hAnsi="黑体" w:eastAsia="黑体"/>
          <w:color w:val="000000"/>
          <w:kern w:val="0"/>
          <w:sz w:val="32"/>
          <w:szCs w:val="32"/>
        </w:rPr>
      </w:pPr>
      <w:r>
        <w:rPr>
          <w:rFonts w:hint="eastAsia" w:ascii="黑体" w:hAnsi="黑体" w:eastAsia="黑体"/>
          <w:color w:val="000000"/>
          <w:kern w:val="0"/>
          <w:sz w:val="32"/>
          <w:szCs w:val="32"/>
        </w:rPr>
        <w:t>七、一般公共预算财政拨款“三公”经费及会议费、培训费支出决算情况</w:t>
      </w:r>
      <w:r>
        <w:rPr>
          <w:rFonts w:hint="eastAsia" w:ascii="黑体" w:hAnsi="黑体" w:eastAsia="黑体"/>
          <w:color w:val="000000"/>
          <w:kern w:val="0"/>
          <w:sz w:val="32"/>
          <w:szCs w:val="32"/>
          <w:lang w:eastAsia="zh-CN"/>
        </w:rPr>
        <w:t>说明</w:t>
      </w:r>
      <w:r>
        <w:rPr>
          <w:rFonts w:hint="eastAsia" w:ascii="黑体" w:hAnsi="黑体" w:eastAsia="黑体"/>
          <w:color w:val="000000"/>
          <w:kern w:val="0"/>
          <w:sz w:val="32"/>
          <w:szCs w:val="32"/>
        </w:rPr>
        <w:t xml:space="preserve"> </w:t>
      </w:r>
    </w:p>
    <w:p>
      <w:pPr>
        <w:widowControl/>
        <w:wordWrap/>
        <w:spacing w:line="560" w:lineRule="exact"/>
        <w:ind w:firstLine="640" w:firstLineChars="200"/>
        <w:jc w:val="left"/>
        <w:textAlignment w:val="auto"/>
      </w:pPr>
      <w:r>
        <w:rPr>
          <w:rFonts w:hint="eastAsia" w:ascii="楷体" w:hAnsi="楷体" w:eastAsia="楷体" w:cs="楷体"/>
          <w:b w:val="0"/>
          <w:bCs/>
          <w:color w:val="000000"/>
          <w:kern w:val="0"/>
          <w:sz w:val="32"/>
          <w:szCs w:val="32"/>
        </w:rPr>
        <w:t>（一）“三公”经费财政拨款支出决算情况</w:t>
      </w:r>
      <w:r>
        <w:rPr>
          <w:rFonts w:hint="eastAsia" w:ascii="楷体" w:hAnsi="楷体" w:eastAsia="楷体" w:cs="楷体"/>
          <w:b w:val="0"/>
          <w:bCs/>
          <w:color w:val="000000"/>
          <w:kern w:val="0"/>
          <w:sz w:val="32"/>
          <w:szCs w:val="32"/>
          <w:lang w:eastAsia="zh-CN"/>
        </w:rPr>
        <w:t>说明</w:t>
      </w:r>
      <w:r>
        <w:rPr>
          <w:rFonts w:hint="eastAsia" w:ascii="楷体" w:hAnsi="楷体" w:eastAsia="楷体" w:cs="楷体"/>
          <w:b w:val="0"/>
          <w:bCs/>
          <w:color w:val="000000"/>
          <w:kern w:val="0"/>
          <w:sz w:val="32"/>
          <w:szCs w:val="32"/>
        </w:rPr>
        <w:t>。</w:t>
      </w:r>
      <w:r>
        <w:rPr>
          <w:rFonts w:ascii="楷体_GB2312" w:hAnsi="宋体" w:eastAsia="楷体_GB2312" w:cs="楷体_GB2312"/>
          <w:b/>
          <w:color w:val="000000"/>
          <w:kern w:val="0"/>
          <w:sz w:val="32"/>
          <w:szCs w:val="32"/>
        </w:rPr>
        <w:t xml:space="preserve"> </w:t>
      </w: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val="en-US" w:eastAsia="zh-CN"/>
        </w:rPr>
        <w:t>2021</w:t>
      </w:r>
      <w:r>
        <w:rPr>
          <w:rFonts w:ascii="仿宋_GB2312" w:hAnsi="宋体" w:eastAsia="仿宋_GB2312" w:cs="仿宋_GB2312"/>
          <w:color w:val="000000"/>
          <w:kern w:val="0"/>
          <w:sz w:val="32"/>
          <w:szCs w:val="32"/>
        </w:rPr>
        <w:t>年</w:t>
      </w:r>
      <w:r>
        <w:rPr>
          <w:rFonts w:hint="eastAsia" w:ascii="仿宋_GB2312" w:hAnsi="宋体" w:eastAsia="仿宋_GB2312" w:cs="仿宋_GB2312"/>
          <w:color w:val="000000"/>
          <w:kern w:val="0"/>
          <w:sz w:val="32"/>
          <w:szCs w:val="32"/>
          <w:lang w:eastAsia="zh-CN"/>
        </w:rPr>
        <w:t>度一般公共预算安排</w:t>
      </w:r>
      <w:r>
        <w:rPr>
          <w:rFonts w:ascii="仿宋_GB2312" w:hAnsi="宋体" w:eastAsia="仿宋_GB2312" w:cs="仿宋_GB2312"/>
          <w:color w:val="000000"/>
          <w:kern w:val="0"/>
          <w:sz w:val="32"/>
          <w:szCs w:val="32"/>
        </w:rPr>
        <w:t>“三公”经费支出预算</w:t>
      </w:r>
      <w:r>
        <w:rPr>
          <w:rFonts w:hint="eastAsia" w:ascii="仿宋_GB2312" w:hAnsi="宋体" w:eastAsia="仿宋_GB2312" w:cs="仿宋_GB2312"/>
          <w:color w:val="000000"/>
          <w:kern w:val="0"/>
          <w:sz w:val="32"/>
          <w:szCs w:val="32"/>
          <w:lang w:val="en-US" w:eastAsia="zh-CN"/>
        </w:rPr>
        <w:t>1.2</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0.71</w:t>
      </w:r>
      <w:r>
        <w:rPr>
          <w:rFonts w:ascii="仿宋_GB2312" w:hAnsi="宋体" w:eastAsia="仿宋_GB2312" w:cs="仿宋_GB2312"/>
          <w:color w:val="000000"/>
          <w:kern w:val="0"/>
          <w:sz w:val="32"/>
          <w:szCs w:val="32"/>
        </w:rPr>
        <w:t>万元</w:t>
      </w:r>
      <w:r>
        <w:rPr>
          <w:rFonts w:hint="eastAsia" w:ascii="仿宋_GB2312" w:hAnsi="宋体" w:eastAsia="仿宋_GB2312" w:cs="仿宋_GB2312"/>
          <w:color w:val="000000"/>
          <w:kern w:val="0"/>
          <w:sz w:val="32"/>
          <w:szCs w:val="32"/>
          <w:lang w:eastAsia="zh-CN"/>
        </w:rPr>
        <w:t>，完成预算的</w:t>
      </w:r>
      <w:r>
        <w:rPr>
          <w:rFonts w:hint="eastAsia" w:ascii="仿宋_GB2312" w:hAnsi="宋体" w:eastAsia="仿宋_GB2312" w:cs="仿宋_GB2312"/>
          <w:color w:val="000000"/>
          <w:kern w:val="0"/>
          <w:sz w:val="32"/>
          <w:szCs w:val="32"/>
          <w:lang w:val="en-US" w:eastAsia="zh-CN"/>
        </w:rPr>
        <w:t>59</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。决算数小于预算数的主要原因是</w:t>
      </w:r>
      <w:r>
        <w:rPr>
          <w:rFonts w:hint="eastAsia" w:ascii="仿宋_GB2312" w:hAnsi="宋体" w:eastAsia="仿宋_GB2312" w:cs="仿宋_GB2312"/>
          <w:color w:val="000000"/>
          <w:kern w:val="0"/>
          <w:sz w:val="32"/>
          <w:szCs w:val="32"/>
          <w:lang w:val="en-US" w:eastAsia="zh-CN"/>
        </w:rPr>
        <w:t>厉行节约，严控“三公经费增长”</w:t>
      </w:r>
      <w:r>
        <w:rPr>
          <w:rFonts w:hint="eastAsia" w:ascii="仿宋_GB2312" w:hAnsi="宋体" w:eastAsia="仿宋_GB2312" w:cs="仿宋_GB2312"/>
          <w:color w:val="000000"/>
          <w:kern w:val="0"/>
          <w:sz w:val="32"/>
          <w:szCs w:val="32"/>
        </w:rPr>
        <w:t>。</w:t>
      </w: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p>
    <w:p>
      <w:pPr>
        <w:pStyle w:val="2"/>
        <w:rPr>
          <w:rFonts w:hint="eastAsia" w:ascii="仿宋_GB2312" w:hAnsi="宋体" w:eastAsia="仿宋_GB2312" w:cs="仿宋_GB2312"/>
          <w:color w:val="000000"/>
          <w:kern w:val="0"/>
          <w:sz w:val="32"/>
          <w:szCs w:val="32"/>
        </w:rPr>
      </w:pPr>
    </w:p>
    <w:p>
      <w:pPr>
        <w:pStyle w:val="2"/>
        <w:rPr>
          <w:rFonts w:hint="eastAsia" w:ascii="仿宋_GB2312" w:hAnsi="宋体" w:eastAsia="仿宋_GB2312" w:cs="仿宋_GB2312"/>
          <w:color w:val="000000"/>
          <w:kern w:val="0"/>
          <w:sz w:val="32"/>
          <w:szCs w:val="32"/>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lang w:eastAsia="zh-CN"/>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p>
    <w:p>
      <w:pPr>
        <w:wordWrap/>
        <w:spacing w:line="560" w:lineRule="exact"/>
        <w:ind w:firstLine="640" w:firstLineChars="200"/>
        <w:textAlignment w:val="auto"/>
        <w:rPr>
          <w:rFonts w:hint="eastAsia" w:ascii="仿宋_GB2312" w:hAnsi="宋体" w:eastAsia="仿宋_GB2312" w:cs="仿宋_GB2312"/>
          <w:color w:val="000000"/>
          <w:kern w:val="0"/>
          <w:sz w:val="32"/>
          <w:szCs w:val="32"/>
        </w:rPr>
      </w:pPr>
      <w:r>
        <w:rPr>
          <w:rFonts w:hint="eastAsia" w:ascii="仿宋_GB2312" w:hAnsi="宋体" w:eastAsia="仿宋_GB2312" w:cs="仿宋_GB2312"/>
          <w:color w:val="000000"/>
          <w:kern w:val="0"/>
          <w:sz w:val="32"/>
          <w:szCs w:val="32"/>
          <w:lang w:eastAsia="zh-CN"/>
        </w:rPr>
        <w:drawing>
          <wp:anchor distT="0" distB="0" distL="114300" distR="114300" simplePos="0" relativeHeight="251664384" behindDoc="0" locked="0" layoutInCell="1" allowOverlap="1">
            <wp:simplePos x="0" y="0"/>
            <wp:positionH relativeFrom="column">
              <wp:posOffset>411480</wp:posOffset>
            </wp:positionH>
            <wp:positionV relativeFrom="paragraph">
              <wp:posOffset>-1895475</wp:posOffset>
            </wp:positionV>
            <wp:extent cx="3911600" cy="2165985"/>
            <wp:effectExtent l="5080" t="4445" r="7620" b="13970"/>
            <wp:wrapNone/>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numPr>
          <w:ilvl w:val="0"/>
          <w:numId w:val="0"/>
        </w:numPr>
        <w:wordWrap/>
        <w:spacing w:line="560" w:lineRule="exact"/>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 xml:space="preserve">   </w:t>
      </w:r>
    </w:p>
    <w:p>
      <w:pPr>
        <w:numPr>
          <w:ilvl w:val="0"/>
          <w:numId w:val="0"/>
        </w:numPr>
        <w:wordWrap/>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lang w:val="en-US" w:eastAsia="zh-CN"/>
        </w:rPr>
        <w:t>1.</w:t>
      </w:r>
      <w:r>
        <w:rPr>
          <w:rFonts w:hint="eastAsia" w:ascii="楷体" w:hAnsi="楷体" w:eastAsia="楷体" w:cs="楷体"/>
          <w:b w:val="0"/>
          <w:bCs w:val="0"/>
          <w:sz w:val="32"/>
          <w:szCs w:val="32"/>
        </w:rPr>
        <w:t>因公出国（境）支出情况</w:t>
      </w:r>
      <w:r>
        <w:rPr>
          <w:rFonts w:hint="eastAsia" w:ascii="楷体" w:hAnsi="楷体" w:eastAsia="楷体" w:cs="楷体"/>
          <w:b w:val="0"/>
          <w:bCs w:val="0"/>
          <w:color w:val="000000"/>
          <w:kern w:val="0"/>
          <w:sz w:val="32"/>
          <w:szCs w:val="32"/>
          <w:lang w:eastAsia="zh-CN"/>
        </w:rPr>
        <w:t>说明</w:t>
      </w:r>
      <w:r>
        <w:rPr>
          <w:rFonts w:hint="eastAsia" w:ascii="楷体" w:hAnsi="楷体" w:eastAsia="楷体" w:cs="楷体"/>
          <w:b w:val="0"/>
          <w:bCs w:val="0"/>
          <w:sz w:val="32"/>
          <w:szCs w:val="32"/>
        </w:rPr>
        <w:t>。</w:t>
      </w:r>
    </w:p>
    <w:p>
      <w:pPr>
        <w:widowControl/>
        <w:wordWrap/>
        <w:spacing w:line="560" w:lineRule="exact"/>
        <w:ind w:firstLine="640" w:firstLineChars="200"/>
        <w:jc w:val="left"/>
        <w:textAlignment w:val="auto"/>
        <w:rPr>
          <w:i w:val="0"/>
          <w:iCs/>
        </w:rPr>
      </w:pPr>
      <w:r>
        <w:rPr>
          <w:rFonts w:hint="eastAsia" w:ascii="仿宋" w:hAnsi="仿宋" w:eastAsia="仿宋" w:cs="仿宋"/>
          <w:i w:val="0"/>
          <w:iCs/>
          <w:color w:val="000000"/>
          <w:kern w:val="0"/>
          <w:sz w:val="32"/>
          <w:szCs w:val="32"/>
          <w:lang w:val="en-US" w:eastAsia="zh-CN"/>
        </w:rPr>
        <w:t>2021年度无一般公共预算因公出国（境）预算安排。</w:t>
      </w:r>
    </w:p>
    <w:p>
      <w:pPr>
        <w:wordWrap/>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2.公务用车购置费用支出情况</w:t>
      </w:r>
      <w:r>
        <w:rPr>
          <w:rFonts w:hint="eastAsia" w:ascii="楷体" w:hAnsi="楷体" w:eastAsia="楷体" w:cs="楷体"/>
          <w:b w:val="0"/>
          <w:bCs w:val="0"/>
          <w:color w:val="000000"/>
          <w:kern w:val="0"/>
          <w:sz w:val="32"/>
          <w:szCs w:val="32"/>
          <w:lang w:eastAsia="zh-CN"/>
        </w:rPr>
        <w:t>说明</w:t>
      </w:r>
      <w:r>
        <w:rPr>
          <w:rFonts w:hint="eastAsia" w:ascii="楷体" w:hAnsi="楷体" w:eastAsia="楷体" w:cs="楷体"/>
          <w:b w:val="0"/>
          <w:bCs w:val="0"/>
          <w:sz w:val="32"/>
          <w:szCs w:val="32"/>
        </w:rPr>
        <w:t>。</w:t>
      </w:r>
    </w:p>
    <w:p>
      <w:pPr>
        <w:widowControl/>
        <w:wordWrap/>
        <w:spacing w:line="560" w:lineRule="exact"/>
        <w:ind w:firstLine="640" w:firstLineChars="200"/>
        <w:jc w:val="left"/>
        <w:textAlignment w:val="auto"/>
      </w:pPr>
      <w:r>
        <w:rPr>
          <w:rFonts w:hint="eastAsia" w:ascii="仿宋_GB2312" w:hAnsi="仿宋" w:eastAsia="仿宋_GB2312"/>
          <w:sz w:val="32"/>
          <w:szCs w:val="32"/>
          <w:lang w:val="en-US" w:eastAsia="zh-CN"/>
        </w:rPr>
        <w:t>2021</w:t>
      </w:r>
      <w:r>
        <w:rPr>
          <w:rFonts w:hint="eastAsia" w:ascii="仿宋_GB2312" w:hAnsi="仿宋" w:eastAsia="仿宋_GB2312"/>
          <w:sz w:val="32"/>
          <w:szCs w:val="32"/>
        </w:rPr>
        <w:t>年</w:t>
      </w:r>
      <w:r>
        <w:rPr>
          <w:rFonts w:hint="eastAsia" w:ascii="仿宋_GB2312" w:hAnsi="仿宋" w:eastAsia="仿宋_GB2312"/>
          <w:sz w:val="32"/>
          <w:szCs w:val="32"/>
          <w:lang w:eastAsia="zh-CN"/>
        </w:rPr>
        <w:t>度一般公共预算安排</w:t>
      </w:r>
      <w:r>
        <w:rPr>
          <w:rFonts w:hint="eastAsia" w:ascii="仿宋_GB2312" w:hAnsi="仿宋" w:eastAsia="仿宋_GB2312"/>
          <w:sz w:val="32"/>
          <w:szCs w:val="32"/>
        </w:rPr>
        <w:t>购置</w:t>
      </w:r>
      <w:r>
        <w:rPr>
          <w:rFonts w:hint="eastAsia" w:ascii="仿宋_GB2312" w:hAnsi="仿宋" w:eastAsia="仿宋_GB2312"/>
          <w:sz w:val="32"/>
          <w:szCs w:val="32"/>
          <w:lang w:eastAsia="zh-CN"/>
        </w:rPr>
        <w:t>公务用车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lang w:eastAsia="zh-CN"/>
        </w:rPr>
        <w:t>辆</w:t>
      </w:r>
      <w:r>
        <w:rPr>
          <w:rFonts w:hint="eastAsia" w:ascii="仿宋_GB2312" w:hAnsi="仿宋_GB2312" w:eastAsia="仿宋_GB2312" w:cs="仿宋_GB2312"/>
          <w:sz w:val="32"/>
          <w:szCs w:val="32"/>
        </w:rPr>
        <w:t>，</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0</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lang w:val="en-US" w:eastAsia="zh-CN"/>
        </w:rPr>
        <w:t>按照公车改革相关要求取消公务用车</w:t>
      </w:r>
      <w:r>
        <w:rPr>
          <w:rFonts w:hint="eastAsia" w:ascii="仿宋_GB2312" w:hAnsi="宋体" w:eastAsia="仿宋_GB2312" w:cs="仿宋_GB2312"/>
          <w:color w:val="000000"/>
          <w:kern w:val="0"/>
          <w:sz w:val="32"/>
          <w:szCs w:val="32"/>
        </w:rPr>
        <w:t>。</w:t>
      </w:r>
    </w:p>
    <w:p>
      <w:pPr>
        <w:wordWrap/>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3.公务用车运行维护费用支出情况</w:t>
      </w:r>
      <w:r>
        <w:rPr>
          <w:rFonts w:hint="eastAsia" w:ascii="楷体" w:hAnsi="楷体" w:eastAsia="楷体" w:cs="楷体"/>
          <w:b w:val="0"/>
          <w:bCs w:val="0"/>
          <w:color w:val="000000"/>
          <w:kern w:val="0"/>
          <w:sz w:val="32"/>
          <w:szCs w:val="32"/>
          <w:lang w:eastAsia="zh-CN"/>
        </w:rPr>
        <w:t>说明</w:t>
      </w:r>
      <w:r>
        <w:rPr>
          <w:rFonts w:hint="eastAsia" w:ascii="楷体" w:hAnsi="楷体" w:eastAsia="楷体" w:cs="楷体"/>
          <w:b w:val="0"/>
          <w:bCs w:val="0"/>
          <w:sz w:val="32"/>
          <w:szCs w:val="32"/>
        </w:rPr>
        <w:t>。</w:t>
      </w:r>
    </w:p>
    <w:p>
      <w:pPr>
        <w:widowControl/>
        <w:wordWrap/>
        <w:spacing w:line="560" w:lineRule="exact"/>
        <w:ind w:firstLine="640" w:firstLineChars="200"/>
        <w:jc w:val="left"/>
        <w:textAlignment w:val="auto"/>
        <w:rPr>
          <w:rFonts w:ascii="仿宋_GB2312" w:hAnsi="宋体" w:eastAsia="仿宋_GB2312" w:cs="仿宋_GB2312"/>
          <w:color w:val="000000"/>
          <w:kern w:val="0"/>
          <w:sz w:val="32"/>
          <w:szCs w:val="32"/>
        </w:rPr>
      </w:pPr>
      <w:r>
        <w:rPr>
          <w:rFonts w:hint="eastAsia" w:ascii="仿宋_GB2312" w:hAnsi="仿宋" w:eastAsia="仿宋_GB2312"/>
          <w:sz w:val="32"/>
          <w:szCs w:val="32"/>
          <w:lang w:val="en-US" w:eastAsia="zh-CN"/>
        </w:rPr>
        <w:t>2021</w:t>
      </w:r>
      <w:r>
        <w:rPr>
          <w:rFonts w:hint="eastAsia" w:ascii="仿宋_GB2312" w:hAnsi="仿宋" w:eastAsia="仿宋_GB2312"/>
          <w:sz w:val="32"/>
          <w:szCs w:val="32"/>
        </w:rPr>
        <w:t>年</w:t>
      </w:r>
      <w:r>
        <w:rPr>
          <w:rFonts w:hint="eastAsia" w:ascii="仿宋_GB2312" w:hAnsi="仿宋" w:eastAsia="仿宋_GB2312"/>
          <w:sz w:val="32"/>
          <w:szCs w:val="32"/>
          <w:lang w:eastAsia="zh-CN"/>
        </w:rPr>
        <w:t>度</w:t>
      </w:r>
      <w:r>
        <w:rPr>
          <w:rFonts w:hint="eastAsia" w:ascii="仿宋_GB2312" w:hAnsi="仿宋" w:eastAsia="仿宋_GB2312"/>
          <w:sz w:val="32"/>
          <w:szCs w:val="32"/>
          <w:lang w:val="en-US" w:eastAsia="zh-CN"/>
        </w:rPr>
        <w:t>无公务用车运行维护费预算支出</w:t>
      </w:r>
      <w:r>
        <w:rPr>
          <w:rFonts w:hint="eastAsia" w:ascii="仿宋_GB2312" w:hAnsi="宋体" w:eastAsia="仿宋_GB2312" w:cs="仿宋_GB2312"/>
          <w:color w:val="000000"/>
          <w:kern w:val="0"/>
          <w:sz w:val="32"/>
          <w:szCs w:val="32"/>
        </w:rPr>
        <w:t>，</w:t>
      </w:r>
      <w:r>
        <w:rPr>
          <w:rFonts w:ascii="仿宋_GB2312" w:hAnsi="宋体" w:eastAsia="仿宋_GB2312" w:cs="仿宋_GB2312"/>
          <w:color w:val="000000"/>
          <w:kern w:val="0"/>
          <w:sz w:val="32"/>
          <w:szCs w:val="32"/>
        </w:rPr>
        <w:t>主要原因是</w:t>
      </w:r>
      <w:r>
        <w:rPr>
          <w:rFonts w:hint="eastAsia" w:ascii="仿宋_GB2312" w:hAnsi="宋体" w:eastAsia="仿宋_GB2312" w:cs="仿宋_GB2312"/>
          <w:color w:val="000000"/>
          <w:kern w:val="0"/>
          <w:sz w:val="32"/>
          <w:szCs w:val="32"/>
          <w:lang w:val="en-US" w:eastAsia="zh-CN"/>
        </w:rPr>
        <w:t>单位无公务用车</w:t>
      </w:r>
      <w:r>
        <w:rPr>
          <w:rFonts w:hint="eastAsia" w:ascii="仿宋_GB2312" w:hAnsi="宋体" w:eastAsia="仿宋_GB2312" w:cs="仿宋_GB2312"/>
          <w:color w:val="000000"/>
          <w:kern w:val="0"/>
          <w:sz w:val="32"/>
          <w:szCs w:val="32"/>
        </w:rPr>
        <w:t>。</w:t>
      </w:r>
    </w:p>
    <w:p>
      <w:pPr>
        <w:wordWrap/>
        <w:spacing w:line="560" w:lineRule="exact"/>
        <w:ind w:firstLine="640"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4.公务接待费支出情况</w:t>
      </w:r>
      <w:r>
        <w:rPr>
          <w:rFonts w:hint="eastAsia" w:ascii="楷体" w:hAnsi="楷体" w:eastAsia="楷体" w:cs="楷体"/>
          <w:b w:val="0"/>
          <w:bCs w:val="0"/>
          <w:color w:val="000000"/>
          <w:kern w:val="0"/>
          <w:sz w:val="32"/>
          <w:szCs w:val="32"/>
          <w:lang w:eastAsia="zh-CN"/>
        </w:rPr>
        <w:t>说明</w:t>
      </w:r>
      <w:r>
        <w:rPr>
          <w:rFonts w:hint="eastAsia" w:ascii="楷体" w:hAnsi="楷体" w:eastAsia="楷体" w:cs="楷体"/>
          <w:b w:val="0"/>
          <w:bCs w:val="0"/>
          <w:sz w:val="32"/>
          <w:szCs w:val="32"/>
        </w:rPr>
        <w:t>。</w:t>
      </w:r>
    </w:p>
    <w:p>
      <w:pPr>
        <w:widowControl/>
        <w:wordWrap/>
        <w:spacing w:line="560" w:lineRule="exact"/>
        <w:ind w:firstLine="640" w:firstLineChars="200"/>
        <w:jc w:val="left"/>
        <w:textAlignment w:val="auto"/>
        <w:rPr>
          <w:rFonts w:hint="default" w:ascii="仿宋_GB2312" w:hAnsi="宋体" w:eastAsia="仿宋_GB2312" w:cs="仿宋_GB2312"/>
          <w:i/>
          <w:iCs/>
          <w:color w:val="000000"/>
          <w:kern w:val="0"/>
          <w:sz w:val="32"/>
          <w:szCs w:val="32"/>
          <w:lang w:val="en-US" w:eastAsia="zh-CN"/>
        </w:rPr>
      </w:pPr>
      <w:r>
        <w:rPr>
          <w:rFonts w:hint="eastAsia" w:ascii="仿宋_GB2312" w:hAnsi="仿宋" w:eastAsia="仿宋_GB2312"/>
          <w:sz w:val="32"/>
          <w:szCs w:val="32"/>
          <w:lang w:val="en-US" w:eastAsia="zh-CN"/>
        </w:rPr>
        <w:t>2021</w:t>
      </w:r>
      <w:r>
        <w:rPr>
          <w:rFonts w:hint="eastAsia" w:ascii="仿宋_GB2312" w:hAnsi="仿宋" w:eastAsia="仿宋_GB2312"/>
          <w:sz w:val="32"/>
          <w:szCs w:val="32"/>
          <w:lang w:eastAsia="zh-CN"/>
        </w:rPr>
        <w:t>年度</w:t>
      </w:r>
      <w:r>
        <w:rPr>
          <w:rFonts w:hint="eastAsia" w:ascii="仿宋_GB2312" w:hAnsi="仿宋" w:eastAsia="仿宋_GB2312"/>
          <w:sz w:val="32"/>
          <w:szCs w:val="32"/>
          <w:lang w:val="en-US" w:eastAsia="zh-CN"/>
        </w:rPr>
        <w:t>公务</w:t>
      </w:r>
      <w:r>
        <w:rPr>
          <w:rFonts w:hint="eastAsia" w:ascii="仿宋_GB2312" w:hAnsi="仿宋_GB2312" w:eastAsia="仿宋_GB2312" w:cs="仿宋_GB2312"/>
          <w:sz w:val="32"/>
          <w:szCs w:val="32"/>
          <w:lang w:val="en-US" w:eastAsia="zh-CN"/>
        </w:rPr>
        <w:t>接待18批次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108</w:t>
      </w:r>
      <w:r>
        <w:rPr>
          <w:rFonts w:hint="eastAsia" w:ascii="仿宋_GB2312" w:hAnsi="仿宋_GB2312" w:eastAsia="仿宋_GB2312" w:cs="仿宋_GB2312"/>
          <w:sz w:val="32"/>
          <w:szCs w:val="32"/>
          <w:lang w:eastAsia="zh-CN"/>
        </w:rPr>
        <w:t>人次。</w:t>
      </w:r>
      <w:r>
        <w:rPr>
          <w:rFonts w:hint="eastAsia" w:ascii="仿宋_GB2312" w:hAnsi="仿宋" w:eastAsia="仿宋_GB2312"/>
          <w:sz w:val="32"/>
          <w:szCs w:val="32"/>
          <w:lang w:eastAsia="zh-CN"/>
        </w:rPr>
        <w:t>一般公共预算安排</w:t>
      </w:r>
      <w:r>
        <w:rPr>
          <w:rFonts w:hint="eastAsia" w:ascii="仿宋_GB2312" w:hAnsi="仿宋" w:eastAsia="仿宋_GB2312"/>
          <w:sz w:val="32"/>
          <w:szCs w:val="32"/>
        </w:rPr>
        <w:t>公务接待</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lang w:val="en-US" w:eastAsia="zh-CN"/>
        </w:rPr>
        <w:t>1.2</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0.71</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59</w:t>
      </w:r>
      <w:r>
        <w:rPr>
          <w:rFonts w:hint="eastAsia" w:ascii="仿宋_GB2312" w:hAnsi="宋体" w:eastAsia="仿宋_GB2312" w:cs="仿宋_GB2312"/>
          <w:color w:val="000000"/>
          <w:kern w:val="0"/>
          <w:sz w:val="32"/>
          <w:szCs w:val="32"/>
        </w:rPr>
        <w:t>%，决</w:t>
      </w:r>
      <w:r>
        <w:rPr>
          <w:rFonts w:ascii="仿宋_GB2312" w:hAnsi="宋体" w:eastAsia="仿宋_GB2312" w:cs="仿宋_GB2312"/>
          <w:color w:val="000000"/>
          <w:kern w:val="0"/>
          <w:sz w:val="32"/>
          <w:szCs w:val="32"/>
        </w:rPr>
        <w:t>算数</w:t>
      </w:r>
      <w:r>
        <w:rPr>
          <w:rFonts w:hint="eastAsia" w:ascii="仿宋_GB2312" w:hAnsi="宋体" w:eastAsia="仿宋_GB2312" w:cs="仿宋_GB2312"/>
          <w:color w:val="000000"/>
          <w:kern w:val="0"/>
          <w:sz w:val="32"/>
          <w:szCs w:val="32"/>
        </w:rPr>
        <w:t>较</w:t>
      </w:r>
      <w:r>
        <w:rPr>
          <w:rFonts w:ascii="仿宋_GB2312" w:hAnsi="宋体" w:eastAsia="仿宋_GB2312" w:cs="仿宋_GB2312"/>
          <w:color w:val="000000"/>
          <w:kern w:val="0"/>
          <w:sz w:val="32"/>
          <w:szCs w:val="32"/>
        </w:rPr>
        <w:t>预算数</w:t>
      </w:r>
      <w:r>
        <w:rPr>
          <w:rFonts w:hint="eastAsia" w:ascii="仿宋_GB2312" w:hAnsi="宋体" w:eastAsia="仿宋_GB2312" w:cs="仿宋_GB2312"/>
          <w:color w:val="000000"/>
          <w:kern w:val="0"/>
          <w:sz w:val="32"/>
          <w:szCs w:val="32"/>
        </w:rPr>
        <w:t>减少</w:t>
      </w:r>
      <w:r>
        <w:rPr>
          <w:rFonts w:hint="eastAsia" w:ascii="仿宋_GB2312" w:hAnsi="宋体" w:eastAsia="仿宋_GB2312" w:cs="仿宋_GB2312"/>
          <w:color w:val="000000"/>
          <w:kern w:val="0"/>
          <w:sz w:val="32"/>
          <w:szCs w:val="32"/>
          <w:lang w:val="en-US" w:eastAsia="zh-CN"/>
        </w:rPr>
        <w:t>0.49</w:t>
      </w:r>
      <w:r>
        <w:rPr>
          <w:rFonts w:hint="eastAsia" w:ascii="仿宋_GB2312" w:hAnsi="宋体" w:eastAsia="仿宋_GB2312" w:cs="仿宋_GB2312"/>
          <w:color w:val="000000"/>
          <w:kern w:val="0"/>
          <w:sz w:val="32"/>
          <w:szCs w:val="32"/>
        </w:rPr>
        <w:t>万元，</w:t>
      </w:r>
      <w:r>
        <w:rPr>
          <w:rFonts w:ascii="仿宋_GB2312" w:hAnsi="宋体" w:eastAsia="仿宋_GB2312" w:cs="仿宋_GB2312"/>
          <w:color w:val="000000"/>
          <w:kern w:val="0"/>
          <w:sz w:val="32"/>
          <w:szCs w:val="32"/>
        </w:rPr>
        <w:t>主要原因是</w:t>
      </w:r>
      <w:bookmarkStart w:id="0" w:name="_GoBack"/>
      <w:bookmarkEnd w:id="0"/>
      <w:r>
        <w:rPr>
          <w:rFonts w:hint="eastAsia" w:ascii="仿宋_GB2312" w:hAnsi="宋体" w:eastAsia="仿宋_GB2312" w:cs="仿宋_GB2312"/>
          <w:color w:val="000000"/>
          <w:kern w:val="0"/>
          <w:sz w:val="32"/>
          <w:szCs w:val="32"/>
          <w:lang w:val="en-US" w:eastAsia="zh-CN"/>
        </w:rPr>
        <w:t>厉行节约，严控“三公经费增长”。</w:t>
      </w:r>
    </w:p>
    <w:p>
      <w:pPr>
        <w:wordWrap/>
        <w:spacing w:line="560" w:lineRule="exact"/>
        <w:ind w:firstLine="640" w:firstLineChars="200"/>
        <w:textAlignment w:val="auto"/>
        <w:rPr>
          <w:rFonts w:ascii="楷体_GB2312" w:hAnsi="宋体" w:eastAsia="楷体_GB2312" w:cs="楷体_GB2312"/>
          <w:b w:val="0"/>
          <w:bCs/>
          <w:color w:val="000000"/>
          <w:kern w:val="0"/>
          <w:sz w:val="32"/>
          <w:szCs w:val="32"/>
        </w:rPr>
      </w:pPr>
      <w:r>
        <w:rPr>
          <w:rFonts w:hint="eastAsia" w:ascii="楷体_GB2312" w:hAnsi="宋体" w:eastAsia="楷体_GB2312" w:cs="楷体_GB2312"/>
          <w:b w:val="0"/>
          <w:bCs/>
          <w:color w:val="000000"/>
          <w:kern w:val="0"/>
          <w:sz w:val="32"/>
          <w:szCs w:val="32"/>
        </w:rPr>
        <w:t>（</w:t>
      </w:r>
      <w:r>
        <w:rPr>
          <w:rFonts w:hint="eastAsia" w:ascii="楷体_GB2312" w:hAnsi="宋体" w:eastAsia="楷体_GB2312" w:cs="楷体_GB2312"/>
          <w:b w:val="0"/>
          <w:bCs/>
          <w:color w:val="000000"/>
          <w:kern w:val="0"/>
          <w:sz w:val="32"/>
          <w:szCs w:val="32"/>
          <w:lang w:eastAsia="zh-CN"/>
        </w:rPr>
        <w:t>二</w:t>
      </w:r>
      <w:r>
        <w:rPr>
          <w:rFonts w:hint="eastAsia" w:ascii="楷体_GB2312" w:hAnsi="宋体" w:eastAsia="楷体_GB2312" w:cs="楷体_GB2312"/>
          <w:b w:val="0"/>
          <w:bCs/>
          <w:color w:val="000000"/>
          <w:kern w:val="0"/>
          <w:sz w:val="32"/>
          <w:szCs w:val="32"/>
        </w:rPr>
        <w:t>）培训费支出情况</w:t>
      </w:r>
      <w:r>
        <w:rPr>
          <w:rFonts w:hint="eastAsia" w:ascii="楷体_GB2312" w:hAnsi="宋体" w:eastAsia="楷体_GB2312" w:cs="楷体_GB2312"/>
          <w:b w:val="0"/>
          <w:bCs/>
          <w:color w:val="000000"/>
          <w:kern w:val="0"/>
          <w:sz w:val="32"/>
          <w:szCs w:val="32"/>
          <w:lang w:eastAsia="zh-CN"/>
        </w:rPr>
        <w:t>说明</w:t>
      </w:r>
      <w:r>
        <w:rPr>
          <w:rFonts w:hint="eastAsia" w:ascii="楷体_GB2312" w:hAnsi="宋体" w:eastAsia="楷体_GB2312" w:cs="楷体_GB2312"/>
          <w:b w:val="0"/>
          <w:bCs/>
          <w:color w:val="000000"/>
          <w:kern w:val="0"/>
          <w:sz w:val="32"/>
          <w:szCs w:val="32"/>
        </w:rPr>
        <w:t>。</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rPr>
      </w:pPr>
      <w:r>
        <w:rPr>
          <w:rFonts w:hint="eastAsia" w:ascii="仿宋_GB2312" w:hAnsi="仿宋" w:eastAsia="仿宋_GB2312"/>
          <w:sz w:val="32"/>
          <w:szCs w:val="32"/>
          <w:lang w:val="en-US" w:eastAsia="zh-CN"/>
        </w:rPr>
        <w:t>2021年</w:t>
      </w:r>
      <w:r>
        <w:rPr>
          <w:rFonts w:hint="eastAsia" w:ascii="仿宋_GB2312" w:hAnsi="仿宋" w:eastAsia="仿宋_GB2312"/>
          <w:sz w:val="32"/>
          <w:szCs w:val="32"/>
          <w:lang w:eastAsia="zh-CN"/>
        </w:rPr>
        <w:t>度一般公共预算安排</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w:t>
      </w:r>
    </w:p>
    <w:p>
      <w:pPr>
        <w:wordWrap/>
        <w:spacing w:line="560" w:lineRule="exact"/>
        <w:ind w:firstLine="640" w:firstLineChars="200"/>
        <w:textAlignment w:val="auto"/>
        <w:rPr>
          <w:rFonts w:hint="eastAsia" w:ascii="楷体" w:hAnsi="楷体" w:eastAsia="楷体" w:cs="楷体"/>
          <w:b w:val="0"/>
          <w:bCs/>
          <w:color w:val="000000"/>
          <w:kern w:val="0"/>
          <w:sz w:val="32"/>
          <w:szCs w:val="32"/>
        </w:rPr>
      </w:pPr>
      <w:r>
        <w:rPr>
          <w:rFonts w:hint="eastAsia" w:ascii="楷体" w:hAnsi="楷体" w:eastAsia="楷体" w:cs="楷体"/>
          <w:b w:val="0"/>
          <w:bCs/>
          <w:color w:val="000000"/>
          <w:kern w:val="0"/>
          <w:sz w:val="32"/>
          <w:szCs w:val="32"/>
        </w:rPr>
        <w:t>（</w:t>
      </w:r>
      <w:r>
        <w:rPr>
          <w:rFonts w:hint="eastAsia" w:ascii="楷体" w:hAnsi="楷体" w:eastAsia="楷体" w:cs="楷体"/>
          <w:b w:val="0"/>
          <w:bCs/>
          <w:color w:val="000000"/>
          <w:kern w:val="0"/>
          <w:sz w:val="32"/>
          <w:szCs w:val="32"/>
          <w:lang w:eastAsia="zh-CN"/>
        </w:rPr>
        <w:t>三</w:t>
      </w:r>
      <w:r>
        <w:rPr>
          <w:rFonts w:hint="eastAsia" w:ascii="楷体" w:hAnsi="楷体" w:eastAsia="楷体" w:cs="楷体"/>
          <w:b w:val="0"/>
          <w:bCs/>
          <w:color w:val="000000"/>
          <w:kern w:val="0"/>
          <w:sz w:val="32"/>
          <w:szCs w:val="32"/>
        </w:rPr>
        <w:t>）会议费支出情况</w:t>
      </w:r>
      <w:r>
        <w:rPr>
          <w:rFonts w:hint="eastAsia" w:ascii="楷体" w:hAnsi="楷体" w:eastAsia="楷体" w:cs="楷体"/>
          <w:b w:val="0"/>
          <w:bCs/>
          <w:color w:val="000000"/>
          <w:kern w:val="0"/>
          <w:sz w:val="32"/>
          <w:szCs w:val="32"/>
          <w:lang w:eastAsia="zh-CN"/>
        </w:rPr>
        <w:t>说明</w:t>
      </w:r>
      <w:r>
        <w:rPr>
          <w:rFonts w:hint="eastAsia" w:ascii="楷体" w:hAnsi="楷体" w:eastAsia="楷体" w:cs="楷体"/>
          <w:b w:val="0"/>
          <w:bCs/>
          <w:color w:val="000000"/>
          <w:kern w:val="0"/>
          <w:sz w:val="32"/>
          <w:szCs w:val="32"/>
        </w:rPr>
        <w:t>。</w:t>
      </w:r>
    </w:p>
    <w:p>
      <w:pPr>
        <w:widowControl/>
        <w:wordWrap/>
        <w:spacing w:line="560" w:lineRule="exact"/>
        <w:ind w:firstLine="640" w:firstLineChars="200"/>
        <w:jc w:val="left"/>
        <w:textAlignment w:val="auto"/>
        <w:rPr>
          <w:rFonts w:hint="eastAsia" w:ascii="仿宋_GB2312" w:hAnsi="宋体" w:eastAsia="仿宋_GB2312" w:cs="仿宋_GB2312"/>
          <w:color w:val="000000"/>
          <w:kern w:val="0"/>
          <w:sz w:val="32"/>
          <w:szCs w:val="32"/>
          <w:lang w:val="en-US" w:eastAsia="zh-CN"/>
        </w:rPr>
      </w:pPr>
      <w:r>
        <w:rPr>
          <w:rFonts w:hint="eastAsia" w:ascii="仿宋_GB2312" w:hAnsi="仿宋_GB2312" w:eastAsia="仿宋_GB2312" w:cs="仿宋_GB2312"/>
          <w:sz w:val="32"/>
          <w:szCs w:val="32"/>
          <w:lang w:val="en-US" w:eastAsia="zh-CN"/>
        </w:rPr>
        <w:t>2021年</w:t>
      </w:r>
      <w:r>
        <w:rPr>
          <w:rFonts w:hint="eastAsia" w:ascii="仿宋_GB2312" w:hAnsi="仿宋_GB2312" w:eastAsia="仿宋_GB2312" w:cs="仿宋_GB2312"/>
          <w:sz w:val="32"/>
          <w:szCs w:val="32"/>
          <w:lang w:eastAsia="zh-CN"/>
        </w:rPr>
        <w:t>度一般公共预算安排</w:t>
      </w:r>
      <w:r>
        <w:rPr>
          <w:rFonts w:hint="eastAsia" w:ascii="仿宋_GB2312" w:hAnsi="仿宋_GB2312" w:eastAsia="仿宋_GB2312" w:cs="仿宋_GB2312"/>
          <w:sz w:val="32"/>
          <w:szCs w:val="32"/>
        </w:rPr>
        <w:t>会议费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w:t>
      </w:r>
    </w:p>
    <w:p>
      <w:pPr>
        <w:numPr>
          <w:ilvl w:val="0"/>
          <w:numId w:val="5"/>
        </w:numPr>
        <w:wordWrap/>
        <w:spacing w:line="560" w:lineRule="exact"/>
        <w:ind w:firstLine="640" w:firstLineChars="20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rPr>
        <w:t>政府性基金预算财政拨款收入支出情况</w:t>
      </w:r>
      <w:r>
        <w:rPr>
          <w:rFonts w:hint="eastAsia" w:ascii="黑体" w:hAnsi="黑体" w:eastAsia="黑体"/>
          <w:color w:val="000000"/>
          <w:kern w:val="0"/>
          <w:sz w:val="32"/>
          <w:szCs w:val="32"/>
          <w:lang w:eastAsia="zh-CN"/>
        </w:rPr>
        <w:t>说明</w:t>
      </w:r>
      <w:r>
        <w:rPr>
          <w:rFonts w:hint="eastAsia" w:ascii="黑体" w:hAnsi="黑体" w:eastAsia="黑体"/>
          <w:color w:val="000000"/>
          <w:kern w:val="0"/>
          <w:sz w:val="32"/>
          <w:szCs w:val="32"/>
        </w:rPr>
        <w:t xml:space="preserve"> </w:t>
      </w:r>
    </w:p>
    <w:p>
      <w:pPr>
        <w:widowControl/>
        <w:ind w:firstLine="640" w:firstLineChars="200"/>
        <w:jc w:val="left"/>
        <w:rPr>
          <w:rFonts w:hint="eastAsia" w:ascii="仿宋_GB2312" w:hAnsi="仿宋_GB2312" w:eastAsia="仿宋_GB2312" w:cs="仿宋_GB2312"/>
          <w:i w:val="0"/>
          <w:iCs/>
          <w:sz w:val="32"/>
          <w:szCs w:val="32"/>
          <w:lang w:eastAsia="zh-CN"/>
        </w:rPr>
      </w:pPr>
      <w:r>
        <w:rPr>
          <w:rFonts w:hint="eastAsia" w:ascii="仿宋_GB2312" w:hAnsi="仿宋_GB2312" w:eastAsia="仿宋_GB2312" w:cs="仿宋_GB2312"/>
          <w:i w:val="0"/>
          <w:iCs/>
          <w:sz w:val="32"/>
          <w:szCs w:val="32"/>
          <w:lang w:eastAsia="zh-CN"/>
        </w:rPr>
        <w:t>政府性基金预算财政拨款收入1491.95万元，占本年财政拨款收入的</w:t>
      </w:r>
      <w:r>
        <w:rPr>
          <w:rFonts w:hint="eastAsia" w:ascii="仿宋_GB2312" w:hAnsi="仿宋_GB2312" w:eastAsia="仿宋_GB2312" w:cs="仿宋_GB2312"/>
          <w:i w:val="0"/>
          <w:iCs/>
          <w:sz w:val="32"/>
          <w:szCs w:val="32"/>
          <w:lang w:val="en-US" w:eastAsia="zh-CN"/>
        </w:rPr>
        <w:t>94%，主要原因是增加易地扶贫搬迁旧宅腾退项目支出</w:t>
      </w:r>
      <w:r>
        <w:rPr>
          <w:rFonts w:hint="eastAsia" w:ascii="仿宋_GB2312" w:hAnsi="仿宋_GB2312" w:eastAsia="仿宋_GB2312" w:cs="仿宋_GB2312"/>
          <w:i w:val="0"/>
          <w:iCs/>
          <w:sz w:val="32"/>
          <w:szCs w:val="32"/>
          <w:lang w:eastAsia="zh-CN"/>
        </w:rPr>
        <w:t>。</w:t>
      </w:r>
    </w:p>
    <w:p>
      <w:pPr>
        <w:pStyle w:val="10"/>
        <w:ind w:left="0" w:leftChars="0" w:firstLine="640" w:firstLineChars="200"/>
        <w:rPr>
          <w:rFonts w:hint="eastAsia" w:ascii="仿宋_GB2312" w:hAnsi="仿宋_GB2312" w:eastAsia="仿宋_GB2312" w:cs="仿宋_GB2312"/>
          <w:i w:val="0"/>
          <w:iCs/>
          <w:sz w:val="32"/>
          <w:szCs w:val="32"/>
          <w:lang w:eastAsia="zh-CN"/>
        </w:rPr>
      </w:pPr>
      <w:r>
        <w:rPr>
          <w:rFonts w:hint="eastAsia" w:ascii="仿宋_GB2312" w:hAnsi="仿宋_GB2312" w:eastAsia="仿宋_GB2312" w:cs="仿宋_GB2312"/>
          <w:i w:val="0"/>
          <w:iCs/>
          <w:sz w:val="32"/>
          <w:szCs w:val="32"/>
          <w:lang w:eastAsia="zh-CN"/>
        </w:rPr>
        <w:t>政府性基金预算财政拨款</w:t>
      </w:r>
      <w:r>
        <w:rPr>
          <w:rFonts w:hint="eastAsia" w:ascii="仿宋_GB2312" w:hAnsi="仿宋_GB2312" w:cs="仿宋_GB2312"/>
          <w:i w:val="0"/>
          <w:iCs/>
          <w:sz w:val="32"/>
          <w:szCs w:val="32"/>
          <w:lang w:eastAsia="zh-CN"/>
        </w:rPr>
        <w:t>支出</w:t>
      </w:r>
      <w:r>
        <w:rPr>
          <w:rFonts w:hint="eastAsia" w:ascii="仿宋_GB2312" w:hAnsi="仿宋_GB2312" w:cs="仿宋_GB2312"/>
          <w:i w:val="0"/>
          <w:iCs/>
          <w:sz w:val="32"/>
          <w:szCs w:val="32"/>
          <w:lang w:val="en-US" w:eastAsia="zh-CN"/>
        </w:rPr>
        <w:t>1491.95万元，占本年财政拨款支出的94%，</w:t>
      </w:r>
      <w:r>
        <w:rPr>
          <w:rFonts w:hint="eastAsia" w:ascii="仿宋_GB2312" w:hAnsi="仿宋_GB2312" w:eastAsia="仿宋_GB2312" w:cs="仿宋_GB2312"/>
          <w:i w:val="0"/>
          <w:iCs/>
          <w:sz w:val="32"/>
          <w:szCs w:val="32"/>
          <w:lang w:val="en-US" w:eastAsia="zh-CN"/>
        </w:rPr>
        <w:t>主要原因是增加易地扶贫搬迁旧宅腾退</w:t>
      </w:r>
      <w:r>
        <w:rPr>
          <w:rFonts w:hint="eastAsia" w:ascii="仿宋_GB2312" w:hAnsi="仿宋_GB2312" w:cs="仿宋_GB2312"/>
          <w:i w:val="0"/>
          <w:iCs/>
          <w:sz w:val="32"/>
          <w:szCs w:val="32"/>
          <w:lang w:val="en-US" w:eastAsia="zh-CN"/>
        </w:rPr>
        <w:t>项目</w:t>
      </w:r>
      <w:r>
        <w:rPr>
          <w:rFonts w:hint="eastAsia" w:ascii="仿宋_GB2312" w:hAnsi="仿宋_GB2312" w:eastAsia="仿宋_GB2312" w:cs="仿宋_GB2312"/>
          <w:i w:val="0"/>
          <w:iCs/>
          <w:sz w:val="32"/>
          <w:szCs w:val="32"/>
          <w:lang w:val="en-US" w:eastAsia="zh-CN"/>
        </w:rPr>
        <w:t>支出</w:t>
      </w:r>
      <w:r>
        <w:rPr>
          <w:rFonts w:hint="eastAsia" w:ascii="仿宋_GB2312" w:hAnsi="仿宋_GB2312" w:eastAsia="仿宋_GB2312" w:cs="仿宋_GB2312"/>
          <w:i w:val="0"/>
          <w:iCs/>
          <w:sz w:val="32"/>
          <w:szCs w:val="32"/>
          <w:lang w:eastAsia="zh-CN"/>
        </w:rPr>
        <w:t>。</w:t>
      </w:r>
    </w:p>
    <w:p>
      <w:pPr>
        <w:pStyle w:val="10"/>
        <w:ind w:left="0" w:leftChars="0" w:firstLine="640" w:firstLineChars="200"/>
        <w:rPr>
          <w:rFonts w:hint="eastAsia" w:ascii="仿宋_GB2312" w:hAnsi="仿宋_GB2312" w:cs="仿宋_GB2312"/>
          <w:i w:val="0"/>
          <w:iCs/>
          <w:sz w:val="32"/>
          <w:szCs w:val="32"/>
          <w:lang w:eastAsia="zh-CN"/>
        </w:rPr>
      </w:pPr>
      <w:r>
        <w:rPr>
          <w:rFonts w:hint="eastAsia" w:ascii="仿宋_GB2312" w:hAnsi="仿宋_GB2312" w:eastAsia="仿宋_GB2312" w:cs="仿宋_GB2312"/>
          <w:i w:val="0"/>
          <w:iCs/>
          <w:sz w:val="32"/>
          <w:szCs w:val="32"/>
          <w:lang w:eastAsia="zh-CN"/>
        </w:rPr>
        <w:t>政府性基金预算财政</w:t>
      </w:r>
      <w:r>
        <w:rPr>
          <w:rFonts w:hint="eastAsia" w:ascii="仿宋_GB2312" w:hAnsi="仿宋_GB2312" w:cs="仿宋_GB2312"/>
          <w:i w:val="0"/>
          <w:iCs/>
          <w:sz w:val="32"/>
          <w:szCs w:val="32"/>
          <w:lang w:eastAsia="zh-CN"/>
        </w:rPr>
        <w:t>按功能分类支出：城乡社区支出（类）国有土地使用权出让收入安排的支出（款）其他国有土地使用权出让收入安排的支出。</w:t>
      </w:r>
    </w:p>
    <w:p>
      <w:pPr>
        <w:pStyle w:val="10"/>
        <w:ind w:left="0" w:leftChars="0" w:firstLine="640" w:firstLineChars="200"/>
        <w:rPr>
          <w:rFonts w:hint="default" w:ascii="仿宋_GB2312" w:hAnsi="仿宋_GB2312" w:cs="仿宋_GB2312"/>
          <w:i w:val="0"/>
          <w:iCs/>
          <w:sz w:val="32"/>
          <w:szCs w:val="32"/>
          <w:lang w:val="en-US" w:eastAsia="zh-CN"/>
        </w:rPr>
      </w:pPr>
      <w:r>
        <w:rPr>
          <w:rFonts w:hint="eastAsia" w:ascii="仿宋_GB2312" w:hAnsi="仿宋_GB2312" w:cs="仿宋_GB2312"/>
          <w:i w:val="0"/>
          <w:iCs/>
          <w:sz w:val="32"/>
          <w:szCs w:val="32"/>
          <w:lang w:eastAsia="zh-CN"/>
        </w:rPr>
        <w:t>年初预算数为</w:t>
      </w:r>
      <w:r>
        <w:rPr>
          <w:rFonts w:hint="eastAsia" w:ascii="仿宋_GB2312" w:hAnsi="仿宋_GB2312" w:cs="仿宋_GB2312"/>
          <w:i w:val="0"/>
          <w:iCs/>
          <w:sz w:val="32"/>
          <w:szCs w:val="32"/>
          <w:lang w:val="en-US" w:eastAsia="zh-CN"/>
        </w:rPr>
        <w:t>0万元，调整预算为1491.95万元，用于易地扶贫搬迁旧宅腾退项目。</w:t>
      </w:r>
    </w:p>
    <w:p>
      <w:pPr>
        <w:widowControl/>
        <w:jc w:val="left"/>
        <w:rPr>
          <w:rFonts w:ascii="黑体" w:hAnsi="黑体" w:eastAsia="黑体"/>
          <w:color w:val="000000"/>
          <w:kern w:val="0"/>
          <w:sz w:val="32"/>
          <w:szCs w:val="32"/>
        </w:rPr>
      </w:pPr>
      <w:r>
        <w:rPr>
          <w:rFonts w:hint="eastAsia" w:ascii="仿宋" w:hAnsi="仿宋" w:eastAsia="仿宋" w:cs="仿宋"/>
          <w:color w:val="000000"/>
          <w:kern w:val="0"/>
          <w:sz w:val="32"/>
          <w:szCs w:val="32"/>
          <w:lang w:val="en-US" w:eastAsia="zh-CN"/>
        </w:rPr>
        <w:t xml:space="preserve">    </w:t>
      </w:r>
      <w:r>
        <w:rPr>
          <w:rFonts w:hint="eastAsia" w:ascii="黑体" w:hAnsi="黑体" w:eastAsia="黑体"/>
          <w:color w:val="000000"/>
          <w:kern w:val="0"/>
          <w:sz w:val="32"/>
          <w:szCs w:val="32"/>
        </w:rPr>
        <w:t>九、国有资本经营</w:t>
      </w:r>
      <w:r>
        <w:rPr>
          <w:rFonts w:hint="eastAsia" w:ascii="黑体" w:hAnsi="黑体" w:eastAsia="黑体"/>
          <w:color w:val="000000"/>
          <w:kern w:val="0"/>
          <w:sz w:val="32"/>
          <w:szCs w:val="32"/>
          <w:lang w:eastAsia="zh-CN"/>
        </w:rPr>
        <w:t>预算</w:t>
      </w:r>
      <w:r>
        <w:rPr>
          <w:rFonts w:hint="eastAsia" w:ascii="黑体" w:hAnsi="黑体" w:eastAsia="黑体"/>
          <w:color w:val="000000"/>
          <w:kern w:val="0"/>
          <w:sz w:val="32"/>
          <w:szCs w:val="32"/>
        </w:rPr>
        <w:t>财政拨款支</w:t>
      </w:r>
      <w:r>
        <w:rPr>
          <w:rFonts w:hint="eastAsia" w:ascii="黑体" w:hAnsi="黑体" w:eastAsia="黑体"/>
          <w:color w:val="000000"/>
          <w:kern w:val="0"/>
          <w:sz w:val="32"/>
          <w:szCs w:val="32"/>
          <w:lang w:eastAsia="zh-CN"/>
        </w:rPr>
        <w:t>出决算</w:t>
      </w:r>
      <w:r>
        <w:rPr>
          <w:rFonts w:hint="eastAsia" w:ascii="黑体" w:hAnsi="黑体" w:eastAsia="黑体"/>
          <w:color w:val="000000"/>
          <w:kern w:val="0"/>
          <w:sz w:val="32"/>
          <w:szCs w:val="32"/>
        </w:rPr>
        <w:t>情况</w:t>
      </w:r>
      <w:r>
        <w:rPr>
          <w:rFonts w:hint="eastAsia" w:ascii="黑体" w:hAnsi="黑体" w:eastAsia="黑体"/>
          <w:color w:val="000000"/>
          <w:kern w:val="0"/>
          <w:sz w:val="32"/>
          <w:szCs w:val="32"/>
          <w:lang w:eastAsia="zh-CN"/>
        </w:rPr>
        <w:t>说明</w:t>
      </w:r>
    </w:p>
    <w:p>
      <w:pPr>
        <w:wordWrap/>
        <w:spacing w:line="560" w:lineRule="exact"/>
        <w:ind w:firstLine="640"/>
        <w:textAlignment w:val="auto"/>
        <w:rPr>
          <w:rFonts w:hint="eastAsia" w:ascii="仿宋" w:hAnsi="仿宋" w:eastAsia="仿宋" w:cs="仿宋"/>
          <w:i w:val="0"/>
          <w:iCs/>
          <w:color w:val="000000"/>
          <w:kern w:val="0"/>
          <w:sz w:val="32"/>
          <w:szCs w:val="32"/>
          <w:lang w:val="en-US" w:eastAsia="zh-CN"/>
        </w:rPr>
      </w:pPr>
      <w:r>
        <w:rPr>
          <w:rFonts w:hint="eastAsia" w:ascii="仿宋_GB2312" w:hAnsi="仿宋_GB2312" w:eastAsia="仿宋_GB2312" w:cs="仿宋_GB2312"/>
          <w:i w:val="0"/>
          <w:iCs/>
          <w:sz w:val="32"/>
          <w:szCs w:val="32"/>
        </w:rPr>
        <w:t>本部门无国有资本经营</w:t>
      </w:r>
      <w:r>
        <w:rPr>
          <w:rFonts w:hint="eastAsia" w:ascii="仿宋_GB2312" w:hAnsi="仿宋_GB2312" w:eastAsia="仿宋_GB2312" w:cs="仿宋_GB2312"/>
          <w:i w:val="0"/>
          <w:iCs/>
          <w:sz w:val="32"/>
          <w:szCs w:val="32"/>
          <w:lang w:eastAsia="zh-CN"/>
        </w:rPr>
        <w:t>预算财政</w:t>
      </w:r>
      <w:r>
        <w:rPr>
          <w:rFonts w:hint="eastAsia" w:ascii="仿宋_GB2312" w:hAnsi="仿宋_GB2312" w:eastAsia="仿宋_GB2312" w:cs="仿宋_GB2312"/>
          <w:i w:val="0"/>
          <w:iCs/>
          <w:sz w:val="32"/>
          <w:szCs w:val="32"/>
        </w:rPr>
        <w:t>拨款</w:t>
      </w:r>
      <w:r>
        <w:rPr>
          <w:rFonts w:hint="eastAsia" w:ascii="仿宋_GB2312" w:hAnsi="仿宋_GB2312" w:eastAsia="仿宋_GB2312" w:cs="仿宋_GB2312"/>
          <w:i w:val="0"/>
          <w:iCs/>
          <w:sz w:val="32"/>
          <w:szCs w:val="32"/>
          <w:lang w:eastAsia="zh-CN"/>
        </w:rPr>
        <w:t>，</w:t>
      </w:r>
      <w:r>
        <w:rPr>
          <w:rFonts w:hint="eastAsia" w:ascii="仿宋_GB2312" w:hAnsi="仿宋_GB2312" w:eastAsia="仿宋_GB2312" w:cs="仿宋_GB2312"/>
          <w:i w:val="0"/>
          <w:iCs/>
          <w:sz w:val="32"/>
          <w:szCs w:val="32"/>
        </w:rPr>
        <w:t>并已公开空表</w:t>
      </w:r>
      <w:r>
        <w:rPr>
          <w:rFonts w:hint="eastAsia" w:ascii="仿宋_GB2312" w:hAnsi="仿宋_GB2312" w:eastAsia="仿宋_GB2312" w:cs="仿宋_GB2312"/>
          <w:i w:val="0"/>
          <w:iCs/>
          <w:sz w:val="32"/>
          <w:szCs w:val="32"/>
          <w:lang w:eastAsia="zh-CN"/>
        </w:rPr>
        <w:t>。</w:t>
      </w:r>
    </w:p>
    <w:p>
      <w:pPr>
        <w:wordWrap/>
        <w:spacing w:line="560" w:lineRule="exact"/>
        <w:ind w:firstLine="640"/>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rPr>
        <w:t>十、机关运行经费支出情况</w:t>
      </w:r>
      <w:r>
        <w:rPr>
          <w:rFonts w:hint="eastAsia" w:ascii="黑体" w:hAnsi="黑体" w:eastAsia="黑体"/>
          <w:color w:val="000000"/>
          <w:kern w:val="0"/>
          <w:sz w:val="32"/>
          <w:szCs w:val="32"/>
          <w:lang w:eastAsia="zh-CN"/>
        </w:rPr>
        <w:t>说明</w:t>
      </w:r>
    </w:p>
    <w:p>
      <w:pPr>
        <w:widowControl/>
        <w:wordWrap/>
        <w:spacing w:line="560" w:lineRule="exact"/>
        <w:ind w:firstLine="620" w:firstLineChars="200"/>
        <w:jc w:val="left"/>
        <w:textAlignment w:val="auto"/>
        <w:rPr>
          <w:rFonts w:ascii="仿宋_GB2312" w:hAnsi="宋体" w:eastAsia="仿宋_GB2312" w:cs="仿宋_GB2312"/>
          <w:color w:val="000000"/>
          <w:kern w:val="0"/>
          <w:sz w:val="32"/>
          <w:szCs w:val="32"/>
        </w:rPr>
      </w:pPr>
      <w:r>
        <w:rPr>
          <w:rFonts w:hint="eastAsia" w:ascii="仿宋_GB2312" w:hAnsi="仿宋_GB2312" w:eastAsia="仿宋_GB2312" w:cs="仿宋_GB2312"/>
          <w:color w:val="000000"/>
          <w:kern w:val="0"/>
          <w:sz w:val="31"/>
          <w:szCs w:val="31"/>
          <w:lang w:val="en-US" w:eastAsia="zh-CN"/>
        </w:rPr>
        <w:t>2021年</w:t>
      </w:r>
      <w:r>
        <w:rPr>
          <w:rFonts w:hint="eastAsia" w:ascii="仿宋_GB2312" w:hAnsi="仿宋_GB2312" w:eastAsia="仿宋_GB2312" w:cs="仿宋_GB2312"/>
          <w:color w:val="000000"/>
          <w:kern w:val="0"/>
          <w:sz w:val="31"/>
          <w:szCs w:val="31"/>
          <w:lang w:eastAsia="zh-CN"/>
        </w:rPr>
        <w:t>度搬迁工作专项</w:t>
      </w:r>
      <w:r>
        <w:rPr>
          <w:rFonts w:ascii="仿宋_GB2312" w:hAnsi="仿宋_GB2312" w:eastAsia="仿宋_GB2312" w:cs="仿宋_GB2312"/>
          <w:color w:val="000000"/>
          <w:kern w:val="0"/>
          <w:sz w:val="31"/>
          <w:szCs w:val="31"/>
        </w:rPr>
        <w:t>经费</w:t>
      </w:r>
      <w:r>
        <w:rPr>
          <w:rFonts w:ascii="仿宋_GB2312" w:hAnsi="宋体" w:eastAsia="仿宋_GB2312" w:cs="仿宋_GB2312"/>
          <w:color w:val="000000"/>
          <w:kern w:val="0"/>
          <w:sz w:val="32"/>
          <w:szCs w:val="32"/>
        </w:rPr>
        <w:t>预算</w:t>
      </w:r>
      <w:r>
        <w:rPr>
          <w:rFonts w:hint="eastAsia" w:ascii="仿宋_GB2312" w:hAnsi="宋体" w:eastAsia="仿宋_GB2312" w:cs="仿宋_GB2312"/>
          <w:color w:val="000000"/>
          <w:kern w:val="0"/>
          <w:sz w:val="32"/>
          <w:szCs w:val="32"/>
          <w:lang w:val="en-US" w:eastAsia="zh-CN"/>
        </w:rPr>
        <w:t>29.28</w:t>
      </w:r>
      <w:r>
        <w:rPr>
          <w:rFonts w:ascii="仿宋_GB2312" w:hAnsi="宋体" w:eastAsia="仿宋_GB2312" w:cs="仿宋_GB2312"/>
          <w:color w:val="000000"/>
          <w:kern w:val="0"/>
          <w:sz w:val="32"/>
          <w:szCs w:val="32"/>
        </w:rPr>
        <w:t>万元，支出决算</w:t>
      </w:r>
      <w:r>
        <w:rPr>
          <w:rFonts w:hint="eastAsia" w:ascii="仿宋_GB2312" w:hAnsi="宋体" w:eastAsia="仿宋_GB2312" w:cs="仿宋_GB2312"/>
          <w:color w:val="000000"/>
          <w:kern w:val="0"/>
          <w:sz w:val="32"/>
          <w:szCs w:val="32"/>
          <w:lang w:val="en-US" w:eastAsia="zh-CN"/>
        </w:rPr>
        <w:t>30.57</w:t>
      </w:r>
      <w:r>
        <w:rPr>
          <w:rFonts w:ascii="仿宋_GB2312" w:hAnsi="宋体" w:eastAsia="仿宋_GB2312" w:cs="仿宋_GB2312"/>
          <w:color w:val="000000"/>
          <w:kern w:val="0"/>
          <w:sz w:val="32"/>
          <w:szCs w:val="32"/>
        </w:rPr>
        <w:t>万元，完成预算的</w:t>
      </w:r>
      <w:r>
        <w:rPr>
          <w:rFonts w:hint="eastAsia" w:ascii="仿宋_GB2312" w:hAnsi="宋体" w:eastAsia="仿宋_GB2312" w:cs="仿宋_GB2312"/>
          <w:color w:val="000000"/>
          <w:kern w:val="0"/>
          <w:sz w:val="32"/>
          <w:szCs w:val="32"/>
          <w:lang w:val="en-US" w:eastAsia="zh-CN"/>
        </w:rPr>
        <w:t>100</w:t>
      </w:r>
      <w:r>
        <w:rPr>
          <w:rFonts w:ascii="仿宋_GB2312" w:hAnsi="宋体" w:eastAsia="仿宋_GB2312" w:cs="仿宋_GB2312"/>
          <w:color w:val="000000"/>
          <w:kern w:val="0"/>
          <w:sz w:val="32"/>
          <w:szCs w:val="32"/>
        </w:rPr>
        <w:t>%。</w:t>
      </w:r>
    </w:p>
    <w:p>
      <w:pPr>
        <w:widowControl/>
        <w:wordWrap/>
        <w:spacing w:line="560" w:lineRule="exact"/>
        <w:ind w:firstLine="640" w:firstLineChars="200"/>
        <w:jc w:val="left"/>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lang w:eastAsia="zh-CN"/>
        </w:rPr>
        <w:t>十一、</w:t>
      </w:r>
      <w:r>
        <w:rPr>
          <w:rFonts w:hint="eastAsia" w:ascii="黑体" w:hAnsi="黑体" w:eastAsia="黑体"/>
          <w:color w:val="000000"/>
          <w:kern w:val="0"/>
          <w:sz w:val="32"/>
          <w:szCs w:val="32"/>
        </w:rPr>
        <w:t>政府采购支出情况</w:t>
      </w:r>
      <w:r>
        <w:rPr>
          <w:rFonts w:hint="eastAsia" w:ascii="黑体" w:hAnsi="黑体" w:eastAsia="黑体"/>
          <w:color w:val="000000"/>
          <w:kern w:val="0"/>
          <w:sz w:val="32"/>
          <w:szCs w:val="32"/>
          <w:lang w:eastAsia="zh-CN"/>
        </w:rPr>
        <w:t>说明</w:t>
      </w:r>
    </w:p>
    <w:p>
      <w:pPr>
        <w:widowControl/>
        <w:wordWrap/>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本年度</w:t>
      </w:r>
      <w:r>
        <w:rPr>
          <w:rFonts w:hint="eastAsia" w:ascii="仿宋_GB2312" w:hAnsi="仿宋_GB2312" w:eastAsia="仿宋_GB2312" w:cs="仿宋_GB2312"/>
          <w:sz w:val="32"/>
          <w:szCs w:val="32"/>
        </w:rPr>
        <w:t>政府采购支出总额共</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政府采购货物类支出</w:t>
      </w:r>
      <w:r>
        <w:rPr>
          <w:rFonts w:hint="eastAsia" w:ascii="仿宋_GB2312" w:hAnsi="仿宋_GB2312" w:eastAsia="仿宋_GB2312" w:cs="仿宋_GB2312"/>
          <w:sz w:val="32"/>
          <w:szCs w:val="32"/>
          <w:lang w:val="en-US" w:eastAsia="zh-CN"/>
        </w:rPr>
        <w:t>0.4</w:t>
      </w:r>
      <w:r>
        <w:rPr>
          <w:rFonts w:hint="eastAsia" w:ascii="仿宋_GB2312" w:hAnsi="仿宋_GB2312" w:eastAsia="仿宋_GB2312" w:cs="仿宋_GB2312"/>
          <w:sz w:val="32"/>
          <w:szCs w:val="32"/>
        </w:rPr>
        <w:t>万元、政府采购工程类支出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万元、政府采购服务类支出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ascii="仿宋_GB2312" w:hAnsi="宋体" w:eastAsia="仿宋_GB2312" w:cs="仿宋_GB2312"/>
          <w:color w:val="000000"/>
          <w:kern w:val="0"/>
          <w:sz w:val="32"/>
          <w:szCs w:val="32"/>
        </w:rPr>
        <w:t>授予中小企业合同金额</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万元，占政府采购支出总额的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%，其中：授予小微企业合同金额</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万元，占</w:t>
      </w:r>
      <w:r>
        <w:rPr>
          <w:rFonts w:hint="eastAsia" w:ascii="仿宋_GB2312" w:hAnsi="宋体" w:eastAsia="仿宋_GB2312" w:cs="仿宋_GB2312"/>
          <w:color w:val="000000"/>
          <w:kern w:val="0"/>
          <w:sz w:val="32"/>
          <w:szCs w:val="32"/>
          <w:lang w:eastAsia="zh-CN"/>
        </w:rPr>
        <w:t>授予中小企业合同金额的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；货物采购授予中小企业合同金额占货物支出的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；工程采购授予中小企业合同金额占工程支出的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；服务采购授予中小企业合同金额占服务支出的</w:t>
      </w:r>
      <w:r>
        <w:rPr>
          <w:rFonts w:hint="eastAsia" w:ascii="仿宋_GB2312" w:hAnsi="宋体" w:eastAsia="仿宋_GB2312" w:cs="仿宋_GB2312"/>
          <w:color w:val="000000"/>
          <w:kern w:val="0"/>
          <w:sz w:val="32"/>
          <w:szCs w:val="32"/>
          <w:lang w:val="en-US" w:eastAsia="zh-CN"/>
        </w:rPr>
        <w:t>0</w:t>
      </w:r>
      <w:r>
        <w:rPr>
          <w:rFonts w:ascii="仿宋_GB2312" w:hAnsi="宋体" w:eastAsia="仿宋_GB2312" w:cs="仿宋_GB2312"/>
          <w:color w:val="000000"/>
          <w:kern w:val="0"/>
          <w:sz w:val="32"/>
          <w:szCs w:val="32"/>
        </w:rPr>
        <w:t>%</w:t>
      </w:r>
      <w:r>
        <w:rPr>
          <w:rFonts w:hint="eastAsia" w:ascii="仿宋_GB2312" w:hAnsi="宋体" w:eastAsia="仿宋_GB2312" w:cs="仿宋_GB2312"/>
          <w:color w:val="000000"/>
          <w:kern w:val="0"/>
          <w:sz w:val="32"/>
          <w:szCs w:val="32"/>
          <w:lang w:eastAsia="zh-CN"/>
        </w:rPr>
        <w:t>。</w:t>
      </w:r>
    </w:p>
    <w:p>
      <w:pPr>
        <w:widowControl/>
        <w:wordWrap/>
        <w:spacing w:line="560" w:lineRule="exact"/>
        <w:ind w:firstLine="640" w:firstLineChars="200"/>
        <w:jc w:val="left"/>
        <w:textAlignment w:val="auto"/>
        <w:rPr>
          <w:rFonts w:hint="eastAsia" w:ascii="黑体" w:hAnsi="黑体" w:eastAsia="黑体"/>
          <w:color w:val="000000"/>
          <w:kern w:val="0"/>
          <w:sz w:val="32"/>
          <w:szCs w:val="32"/>
        </w:rPr>
      </w:pPr>
      <w:r>
        <w:rPr>
          <w:rFonts w:hint="eastAsia" w:ascii="黑体" w:hAnsi="黑体" w:eastAsia="黑体"/>
          <w:color w:val="000000"/>
          <w:kern w:val="0"/>
          <w:sz w:val="32"/>
          <w:szCs w:val="32"/>
          <w:lang w:eastAsia="zh-CN"/>
        </w:rPr>
        <w:t>十二、</w:t>
      </w:r>
      <w:r>
        <w:rPr>
          <w:rFonts w:hint="eastAsia" w:ascii="黑体" w:hAnsi="黑体" w:eastAsia="黑体"/>
          <w:color w:val="000000"/>
          <w:kern w:val="0"/>
          <w:sz w:val="32"/>
          <w:szCs w:val="32"/>
        </w:rPr>
        <w:t>国有资产占用及购置情况</w:t>
      </w:r>
      <w:r>
        <w:rPr>
          <w:rFonts w:hint="eastAsia" w:ascii="黑体" w:hAnsi="黑体" w:eastAsia="黑体"/>
          <w:color w:val="000000"/>
          <w:kern w:val="0"/>
          <w:sz w:val="32"/>
          <w:szCs w:val="32"/>
          <w:lang w:eastAsia="zh-CN"/>
        </w:rPr>
        <w:t>说明</w:t>
      </w:r>
    </w:p>
    <w:p>
      <w:pPr>
        <w:wordWrap/>
        <w:spacing w:line="56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，机要通信用车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，应急保障用车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widowControl/>
        <w:wordWrap/>
        <w:spacing w:line="560" w:lineRule="exact"/>
        <w:ind w:firstLine="640" w:firstLineChars="200"/>
        <w:jc w:val="left"/>
        <w:textAlignment w:val="auto"/>
        <w:rPr>
          <w:rFonts w:ascii="黑体" w:hAnsi="黑体" w:eastAsia="黑体"/>
          <w:color w:val="000000"/>
          <w:kern w:val="0"/>
          <w:sz w:val="32"/>
          <w:szCs w:val="32"/>
        </w:rPr>
      </w:pPr>
      <w:r>
        <w:rPr>
          <w:rFonts w:hint="eastAsia" w:ascii="黑体" w:hAnsi="黑体" w:eastAsia="黑体"/>
          <w:color w:val="000000"/>
          <w:kern w:val="0"/>
          <w:sz w:val="32"/>
          <w:szCs w:val="32"/>
          <w:lang w:eastAsia="zh-CN"/>
        </w:rPr>
        <w:t>十三、</w:t>
      </w:r>
      <w:r>
        <w:rPr>
          <w:rFonts w:hint="eastAsia" w:ascii="黑体" w:hAnsi="黑体" w:eastAsia="黑体"/>
          <w:color w:val="000000"/>
          <w:kern w:val="0"/>
          <w:sz w:val="32"/>
          <w:szCs w:val="32"/>
        </w:rPr>
        <w:t>预算绩效情况</w:t>
      </w:r>
      <w:r>
        <w:rPr>
          <w:rFonts w:hint="eastAsia" w:ascii="黑体" w:hAnsi="黑体" w:eastAsia="黑体"/>
          <w:color w:val="000000"/>
          <w:kern w:val="0"/>
          <w:sz w:val="32"/>
          <w:szCs w:val="32"/>
          <w:lang w:eastAsia="zh-CN"/>
        </w:rPr>
        <w:t>说明</w:t>
      </w:r>
    </w:p>
    <w:p>
      <w:pPr>
        <w:widowControl/>
        <w:wordWrap/>
        <w:spacing w:line="560" w:lineRule="exact"/>
        <w:ind w:left="1278" w:leftChars="304" w:hanging="640" w:hangingChars="200"/>
        <w:jc w:val="left"/>
        <w:textAlignment w:val="auto"/>
        <w:rPr>
          <w:rFonts w:ascii="楷体_GB2312" w:hAnsi="宋体" w:eastAsia="楷体_GB2312" w:cs="楷体_GB2312"/>
          <w:b/>
          <w:color w:val="000000"/>
          <w:kern w:val="0"/>
          <w:sz w:val="32"/>
          <w:szCs w:val="32"/>
        </w:rPr>
      </w:pPr>
      <w:r>
        <w:rPr>
          <w:rFonts w:hint="eastAsia" w:ascii="楷体_GB2312" w:hAnsi="宋体" w:eastAsia="楷体_GB2312" w:cs="楷体_GB2312"/>
          <w:b w:val="0"/>
          <w:bCs/>
          <w:color w:val="000000"/>
          <w:kern w:val="0"/>
          <w:sz w:val="32"/>
          <w:szCs w:val="32"/>
        </w:rPr>
        <w:t>（一）</w:t>
      </w:r>
      <w:r>
        <w:rPr>
          <w:rFonts w:ascii="楷体_GB2312" w:hAnsi="宋体" w:eastAsia="楷体_GB2312" w:cs="楷体_GB2312"/>
          <w:b w:val="0"/>
          <w:bCs/>
          <w:color w:val="000000"/>
          <w:kern w:val="0"/>
          <w:sz w:val="32"/>
          <w:szCs w:val="32"/>
        </w:rPr>
        <w:t>预算绩效管理工作开展情况</w:t>
      </w:r>
      <w:r>
        <w:rPr>
          <w:rFonts w:hint="eastAsia" w:ascii="楷体_GB2312" w:hAnsi="宋体" w:eastAsia="楷体_GB2312" w:cs="楷体_GB2312"/>
          <w:b w:val="0"/>
          <w:bCs/>
          <w:color w:val="000000"/>
          <w:kern w:val="0"/>
          <w:sz w:val="32"/>
          <w:szCs w:val="32"/>
          <w:lang w:eastAsia="zh-CN"/>
        </w:rPr>
        <w:t>说明</w:t>
      </w:r>
      <w:r>
        <w:rPr>
          <w:rFonts w:ascii="楷体_GB2312" w:hAnsi="宋体" w:eastAsia="楷体_GB2312" w:cs="楷体_GB2312"/>
          <w:b w:val="0"/>
          <w:bCs/>
          <w:color w:val="000000"/>
          <w:kern w:val="0"/>
          <w:sz w:val="32"/>
          <w:szCs w:val="32"/>
        </w:rPr>
        <w:t>。</w:t>
      </w:r>
      <w:r>
        <w:rPr>
          <w:rFonts w:hint="eastAsia" w:ascii="楷体_GB2312" w:hAnsi="宋体" w:eastAsia="楷体_GB2312" w:cs="楷体_GB2312"/>
          <w:b/>
          <w:color w:val="000000"/>
          <w:kern w:val="0"/>
          <w:sz w:val="32"/>
          <w:szCs w:val="32"/>
        </w:rPr>
        <w:t xml:space="preserve">     </w:t>
      </w:r>
    </w:p>
    <w:p>
      <w:pPr>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32"/>
          <w:lang w:eastAsia="zh-CN"/>
        </w:rPr>
        <w:t>本</w:t>
      </w:r>
      <w:r>
        <w:rPr>
          <w:rFonts w:hint="eastAsia" w:ascii="仿宋" w:hAnsi="仿宋" w:eastAsia="仿宋" w:cs="仿宋"/>
          <w:sz w:val="32"/>
          <w:szCs w:val="32"/>
          <w:lang w:val="en-US" w:eastAsia="zh-CN"/>
        </w:rPr>
        <w:t>单位</w:t>
      </w:r>
      <w:r>
        <w:rPr>
          <w:rFonts w:hint="eastAsia" w:ascii="仿宋" w:hAnsi="仿宋" w:eastAsia="仿宋" w:cs="仿宋"/>
          <w:sz w:val="32"/>
          <w:szCs w:val="32"/>
          <w:lang w:eastAsia="zh-CN"/>
        </w:rPr>
        <w:t>积极推进预算绩效管理改革工作，建立了绩效管制度体系，</w:t>
      </w:r>
      <w:r>
        <w:rPr>
          <w:rFonts w:hint="eastAsia" w:ascii="仿宋" w:hAnsi="仿宋" w:eastAsia="仿宋" w:cs="仿宋"/>
          <w:sz w:val="32"/>
          <w:szCs w:val="40"/>
          <w:lang w:val="en-US" w:eastAsia="zh-CN"/>
        </w:rPr>
        <w:t>制定了《预算绩效管理制度》；</w:t>
      </w:r>
      <w:r>
        <w:rPr>
          <w:rFonts w:hint="eastAsia" w:ascii="仿宋" w:hAnsi="仿宋" w:eastAsia="仿宋" w:cs="仿宋"/>
          <w:sz w:val="32"/>
          <w:szCs w:val="40"/>
          <w:lang w:eastAsia="zh-CN"/>
        </w:rPr>
        <w:t>完善了绩效管理工作机制</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制定了《</w:t>
      </w:r>
      <w:r>
        <w:rPr>
          <w:rFonts w:hint="eastAsia" w:ascii="仿宋" w:hAnsi="仿宋" w:eastAsia="仿宋" w:cs="仿宋"/>
          <w:sz w:val="32"/>
          <w:szCs w:val="40"/>
          <w:lang w:eastAsia="zh-CN"/>
        </w:rPr>
        <w:t>预算绩效管理工作机制和流程</w:t>
      </w:r>
      <w:r>
        <w:rPr>
          <w:rFonts w:hint="eastAsia" w:ascii="仿宋" w:hAnsi="仿宋" w:eastAsia="仿宋" w:cs="仿宋"/>
          <w:sz w:val="32"/>
          <w:szCs w:val="32"/>
          <w:lang w:val="en-US" w:eastAsia="zh-CN"/>
        </w:rPr>
        <w:t>》</w:t>
      </w:r>
      <w:r>
        <w:rPr>
          <w:rFonts w:hint="eastAsia" w:ascii="仿宋" w:hAnsi="仿宋" w:eastAsia="仿宋" w:cs="仿宋"/>
          <w:sz w:val="32"/>
          <w:szCs w:val="40"/>
          <w:lang w:eastAsia="zh-CN"/>
        </w:rPr>
        <w:t>；明确了绩效管理职能，本单位</w:t>
      </w:r>
      <w:r>
        <w:rPr>
          <w:rFonts w:hint="eastAsia" w:ascii="仿宋" w:hAnsi="仿宋" w:eastAsia="仿宋" w:cs="仿宋"/>
          <w:sz w:val="32"/>
          <w:szCs w:val="40"/>
          <w:lang w:val="en-US" w:eastAsia="zh-CN"/>
        </w:rPr>
        <w:t>绩效管理</w:t>
      </w:r>
      <w:r>
        <w:rPr>
          <w:rFonts w:hint="eastAsia" w:ascii="仿宋" w:hAnsi="仿宋" w:eastAsia="仿宋" w:cs="仿宋"/>
          <w:sz w:val="32"/>
          <w:szCs w:val="40"/>
          <w:lang w:eastAsia="zh-CN"/>
        </w:rPr>
        <w:t>由主要领导、分管领导、财务室人员、相关股室负责人组成的预算绩效工作小组。</w:t>
      </w:r>
      <w:r>
        <w:rPr>
          <w:rFonts w:hint="eastAsia" w:ascii="仿宋" w:hAnsi="仿宋" w:eastAsia="仿宋" w:cs="仿宋"/>
          <w:sz w:val="32"/>
          <w:szCs w:val="40"/>
          <w:lang w:val="en-US" w:eastAsia="zh-CN"/>
        </w:rPr>
        <w:t>工作小组</w:t>
      </w:r>
      <w:r>
        <w:rPr>
          <w:rFonts w:hint="eastAsia" w:ascii="仿宋" w:hAnsi="仿宋" w:eastAsia="仿宋" w:cs="仿宋"/>
          <w:sz w:val="32"/>
          <w:szCs w:val="40"/>
          <w:lang w:eastAsia="zh-CN"/>
        </w:rPr>
        <w:t>负责建立建全本单位的预算绩效管理制度</w:t>
      </w:r>
      <w:r>
        <w:rPr>
          <w:rFonts w:hint="eastAsia" w:ascii="仿宋" w:hAnsi="仿宋" w:eastAsia="仿宋" w:cs="仿宋"/>
          <w:sz w:val="32"/>
          <w:szCs w:val="40"/>
          <w:lang w:val="en-US" w:eastAsia="zh-CN"/>
        </w:rPr>
        <w:t>；</w:t>
      </w:r>
      <w:r>
        <w:rPr>
          <w:rFonts w:hint="eastAsia" w:ascii="仿宋" w:hAnsi="仿宋" w:eastAsia="仿宋" w:cs="仿宋"/>
          <w:sz w:val="32"/>
          <w:szCs w:val="40"/>
          <w:lang w:eastAsia="zh-CN"/>
        </w:rPr>
        <w:t>负责预算绩效管理工作组织、指导，并协调配合财政部门做好相关工作</w:t>
      </w:r>
      <w:r>
        <w:rPr>
          <w:rFonts w:hint="eastAsia" w:ascii="仿宋" w:hAnsi="仿宋" w:eastAsia="仿宋" w:cs="仿宋"/>
          <w:sz w:val="32"/>
          <w:szCs w:val="40"/>
          <w:lang w:val="en-US" w:eastAsia="zh-CN"/>
        </w:rPr>
        <w:t>；</w:t>
      </w:r>
      <w:r>
        <w:rPr>
          <w:rFonts w:hint="eastAsia" w:ascii="仿宋" w:hAnsi="仿宋" w:eastAsia="仿宋" w:cs="仿宋"/>
          <w:sz w:val="32"/>
          <w:szCs w:val="40"/>
          <w:lang w:eastAsia="zh-CN"/>
        </w:rPr>
        <w:t>负责预算绩效管理自评工作</w:t>
      </w:r>
      <w:r>
        <w:rPr>
          <w:rFonts w:hint="eastAsia" w:ascii="仿宋" w:hAnsi="仿宋" w:eastAsia="仿宋" w:cs="仿宋"/>
          <w:sz w:val="32"/>
          <w:szCs w:val="40"/>
          <w:lang w:val="en-US" w:eastAsia="zh-CN"/>
        </w:rPr>
        <w:t>；</w:t>
      </w:r>
      <w:r>
        <w:rPr>
          <w:rFonts w:hint="eastAsia" w:ascii="仿宋" w:hAnsi="仿宋" w:eastAsia="仿宋" w:cs="仿宋"/>
          <w:sz w:val="32"/>
          <w:szCs w:val="40"/>
          <w:lang w:eastAsia="zh-CN"/>
        </w:rPr>
        <w:t>负责对预算绩效评价发现的问题及时整改完善。</w:t>
      </w:r>
      <w:r>
        <w:rPr>
          <w:rFonts w:hint="eastAsia" w:ascii="仿宋" w:hAnsi="仿宋" w:eastAsia="仿宋" w:cs="仿宋"/>
          <w:sz w:val="32"/>
          <w:szCs w:val="40"/>
          <w:lang w:val="en-US" w:eastAsia="zh-CN"/>
        </w:rPr>
        <w:t>具体</w:t>
      </w:r>
      <w:r>
        <w:rPr>
          <w:rFonts w:hint="eastAsia" w:ascii="仿宋" w:hAnsi="仿宋" w:eastAsia="仿宋" w:cs="仿宋"/>
          <w:sz w:val="32"/>
          <w:szCs w:val="40"/>
          <w:lang w:eastAsia="zh-CN"/>
        </w:rPr>
        <w:t>人员配置和岗位设置</w:t>
      </w:r>
      <w:r>
        <w:rPr>
          <w:rFonts w:hint="eastAsia" w:ascii="仿宋" w:hAnsi="仿宋" w:eastAsia="仿宋" w:cs="仿宋"/>
          <w:sz w:val="32"/>
          <w:szCs w:val="40"/>
          <w:lang w:val="en-US" w:eastAsia="zh-CN"/>
        </w:rPr>
        <w:t>：主要领导为工作组组长刘义同志，负责预算绩效工作的组织、指导、安排协调、审核等工作；分管领导李治江为副组长，负责配合搞好预算绩效工作制度体系、工作机制的建立等工作；成员财务人员黄春莱，负责做好预算及预算的执行，年终决和预算绩效评价等工作；相关业务股负责人黄晓光，负责搬迁项目的申报、项目的实施、验收以及配合做好搬迁项目的预算绩效评价等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根据预算绩效管理要求，本部门组织对</w:t>
      </w:r>
      <w:r>
        <w:rPr>
          <w:rFonts w:hint="eastAsia" w:ascii="仿宋" w:hAnsi="仿宋" w:eastAsia="仿宋" w:cs="仿宋"/>
          <w:sz w:val="32"/>
          <w:szCs w:val="40"/>
          <w:lang w:val="en-US" w:eastAsia="zh-CN"/>
        </w:rPr>
        <w:t>2021</w:t>
      </w:r>
      <w:r>
        <w:rPr>
          <w:rFonts w:hint="eastAsia" w:ascii="仿宋" w:hAnsi="仿宋" w:eastAsia="仿宋" w:cs="仿宋"/>
          <w:sz w:val="32"/>
          <w:szCs w:val="32"/>
          <w:lang w:eastAsia="zh-CN"/>
        </w:rPr>
        <w:t>年度部门预算项目支出进行全面自评，涵盖项目</w:t>
      </w:r>
      <w:r>
        <w:rPr>
          <w:rFonts w:hint="eastAsia" w:ascii="仿宋" w:hAnsi="仿宋" w:eastAsia="仿宋" w:cs="仿宋"/>
          <w:sz w:val="32"/>
          <w:szCs w:val="40"/>
          <w:lang w:val="en-US" w:eastAsia="zh-CN"/>
        </w:rPr>
        <w:t>1</w:t>
      </w:r>
      <w:r>
        <w:rPr>
          <w:rFonts w:hint="eastAsia" w:ascii="仿宋" w:hAnsi="仿宋" w:eastAsia="仿宋" w:cs="仿宋"/>
          <w:sz w:val="32"/>
          <w:szCs w:val="32"/>
          <w:lang w:val="en-US" w:eastAsia="zh-CN"/>
        </w:rPr>
        <w:t>个，涉及预算资金</w:t>
      </w:r>
      <w:r>
        <w:rPr>
          <w:rFonts w:hint="eastAsia" w:ascii="仿宋_GB2312" w:hAnsi="仿宋_GB2312" w:cs="仿宋_GB2312"/>
          <w:i w:val="0"/>
          <w:iCs/>
          <w:sz w:val="32"/>
          <w:szCs w:val="32"/>
          <w:lang w:val="en-US" w:eastAsia="zh-CN"/>
        </w:rPr>
        <w:t>1491.95</w:t>
      </w:r>
      <w:r>
        <w:rPr>
          <w:rFonts w:hint="eastAsia" w:ascii="仿宋" w:hAnsi="仿宋" w:eastAsia="仿宋" w:cs="仿宋"/>
          <w:sz w:val="32"/>
          <w:szCs w:val="32"/>
          <w:lang w:val="en-US" w:eastAsia="zh-CN"/>
        </w:rPr>
        <w:t>万元，占部门预算项目支出总额的</w:t>
      </w:r>
      <w:r>
        <w:rPr>
          <w:rFonts w:hint="eastAsia" w:ascii="仿宋" w:hAnsi="仿宋" w:eastAsia="仿宋" w:cs="仿宋"/>
          <w:sz w:val="32"/>
          <w:szCs w:val="40"/>
          <w:lang w:val="en-US" w:eastAsia="zh-CN"/>
        </w:rPr>
        <w:t>100</w:t>
      </w:r>
      <w:r>
        <w:rPr>
          <w:rFonts w:hint="eastAsia" w:ascii="仿宋" w:hAnsi="仿宋" w:eastAsia="仿宋" w:cs="仿宋"/>
          <w:sz w:val="32"/>
          <w:szCs w:val="32"/>
          <w:lang w:val="en-US" w:eastAsia="zh-CN"/>
        </w:rPr>
        <w:t>%。</w:t>
      </w:r>
    </w:p>
    <w:p>
      <w:pPr>
        <w:keepNext w:val="0"/>
        <w:keepLines w:val="0"/>
        <w:pageBreakBefore w:val="0"/>
        <w:widowControl w:val="0"/>
        <w:pBdr>
          <w:bottom w:val="single" w:color="FFFFFF" w:sz="6" w:space="31"/>
        </w:pBdr>
        <w:tabs>
          <w:tab w:val="left" w:pos="720"/>
        </w:tabs>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组织开展</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年度部门整体支出绩效自评工作，从评价情况来看，</w:t>
      </w:r>
      <w:r>
        <w:rPr>
          <w:rFonts w:hint="eastAsia" w:ascii="仿宋" w:hAnsi="仿宋" w:eastAsia="仿宋" w:cs="仿宋"/>
          <w:sz w:val="32"/>
          <w:szCs w:val="32"/>
          <w:lang w:val="en-US" w:eastAsia="zh-CN"/>
        </w:rPr>
        <w:t>部门重点工作完成情况如下：</w:t>
      </w:r>
      <w:r>
        <w:rPr>
          <w:rStyle w:val="19"/>
          <w:rFonts w:hint="eastAsia" w:ascii="仿宋" w:hAnsi="仿宋" w:eastAsia="仿宋" w:cs="仿宋"/>
          <w:bCs/>
          <w:color w:val="000000"/>
          <w:sz w:val="32"/>
          <w:szCs w:val="32"/>
        </w:rPr>
        <w:t>易地扶贫搬迁顺利通过省级后评估考核，完成避灾生态搬迁479户，</w:t>
      </w:r>
      <w:r>
        <w:rPr>
          <w:rFonts w:hint="eastAsia" w:ascii="仿宋" w:hAnsi="仿宋" w:eastAsia="仿宋" w:cs="仿宋"/>
          <w:sz w:val="32"/>
          <w:szCs w:val="32"/>
        </w:rPr>
        <w:t>易地扶贫搬迁1535套安置房登记发证率100%。2个安置点“星级”创建通过市级核查。</w:t>
      </w:r>
      <w:r>
        <w:rPr>
          <w:rFonts w:hint="eastAsia" w:ascii="仿宋" w:hAnsi="仿宋" w:eastAsia="仿宋" w:cs="仿宋"/>
          <w:color w:val="000000"/>
          <w:sz w:val="32"/>
          <w:szCs w:val="32"/>
        </w:rPr>
        <w:t>全县易地扶贫搬迁对象现已就业2075人，其中引导跨省务工868人，建成新社区工厂28家，其中覆盖100户以上搬迁安置社区18家，吸纳搬迁农村劳动力573人，安置点配套建设33个产业园，新增吸纳837人务工就业，开展易地搬迁群众技能培训315人，落实公益性岗位就业171人。</w:t>
      </w:r>
      <w:r>
        <w:rPr>
          <w:rFonts w:hint="eastAsia" w:ascii="仿宋" w:hAnsi="仿宋" w:eastAsia="仿宋" w:cs="仿宋"/>
          <w:sz w:val="32"/>
          <w:szCs w:val="32"/>
        </w:rPr>
        <w:t>完成了28个安置点1647户4943人易地扶贫搬迁审计工作；完成曙坪集镇安置点等7个工程的竣工验收，移交易地扶贫搬迁项目资产9个，易地扶贫搬迁档案全部移交到位。</w:t>
      </w:r>
    </w:p>
    <w:p>
      <w:pPr>
        <w:keepNext w:val="0"/>
        <w:keepLines w:val="0"/>
        <w:pageBreakBefore w:val="0"/>
        <w:widowControl w:val="0"/>
        <w:pBdr>
          <w:bottom w:val="single" w:color="FFFFFF" w:sz="6" w:space="31"/>
        </w:pBdr>
        <w:tabs>
          <w:tab w:val="left" w:pos="720"/>
        </w:tabs>
        <w:kinsoku/>
        <w:wordWrap/>
        <w:overflowPunct/>
        <w:topLinePunct w:val="0"/>
        <w:autoSpaceDE/>
        <w:autoSpaceDN/>
        <w:bidi w:val="0"/>
        <w:adjustRightInd/>
        <w:snapToGrid/>
        <w:spacing w:line="560" w:lineRule="exact"/>
        <w:ind w:firstLine="640" w:firstLineChars="200"/>
        <w:rPr>
          <w:rFonts w:ascii="楷体_GB2312" w:hAnsi="宋体" w:eastAsia="楷体_GB2312" w:cs="楷体_GB2312"/>
          <w:b w:val="0"/>
          <w:bCs/>
          <w:color w:val="000000"/>
          <w:kern w:val="0"/>
          <w:sz w:val="32"/>
          <w:szCs w:val="32"/>
        </w:rPr>
      </w:pPr>
      <w:r>
        <w:rPr>
          <w:rFonts w:hint="eastAsia" w:ascii="楷体_GB2312" w:hAnsi="宋体" w:eastAsia="楷体_GB2312" w:cs="楷体_GB2312"/>
          <w:b w:val="0"/>
          <w:bCs/>
          <w:color w:val="000000"/>
          <w:kern w:val="0"/>
          <w:sz w:val="32"/>
          <w:szCs w:val="32"/>
          <w:lang w:eastAsia="zh-CN"/>
        </w:rPr>
        <w:t>（二）</w:t>
      </w:r>
      <w:r>
        <w:rPr>
          <w:rFonts w:ascii="楷体_GB2312" w:hAnsi="宋体" w:eastAsia="楷体_GB2312" w:cs="楷体_GB2312"/>
          <w:b w:val="0"/>
          <w:bCs/>
          <w:color w:val="000000"/>
          <w:kern w:val="0"/>
          <w:sz w:val="32"/>
          <w:szCs w:val="32"/>
        </w:rPr>
        <w:t>部门决算中项目绩效自评结果。</w:t>
      </w:r>
    </w:p>
    <w:p>
      <w:pPr>
        <w:keepNext w:val="0"/>
        <w:keepLines w:val="0"/>
        <w:pageBreakBefore w:val="0"/>
        <w:widowControl w:val="0"/>
        <w:numPr>
          <w:ilvl w:val="0"/>
          <w:numId w:val="0"/>
        </w:numPr>
        <w:pBdr>
          <w:bottom w:val="single" w:color="FFFFFF" w:sz="6" w:space="31"/>
        </w:pBdr>
        <w:tabs>
          <w:tab w:val="left" w:pos="720"/>
        </w:tabs>
        <w:kinsoku/>
        <w:wordWrap/>
        <w:overflowPunct/>
        <w:topLinePunct w:val="0"/>
        <w:autoSpaceDE/>
        <w:autoSpaceDN/>
        <w:bidi w:val="0"/>
        <w:adjustRightInd/>
        <w:snapToGrid/>
        <w:spacing w:line="560" w:lineRule="exact"/>
        <w:ind w:firstLine="640" w:firstLineChars="200"/>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本部门在部门决算中反映易地扶贫搬迁旧宅基地腾退资金补助一级项目绩效自评结果。</w:t>
      </w:r>
    </w:p>
    <w:p>
      <w:pPr>
        <w:keepNext w:val="0"/>
        <w:keepLines w:val="0"/>
        <w:pageBreakBefore w:val="0"/>
        <w:widowControl w:val="0"/>
        <w:numPr>
          <w:ilvl w:val="0"/>
          <w:numId w:val="0"/>
        </w:numPr>
        <w:pBdr>
          <w:bottom w:val="single" w:color="FFFFFF" w:sz="6" w:space="31"/>
        </w:pBdr>
        <w:tabs>
          <w:tab w:val="left" w:pos="720"/>
        </w:tabs>
        <w:kinsoku/>
        <w:wordWrap/>
        <w:overflowPunct/>
        <w:topLinePunct w:val="0"/>
        <w:autoSpaceDE/>
        <w:autoSpaceDN/>
        <w:bidi w:val="0"/>
        <w:adjustRightInd/>
        <w:snapToGrid/>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40"/>
          <w:lang w:val="en-US" w:eastAsia="zh-CN"/>
        </w:rPr>
        <w:t>易地扶贫搬迁旧宅基地腾退资金补助</w:t>
      </w:r>
      <w:r>
        <w:rPr>
          <w:rFonts w:hint="eastAsia" w:ascii="楷体" w:hAnsi="楷体" w:eastAsia="楷体" w:cs="楷体"/>
          <w:b w:val="0"/>
          <w:bCs w:val="0"/>
          <w:sz w:val="32"/>
          <w:szCs w:val="40"/>
        </w:rPr>
        <w:t>项目绩效自评综述：</w:t>
      </w:r>
      <w:r>
        <w:rPr>
          <w:rFonts w:hint="eastAsia" w:ascii="仿宋" w:hAnsi="仿宋" w:eastAsia="仿宋" w:cs="仿宋"/>
          <w:sz w:val="32"/>
          <w:szCs w:val="40"/>
        </w:rPr>
        <w:t>全年预算数</w:t>
      </w:r>
      <w:r>
        <w:rPr>
          <w:rFonts w:hint="eastAsia" w:ascii="仿宋_GB2312" w:hAnsi="仿宋_GB2312" w:cs="仿宋_GB2312"/>
          <w:i w:val="0"/>
          <w:iCs/>
          <w:sz w:val="32"/>
          <w:szCs w:val="32"/>
          <w:lang w:val="en-US" w:eastAsia="zh-CN"/>
        </w:rPr>
        <w:t>1491.95</w:t>
      </w:r>
      <w:r>
        <w:rPr>
          <w:rFonts w:hint="eastAsia" w:ascii="仿宋" w:hAnsi="仿宋" w:eastAsia="仿宋" w:cs="仿宋"/>
          <w:sz w:val="32"/>
          <w:szCs w:val="40"/>
        </w:rPr>
        <w:t>万元，执行数</w:t>
      </w:r>
      <w:r>
        <w:rPr>
          <w:rFonts w:hint="eastAsia" w:ascii="仿宋_GB2312" w:hAnsi="仿宋_GB2312" w:cs="仿宋_GB2312"/>
          <w:i w:val="0"/>
          <w:iCs/>
          <w:sz w:val="32"/>
          <w:szCs w:val="32"/>
          <w:lang w:val="en-US" w:eastAsia="zh-CN"/>
        </w:rPr>
        <w:t>1491.95</w:t>
      </w:r>
      <w:r>
        <w:rPr>
          <w:rFonts w:hint="eastAsia" w:ascii="仿宋" w:hAnsi="仿宋" w:eastAsia="仿宋" w:cs="仿宋"/>
          <w:sz w:val="32"/>
          <w:szCs w:val="40"/>
        </w:rPr>
        <w:t>万元，完成预算的</w:t>
      </w:r>
      <w:r>
        <w:rPr>
          <w:rFonts w:hint="eastAsia" w:ascii="仿宋" w:hAnsi="仿宋" w:eastAsia="仿宋" w:cs="仿宋"/>
          <w:sz w:val="32"/>
          <w:szCs w:val="40"/>
          <w:lang w:val="en-US" w:eastAsia="zh-CN"/>
        </w:rPr>
        <w:t>100</w:t>
      </w:r>
      <w:r>
        <w:rPr>
          <w:rFonts w:hint="eastAsia" w:ascii="仿宋" w:hAnsi="仿宋" w:eastAsia="仿宋" w:cs="仿宋"/>
          <w:sz w:val="32"/>
          <w:szCs w:val="40"/>
        </w:rPr>
        <w:t>%。</w:t>
      </w:r>
      <w:r>
        <w:rPr>
          <w:rFonts w:hint="eastAsia" w:ascii="仿宋" w:hAnsi="仿宋" w:eastAsia="仿宋" w:cs="仿宋"/>
          <w:sz w:val="32"/>
          <w:szCs w:val="40"/>
          <w:lang w:val="en-US" w:eastAsia="zh-CN"/>
        </w:rPr>
        <w:t>项目绩效目标完成情况：该项目属于旧宅基地腾退项目，已完成任务</w:t>
      </w:r>
      <w:r>
        <w:rPr>
          <w:rFonts w:hint="eastAsia" w:ascii="仿宋" w:hAnsi="仿宋" w:eastAsia="仿宋" w:cs="仿宋"/>
          <w:sz w:val="32"/>
          <w:szCs w:val="40"/>
        </w:rPr>
        <w:t>。发现的问题及原因：</w:t>
      </w:r>
      <w:r>
        <w:rPr>
          <w:rFonts w:hint="eastAsia" w:ascii="仿宋" w:hAnsi="仿宋" w:eastAsia="仿宋" w:cs="仿宋"/>
          <w:sz w:val="32"/>
          <w:szCs w:val="40"/>
          <w:lang w:val="en-US" w:eastAsia="zh-CN"/>
        </w:rPr>
        <w:t>该项目涉及资金2158.81万元，资金缺口较大</w:t>
      </w:r>
      <w:r>
        <w:rPr>
          <w:rFonts w:hint="eastAsia" w:ascii="仿宋" w:hAnsi="仿宋" w:eastAsia="仿宋" w:cs="仿宋"/>
          <w:sz w:val="32"/>
          <w:szCs w:val="40"/>
        </w:rPr>
        <w:t>。下一步改进措施：</w:t>
      </w:r>
      <w:r>
        <w:rPr>
          <w:rFonts w:hint="eastAsia" w:ascii="仿宋" w:hAnsi="仿宋" w:eastAsia="仿宋" w:cs="仿宋"/>
          <w:sz w:val="32"/>
          <w:szCs w:val="40"/>
          <w:lang w:val="en-US" w:eastAsia="zh-CN"/>
        </w:rPr>
        <w:t>积极争取资金，解决项目资金缺口问题</w:t>
      </w:r>
      <w:r>
        <w:rPr>
          <w:rFonts w:hint="eastAsia" w:ascii="仿宋" w:hAnsi="仿宋" w:eastAsia="仿宋" w:cs="仿宋"/>
          <w:sz w:val="32"/>
          <w:szCs w:val="40"/>
          <w:lang w:eastAsia="zh-CN"/>
        </w:rPr>
        <w:t>。</w:t>
      </w:r>
    </w:p>
    <w:tbl>
      <w:tblPr>
        <w:tblStyle w:val="11"/>
        <w:tblW w:w="9382"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57"/>
        <w:gridCol w:w="785"/>
        <w:gridCol w:w="1283"/>
        <w:gridCol w:w="1491"/>
        <w:gridCol w:w="951"/>
        <w:gridCol w:w="1332"/>
        <w:gridCol w:w="1107"/>
        <w:gridCol w:w="1755"/>
        <w:gridCol w:w="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2" w:type="dxa"/>
          <w:trHeight w:val="580" w:hRule="atLeast"/>
        </w:trPr>
        <w:tc>
          <w:tcPr>
            <w:tcW w:w="926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Fonts w:hint="eastAsia" w:ascii="宋体" w:hAnsi="宋体" w:eastAsia="宋体" w:cs="宋体"/>
                <w:b/>
                <w:bCs/>
                <w:i w:val="0"/>
                <w:iCs w:val="0"/>
                <w:color w:val="000000"/>
                <w:kern w:val="0"/>
                <w:sz w:val="32"/>
                <w:szCs w:val="32"/>
                <w:u w:val="none"/>
                <w:lang w:val="en-US" w:eastAsia="zh-CN" w:bidi="ar"/>
              </w:rPr>
              <w:t>2021年度项目支出绩效自评表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122" w:type="dxa"/>
          <w:trHeight w:val="480" w:hRule="atLeast"/>
        </w:trPr>
        <w:tc>
          <w:tcPr>
            <w:tcW w:w="0" w:type="auto"/>
            <w:gridSpan w:val="8"/>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项目名称</w:t>
            </w:r>
          </w:p>
        </w:tc>
        <w:tc>
          <w:tcPr>
            <w:tcW w:w="67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镇坪县易地扶贫搬迁旧宅基地腾退项目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65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主管部门</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镇坪县自然资源局</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实施单位</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镇坪县</w:t>
            </w:r>
            <w:r>
              <w:rPr>
                <w:rFonts w:hint="eastAsia" w:ascii="宋体" w:hAnsi="宋体" w:cs="宋体"/>
                <w:i w:val="0"/>
                <w:iCs w:val="0"/>
                <w:color w:val="000000"/>
                <w:kern w:val="0"/>
                <w:sz w:val="21"/>
                <w:szCs w:val="21"/>
                <w:u w:val="none"/>
                <w:lang w:val="en-US" w:eastAsia="zh-CN" w:bidi="ar"/>
              </w:rPr>
              <w:t>移民（脱贫）搬迁工作办公室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265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（万元）</w:t>
            </w: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全年预算数（A）</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全年执行数（B）</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年度资金总额：</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1491.95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1491.95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2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其中：</w:t>
            </w:r>
            <w:r>
              <w:rPr>
                <w:rFonts w:hint="eastAsia" w:ascii="宋体" w:hAnsi="宋体" w:cs="宋体"/>
                <w:i w:val="0"/>
                <w:iCs w:val="0"/>
                <w:color w:val="000000"/>
                <w:kern w:val="0"/>
                <w:sz w:val="21"/>
                <w:szCs w:val="21"/>
                <w:u w:val="none"/>
                <w:lang w:val="en-US" w:eastAsia="zh-CN" w:bidi="ar"/>
              </w:rPr>
              <w:t>县级</w:t>
            </w:r>
            <w:r>
              <w:rPr>
                <w:rFonts w:hint="eastAsia" w:ascii="宋体" w:hAnsi="宋体" w:eastAsia="宋体" w:cs="宋体"/>
                <w:i w:val="0"/>
                <w:iCs w:val="0"/>
                <w:color w:val="000000"/>
                <w:kern w:val="0"/>
                <w:sz w:val="21"/>
                <w:szCs w:val="21"/>
                <w:u w:val="none"/>
                <w:lang w:val="en-US" w:eastAsia="zh-CN" w:bidi="ar"/>
              </w:rPr>
              <w:t>财政资金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1491.95</w:t>
            </w: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1491.95</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265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其他资金</w:t>
            </w:r>
          </w:p>
        </w:tc>
        <w:tc>
          <w:tcPr>
            <w:tcW w:w="8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iCs w:val="0"/>
                <w:color w:val="000000"/>
                <w:sz w:val="21"/>
                <w:szCs w:val="21"/>
                <w:u w:val="none"/>
              </w:rPr>
            </w:pPr>
          </w:p>
        </w:tc>
        <w:tc>
          <w:tcPr>
            <w:tcW w:w="2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年度总体目标</w:t>
            </w:r>
          </w:p>
        </w:tc>
        <w:tc>
          <w:tcPr>
            <w:tcW w:w="44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年初设定目标</w:t>
            </w:r>
          </w:p>
        </w:tc>
        <w:tc>
          <w:tcPr>
            <w:tcW w:w="43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0" w:hRule="atLeast"/>
        </w:trPr>
        <w:tc>
          <w:tcPr>
            <w:tcW w:w="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447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对列入全县移民搬迁土地综合利用规划实施方案的5920户17942人移民搬迁群众，原使用的1517.124亩旧宅基地予以腾退。通过项目设计的主体工程包括拆除工程、土地平整工程、灌溉与排水工程及农田防护与生态环境保持工程措施对旧宅基地进行复垦，从而新增耕地1407.5925亩、林地109.5315亩。</w:t>
            </w:r>
          </w:p>
        </w:tc>
        <w:tc>
          <w:tcPr>
            <w:tcW w:w="435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截至目前已完成全县861亩腾退任务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560"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一级</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二级指标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三级指标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年度指标值</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全年完成值</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产</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出</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数量指标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镇坪县旧宅基地腾退</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cs="宋体"/>
                <w:i w:val="0"/>
                <w:iCs w:val="0"/>
                <w:color w:val="000000"/>
                <w:sz w:val="21"/>
                <w:szCs w:val="21"/>
                <w:u w:val="none"/>
                <w:lang w:val="en-US" w:eastAsia="zh-CN"/>
              </w:rPr>
              <w:t>50%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腾退难度大，加大宣传力度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质量指标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完工验收合格率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100</w:t>
            </w:r>
            <w:r>
              <w:rPr>
                <w:rFonts w:hint="eastAsia" w:ascii="宋体" w:hAnsi="宋体" w:eastAsia="宋体" w:cs="宋体"/>
                <w:i w:val="0"/>
                <w:iCs w:val="0"/>
                <w:color w:val="000000"/>
                <w:kern w:val="0"/>
                <w:sz w:val="21"/>
                <w:szCs w:val="21"/>
                <w:u w:val="none"/>
                <w:lang w:val="en-US" w:eastAsia="zh-CN" w:bidi="ar"/>
              </w:rPr>
              <w:t>%</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时效指标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开工及时率</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100%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成本指标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建设总投资</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2158.81万元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1491.95万元</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县级财政资金困难，争取上级资金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益</w:t>
            </w:r>
          </w:p>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经济效益</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带动30人本地务工</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人均收入3万元</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人均收入1.8万元</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lang w:eastAsia="zh-CN"/>
              </w:rPr>
            </w:pPr>
            <w:r>
              <w:rPr>
                <w:rFonts w:hint="eastAsia" w:ascii="宋体" w:hAnsi="宋体" w:cs="宋体"/>
                <w:i w:val="0"/>
                <w:iCs w:val="0"/>
                <w:color w:val="000000"/>
                <w:sz w:val="21"/>
                <w:szCs w:val="21"/>
                <w:u w:val="none"/>
                <w:lang w:eastAsia="zh-CN"/>
              </w:rPr>
              <w:t>腾退难度大，加大宣传力度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新增耕地1407.5925亩、林地109.5315亩</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100%</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cs="宋体"/>
                <w:i w:val="0"/>
                <w:iCs w:val="0"/>
                <w:color w:val="000000"/>
                <w:kern w:val="0"/>
                <w:sz w:val="21"/>
                <w:szCs w:val="21"/>
                <w:u w:val="none"/>
                <w:lang w:val="en-US" w:eastAsia="zh-CN" w:bidi="ar"/>
              </w:rPr>
              <w:t>50%</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r>
              <w:rPr>
                <w:rFonts w:hint="eastAsia" w:ascii="宋体" w:hAnsi="宋体" w:cs="宋体"/>
                <w:i w:val="0"/>
                <w:iCs w:val="0"/>
                <w:color w:val="000000"/>
                <w:sz w:val="21"/>
                <w:szCs w:val="21"/>
                <w:u w:val="none"/>
                <w:lang w:eastAsia="zh-CN"/>
              </w:rPr>
              <w:t>腾退难度大，加大宣传力度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生态效益</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改善</w:t>
            </w:r>
            <w:r>
              <w:rPr>
                <w:rFonts w:hint="eastAsia" w:ascii="宋体" w:hAnsi="宋体" w:cs="宋体"/>
                <w:i w:val="0"/>
                <w:iCs w:val="0"/>
                <w:color w:val="000000"/>
                <w:kern w:val="0"/>
                <w:sz w:val="21"/>
                <w:szCs w:val="21"/>
                <w:u w:val="none"/>
                <w:lang w:val="en-US" w:eastAsia="zh-CN" w:bidi="ar"/>
              </w:rPr>
              <w:t>生态</w:t>
            </w:r>
            <w:r>
              <w:rPr>
                <w:rFonts w:hint="eastAsia" w:ascii="宋体" w:hAnsi="宋体" w:eastAsia="宋体" w:cs="宋体"/>
                <w:i w:val="0"/>
                <w:iCs w:val="0"/>
                <w:color w:val="000000"/>
                <w:kern w:val="0"/>
                <w:sz w:val="21"/>
                <w:szCs w:val="21"/>
                <w:u w:val="none"/>
                <w:lang w:val="en-US" w:eastAsia="zh-CN" w:bidi="ar"/>
              </w:rPr>
              <w:t>环境</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提升</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可持续影响指标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长期影响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长期影响</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560"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服务对象</w:t>
            </w:r>
          </w:p>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满意度指标</w:t>
            </w:r>
          </w:p>
        </w:tc>
        <w:tc>
          <w:tcPr>
            <w:tcW w:w="2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受益人群满意度</w:t>
            </w:r>
          </w:p>
        </w:tc>
        <w:tc>
          <w:tcPr>
            <w:tcW w:w="13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≥98%</w:t>
            </w:r>
          </w:p>
        </w:tc>
        <w:tc>
          <w:tcPr>
            <w:tcW w:w="1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说明</w:t>
            </w:r>
          </w:p>
        </w:tc>
        <w:tc>
          <w:tcPr>
            <w:tcW w:w="8822"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请在此处简要说明中央巡视、各级审计和财政监督中发现的问题及其所涉及的金额，如没有请填无。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40" w:hRule="atLeast"/>
        </w:trPr>
        <w:tc>
          <w:tcPr>
            <w:tcW w:w="9382"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注：1.其他资金包括与省级财政资金共同投入到同一项目的自有资金、社会资金，以及以前年度的结转结余资金等。</w:t>
            </w:r>
          </w:p>
          <w:p>
            <w:pPr>
              <w:keepNext w:val="0"/>
              <w:keepLines w:val="0"/>
              <w:widowControl/>
              <w:suppressLineNumbers w:val="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    2.定量指标。省级主管部门对资金使用单位填写的实际完成值汇总时，绝对值直接累加计算，相对值按照资金额度加权平均计算。</w:t>
            </w:r>
          </w:p>
          <w:p>
            <w:pPr>
              <w:keepNext w:val="0"/>
              <w:keepLines w:val="0"/>
              <w:widowControl/>
              <w:suppressLineNumbers w:val="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    3.定性指标根据指标完成情况分为：全部或基本达成预期指标、部分达成预期指标并具有一定效果、未达成预期指标且效果较差三档，分别按照100%-80%（含）、80%-60%（含）、60%-0%合理填写完成比例。</w:t>
            </w:r>
          </w:p>
        </w:tc>
      </w:tr>
    </w:tbl>
    <w:p>
      <w:pPr>
        <w:ind w:firstLine="640" w:firstLineChars="200"/>
        <w:rPr>
          <w:rFonts w:hint="eastAsia" w:ascii="楷体" w:hAnsi="楷体" w:eastAsia="楷体" w:cs="楷体"/>
          <w:b/>
          <w:bCs/>
          <w:sz w:val="32"/>
          <w:szCs w:val="40"/>
          <w:lang w:val="en-US" w:eastAsia="zh-CN"/>
        </w:rPr>
      </w:pPr>
      <w:r>
        <w:rPr>
          <w:rFonts w:hint="eastAsia" w:ascii="楷体" w:hAnsi="楷体" w:eastAsia="楷体" w:cs="楷体"/>
          <w:b w:val="0"/>
          <w:bCs w:val="0"/>
          <w:sz w:val="32"/>
          <w:szCs w:val="40"/>
          <w:lang w:val="en-US" w:eastAsia="zh-CN"/>
        </w:rPr>
        <w:t>（三）部门整体支出绩效自评结果。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根据年度设定的绩效目标，部门整体支出自评得分97，综合评价等级为“优</w:t>
      </w:r>
      <w:r>
        <w:rPr>
          <w:rFonts w:hint="default" w:ascii="仿宋" w:hAnsi="仿宋" w:eastAsia="仿宋" w:cs="仿宋"/>
          <w:sz w:val="32"/>
          <w:szCs w:val="40"/>
          <w:lang w:val="en-US" w:eastAsia="zh-CN"/>
        </w:rPr>
        <w:t>”</w:t>
      </w:r>
      <w:r>
        <w:rPr>
          <w:rFonts w:hint="eastAsia" w:ascii="仿宋" w:hAnsi="仿宋" w:eastAsia="仿宋" w:cs="仿宋"/>
          <w:sz w:val="32"/>
          <w:szCs w:val="40"/>
          <w:lang w:val="en-US" w:eastAsia="zh-CN"/>
        </w:rPr>
        <w:t>，全年预算数</w:t>
      </w:r>
      <w:r>
        <w:rPr>
          <w:rFonts w:hint="eastAsia" w:ascii="仿宋_GB2312" w:hAnsi="仿宋_GB2312" w:eastAsia="仿宋_GB2312" w:cs="仿宋_GB2312"/>
          <w:i w:val="0"/>
          <w:iCs/>
          <w:sz w:val="32"/>
          <w:szCs w:val="32"/>
          <w:lang w:eastAsia="zh-CN"/>
        </w:rPr>
        <w:t>1491.95</w:t>
      </w:r>
      <w:r>
        <w:rPr>
          <w:rFonts w:hint="eastAsia" w:ascii="仿宋" w:hAnsi="仿宋" w:eastAsia="仿宋" w:cs="仿宋"/>
          <w:sz w:val="32"/>
          <w:szCs w:val="40"/>
          <w:lang w:val="en-US" w:eastAsia="zh-CN"/>
        </w:rPr>
        <w:t>万元，执行数</w:t>
      </w:r>
      <w:r>
        <w:rPr>
          <w:rFonts w:hint="eastAsia" w:ascii="仿宋_GB2312" w:hAnsi="仿宋_GB2312" w:eastAsia="仿宋_GB2312" w:cs="仿宋_GB2312"/>
          <w:i w:val="0"/>
          <w:iCs/>
          <w:sz w:val="32"/>
          <w:szCs w:val="32"/>
          <w:lang w:eastAsia="zh-CN"/>
        </w:rPr>
        <w:t>1491.95</w:t>
      </w:r>
      <w:r>
        <w:rPr>
          <w:rFonts w:hint="eastAsia" w:ascii="仿宋" w:hAnsi="仿宋" w:eastAsia="仿宋" w:cs="仿宋"/>
          <w:sz w:val="32"/>
          <w:szCs w:val="40"/>
          <w:lang w:val="en-US" w:eastAsia="zh-CN"/>
        </w:rPr>
        <w:t>万元，完成预算的100%。本年度本部门总体运行情况及取得的成绩：单位紧扣“1144”总体思路，全面履行党建、党风廉政建设第一责任人责任，修订完善搬迁办主体责任清单，深化赵正永严重违纪违法案以案促改，召开理论学习中心组会10次，参加局党风廉政建设专题会15次，党史教育学习11次，开展主题党日活动7次、“我为群众办实事”11次，切实压紧压实党建、党风廉政、法治建设等主体责任。开展效能督办6次，谈心谈话实现全覆盖。单位领导成员认真履行“一岗双责”,采取集中学习、典型案例通报等形式，开展经常性警示教育学习20余次。深入落实意识形态和“三项机制”，单位1名干部受到县级以上表彰。人大代表建议和政协委员提案办理、两办督办、重点项目、招商引资、生态环境保护、扫黑除恶斗争行业治理和社会治理现代化等中心工作全部完成。对于各级、各部门反馈的问题，我办坚持研判分析、方案制定、责任落实、举一反三、长效坚持五步工作法，扎实有效开展各类问题整改工作。本年度已收到反馈问题16批次8个问题，已全面完成整改，需要长效防范7个。</w:t>
      </w:r>
    </w:p>
    <w:p>
      <w:pPr>
        <w:rPr>
          <w:rFonts w:hint="eastAsia" w:ascii="楷体" w:hAnsi="楷体" w:eastAsia="楷体" w:cs="楷体"/>
          <w:sz w:val="30"/>
          <w:szCs w:val="30"/>
          <w:lang w:eastAsia="zh-CN"/>
        </w:rPr>
      </w:pPr>
    </w:p>
    <w:tbl>
      <w:tblPr>
        <w:tblStyle w:val="11"/>
        <w:tblW w:w="9990"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31"/>
        <w:gridCol w:w="536"/>
        <w:gridCol w:w="536"/>
        <w:gridCol w:w="401"/>
        <w:gridCol w:w="1965"/>
        <w:gridCol w:w="2790"/>
        <w:gridCol w:w="540"/>
        <w:gridCol w:w="610"/>
        <w:gridCol w:w="510"/>
        <w:gridCol w:w="440"/>
        <w:gridCol w:w="510"/>
        <w:gridCol w:w="6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9990"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Style w:val="20"/>
                <w:lang w:val="en-US" w:eastAsia="zh-CN" w:bidi="ar"/>
              </w:rPr>
            </w:pPr>
            <w:r>
              <w:rPr>
                <w:rStyle w:val="20"/>
                <w:lang w:val="en-US" w:eastAsia="zh-CN" w:bidi="ar"/>
              </w:rPr>
              <w:t>部门整体支出绩效自评表</w:t>
            </w:r>
          </w:p>
          <w:p>
            <w:pPr>
              <w:keepNext w:val="0"/>
              <w:keepLines w:val="0"/>
              <w:widowControl/>
              <w:suppressLineNumbers w:val="0"/>
              <w:jc w:val="center"/>
              <w:textAlignment w:val="center"/>
              <w:rPr>
                <w:rFonts w:ascii="方正小标宋_GBK" w:hAnsi="方正小标宋_GBK" w:eastAsia="方正小标宋_GBK" w:cs="方正小标宋_GBK"/>
                <w:i w:val="0"/>
                <w:iCs w:val="0"/>
                <w:color w:val="000000"/>
                <w:sz w:val="36"/>
                <w:szCs w:val="36"/>
                <w:u w:val="none"/>
              </w:rPr>
            </w:pPr>
            <w:r>
              <w:rPr>
                <w:rStyle w:val="21"/>
                <w:lang w:val="en-US" w:eastAsia="zh-CN" w:bidi="ar"/>
              </w:rPr>
              <w:t>（2021年度）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9990" w:type="dxa"/>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13"/>
                <w:szCs w:val="13"/>
                <w:u w:val="none"/>
                <w:lang w:val="en-US" w:eastAsia="zh-CN" w:bidi="ar"/>
              </w:rPr>
            </w:pPr>
            <w:r>
              <w:rPr>
                <w:rFonts w:hint="eastAsia" w:ascii="仿宋_GB2312" w:hAnsi="宋体" w:eastAsia="仿宋_GB2312" w:cs="仿宋_GB2312"/>
                <w:i w:val="0"/>
                <w:iCs w:val="0"/>
                <w:color w:val="000000"/>
                <w:kern w:val="0"/>
                <w:sz w:val="13"/>
                <w:szCs w:val="13"/>
                <w:u w:val="none"/>
                <w:lang w:val="en-US" w:eastAsia="zh-CN" w:bidi="ar"/>
              </w:rPr>
              <w:t>填报单位：镇坪县移民（脱贫）搬迁工作办公室</w:t>
            </w:r>
          </w:p>
          <w:p>
            <w:pPr>
              <w:keepNext w:val="0"/>
              <w:keepLines w:val="0"/>
              <w:widowControl/>
              <w:suppressLineNumbers w:val="0"/>
              <w:jc w:val="left"/>
              <w:textAlignment w:val="center"/>
              <w:rPr>
                <w:rFonts w:hint="default" w:ascii="仿宋_GB2312" w:hAnsi="宋体" w:eastAsia="仿宋_GB2312" w:cs="仿宋_GB2312"/>
                <w:i w:val="0"/>
                <w:iCs w:val="0"/>
                <w:color w:val="000000"/>
                <w:sz w:val="13"/>
                <w:szCs w:val="13"/>
                <w:u w:val="none"/>
                <w:lang w:val="en-US"/>
              </w:rPr>
            </w:pPr>
            <w:r>
              <w:rPr>
                <w:rFonts w:hint="eastAsia" w:ascii="仿宋_GB2312" w:hAnsi="宋体" w:eastAsia="仿宋_GB2312" w:cs="仿宋_GB2312"/>
                <w:i w:val="0"/>
                <w:iCs w:val="0"/>
                <w:color w:val="000000"/>
                <w:kern w:val="0"/>
                <w:sz w:val="13"/>
                <w:szCs w:val="13"/>
                <w:u w:val="none"/>
                <w:lang w:val="en-US" w:eastAsia="zh-CN" w:bidi="ar"/>
              </w:rPr>
              <w:t xml:space="preserve">                                                          自评得分：98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20" w:hRule="atLeast"/>
        </w:trPr>
        <w:tc>
          <w:tcPr>
            <w:tcW w:w="3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13"/>
                <w:szCs w:val="13"/>
                <w:u w:val="none"/>
                <w:lang w:val="en-US" w:eastAsia="zh-CN" w:bidi="ar"/>
              </w:rPr>
              <w:t>（一）简要概述部门职能与职责。</w:t>
            </w:r>
          </w:p>
        </w:tc>
        <w:tc>
          <w:tcPr>
            <w:tcW w:w="60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13"/>
                <w:szCs w:val="13"/>
                <w:u w:val="none"/>
                <w:lang w:val="en-US" w:eastAsia="zh-CN" w:bidi="ar"/>
              </w:rPr>
              <w:t>负责全县移民(脱贫) 搬迁工作的项目编 制、报送、资金争取和计划任务的下达； 负责组织实施全县移 民(脱贫) 搬迁工作； 负责全县移民(脱贫) 搬迁的规划设计、  项目实施、安全保障、检查验收工作；负责全县移民(脱贫)  搬迁专项资金管理和监督使用工作； 负责移民(脱贫) 搬迁的 对外宣传及联络工作； 完成县自然资源局交办的其他工作任务。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3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13"/>
                <w:szCs w:val="13"/>
                <w:u w:val="none"/>
                <w:lang w:val="en-US" w:eastAsia="zh-CN" w:bidi="ar"/>
              </w:rPr>
              <w:t>（二）简要概述部门支出情况，按活动内容分类。</w:t>
            </w:r>
          </w:p>
        </w:tc>
        <w:tc>
          <w:tcPr>
            <w:tcW w:w="60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13"/>
                <w:szCs w:val="13"/>
                <w:u w:val="none"/>
                <w:lang w:val="en-US" w:eastAsia="zh-CN" w:bidi="ar"/>
              </w:rPr>
              <w:t>2021年支出总计1591.62万元，其中：工资福利支出53.74万元，对个人和家庭的补助支出1.65万元，公用经费支出13.71万元，业务专项工作经费支出30.57万元，旧宅基地腾退项目支出1491.95万元。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39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13"/>
                <w:szCs w:val="13"/>
                <w:u w:val="none"/>
              </w:rPr>
            </w:pPr>
            <w:r>
              <w:rPr>
                <w:rFonts w:hint="eastAsia" w:ascii="仿宋_GB2312" w:hAnsi="宋体" w:eastAsia="仿宋_GB2312" w:cs="仿宋_GB2312"/>
                <w:i w:val="0"/>
                <w:iCs w:val="0"/>
                <w:color w:val="000000"/>
                <w:kern w:val="0"/>
                <w:sz w:val="13"/>
                <w:szCs w:val="13"/>
                <w:u w:val="none"/>
                <w:lang w:val="en-US" w:eastAsia="zh-CN" w:bidi="ar"/>
              </w:rPr>
              <w:t>（三）简要概述当年省委省政府下达的重点工作。</w:t>
            </w:r>
          </w:p>
        </w:tc>
        <w:tc>
          <w:tcPr>
            <w:tcW w:w="602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kern w:val="0"/>
                <w:sz w:val="13"/>
                <w:szCs w:val="13"/>
                <w:u w:val="none"/>
                <w:lang w:val="en-US" w:eastAsia="zh-CN" w:bidi="ar"/>
              </w:rPr>
            </w:pPr>
            <w:r>
              <w:rPr>
                <w:rFonts w:hint="eastAsia" w:ascii="楷体_GB2312" w:hAnsi="宋体" w:eastAsia="楷体_GB2312" w:cs="楷体_GB2312"/>
                <w:b/>
                <w:bCs/>
                <w:i w:val="0"/>
                <w:iCs w:val="0"/>
                <w:color w:val="000000"/>
                <w:kern w:val="0"/>
                <w:sz w:val="13"/>
                <w:szCs w:val="13"/>
                <w:u w:val="none"/>
                <w:lang w:val="en-US" w:eastAsia="zh-CN" w:bidi="ar"/>
              </w:rPr>
              <w:t>一级</w:t>
            </w:r>
          </w:p>
          <w:p>
            <w:pPr>
              <w:keepNext w:val="0"/>
              <w:keepLines w:val="0"/>
              <w:widowControl/>
              <w:suppressLineNumbers w:val="0"/>
              <w:jc w:val="center"/>
              <w:textAlignment w:val="center"/>
              <w:rPr>
                <w:rFonts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指标</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kern w:val="0"/>
                <w:sz w:val="13"/>
                <w:szCs w:val="13"/>
                <w:u w:val="none"/>
                <w:lang w:val="en-US" w:eastAsia="zh-CN" w:bidi="ar"/>
              </w:rPr>
            </w:pPr>
            <w:r>
              <w:rPr>
                <w:rFonts w:hint="eastAsia" w:ascii="楷体_GB2312" w:hAnsi="宋体" w:eastAsia="楷体_GB2312" w:cs="楷体_GB2312"/>
                <w:b/>
                <w:bCs/>
                <w:i w:val="0"/>
                <w:iCs w:val="0"/>
                <w:color w:val="000000"/>
                <w:kern w:val="0"/>
                <w:sz w:val="13"/>
                <w:szCs w:val="13"/>
                <w:u w:val="none"/>
                <w:lang w:val="en-US" w:eastAsia="zh-CN" w:bidi="ar"/>
              </w:rPr>
              <w:t>二级</w:t>
            </w:r>
          </w:p>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指标</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三级指标</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分值</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指标说明</w:t>
            </w:r>
          </w:p>
        </w:tc>
        <w:tc>
          <w:tcPr>
            <w:tcW w:w="279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评分标准</w:t>
            </w:r>
          </w:p>
        </w:tc>
        <w:tc>
          <w:tcPr>
            <w:tcW w:w="5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指标值计算公式和数据获取方式</w:t>
            </w:r>
          </w:p>
        </w:tc>
        <w:tc>
          <w:tcPr>
            <w:tcW w:w="6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年初目标值</w:t>
            </w:r>
          </w:p>
        </w:tc>
        <w:tc>
          <w:tcPr>
            <w:tcW w:w="5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实际完成值</w:t>
            </w:r>
          </w:p>
        </w:tc>
        <w:tc>
          <w:tcPr>
            <w:tcW w:w="44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得分</w:t>
            </w:r>
          </w:p>
        </w:tc>
        <w:tc>
          <w:tcPr>
            <w:tcW w:w="510"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未完成原因分析与改进措施</w:t>
            </w:r>
          </w:p>
        </w:tc>
        <w:tc>
          <w:tcPr>
            <w:tcW w:w="621"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b/>
                <w:bCs/>
                <w:i w:val="0"/>
                <w:iCs w:val="0"/>
                <w:color w:val="000000"/>
                <w:sz w:val="13"/>
                <w:szCs w:val="13"/>
                <w:u w:val="none"/>
              </w:rPr>
            </w:pPr>
            <w:r>
              <w:rPr>
                <w:rFonts w:hint="eastAsia" w:ascii="楷体_GB2312" w:hAnsi="宋体" w:eastAsia="楷体_GB2312" w:cs="楷体_GB2312"/>
                <w:b/>
                <w:bCs/>
                <w:i w:val="0"/>
                <w:iCs w:val="0"/>
                <w:color w:val="000000"/>
                <w:kern w:val="0"/>
                <w:sz w:val="13"/>
                <w:szCs w:val="13"/>
                <w:u w:val="none"/>
                <w:lang w:val="en-US" w:eastAsia="zh-CN" w:bidi="ar"/>
              </w:rPr>
              <w:t>绩效指标分析与建议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80"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投入</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预算执行（25分）</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完成率</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（10分）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10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预算完成率=（预算完成数/预算数）×100%，用以反映和考核部门（单位）预算完成程度。</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预算完成数：部门（单位）本年度实际完成的预算数。</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预算数：财政部门批复的本年度部门（单位）预算数。</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预算完成率＝100%的，得10分。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预算完成率≥95%的，得9分。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预算完成率在90%（含）和95%之间，得8分。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预算完成率在85%（含）和90%之间，得7分。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预算完成率在80%（含）和85%之间，得6分。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预算完成率在70%（含）和80%之间，得4分。</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预算完成率＜70%的，得0分。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10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6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楷体_GB2312" w:hAnsi="宋体" w:eastAsia="楷体_GB2312" w:cs="楷体_GB2312"/>
                <w:i w:val="0"/>
                <w:iCs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预算调整率</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预算调整率=（预算调整数/预算数）×100%，用以反映和考核部门（单位）预算的调整程度。</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预算调整数：部门（单位）在本年度内涉及预算的追加、追减或结构调整的资金总和（因落实国家政策、发生不可抗力、上级部门或本级党委政府临时交办而产生的调整除外）。</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预算包括一般公共预算与政府性基金预算。</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预算调整率绝对值≤5%，得5分。</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预算调整率绝对值＞5%的，每增加0.1个百分点扣0.1分，扣完为止。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lang w:val="en-US" w:eastAsia="zh-CN"/>
              </w:rPr>
            </w:pPr>
            <w:r>
              <w:rPr>
                <w:rFonts w:hint="eastAsia" w:ascii="楷体_GB2312" w:hAnsi="宋体" w:eastAsia="楷体_GB2312" w:cs="楷体_GB2312"/>
                <w:i w:val="0"/>
                <w:iCs w:val="0"/>
                <w:color w:val="000000"/>
                <w:sz w:val="13"/>
                <w:szCs w:val="13"/>
                <w:u w:val="none"/>
                <w:lang w:val="en-US" w:eastAsia="zh-CN"/>
              </w:rPr>
              <w:t>2</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楷体_GB2312" w:hAnsi="宋体" w:eastAsia="楷体_GB2312" w:cs="楷体_GB2312"/>
                <w:i w:val="0"/>
                <w:iCs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支出进度率</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支出进度率=（实际支出/支出预算）×100%，用以反映和考核部门（单位）预算执行的及时性和均衡性程度。</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半年支出进度＝部门上半年实际支出/（上年结余结转+本年部门预算安排+上半年执行中追加追减）*100%。</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前三季度支出进度＝部门前三季度实际支出/（上年结余结转+本年部门预算安排+前三季度执行中追加追减）*100%。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半年进度：进度率≥45%，得2分；进度率在40%（含）和45%之间，得1分；进度率＜40%，得0分。</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前三季度进度：进度率≥75%，得3分；进度率在60%（含）和75%之间，得2分；进度率＜60%，得0分。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3</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8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楷体_GB2312" w:hAnsi="宋体" w:eastAsia="楷体_GB2312" w:cs="楷体_GB2312"/>
                <w:i w:val="0"/>
                <w:iCs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预算编制准确率（5分）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部门预算中除财政拨款外的其他收入预算与决算差异率。</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预算编制准确率＝其他收入决算数/其他收入预算数×100%-100%。</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预算编制准确率≤20%，得5分。</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预算编制准确率在20%和40%（含）之间，得3分。</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预算编制准确率＞40%，得0分。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3"/>
                <w:szCs w:val="13"/>
                <w:u w:val="none"/>
              </w:rPr>
            </w:pPr>
            <w:r>
              <w:rPr>
                <w:rFonts w:hint="eastAsia" w:ascii="宋体" w:hAnsi="宋体" w:eastAsia="宋体" w:cs="宋体"/>
                <w:i w:val="0"/>
                <w:iCs w:val="0"/>
                <w:color w:val="000000"/>
                <w:kern w:val="0"/>
                <w:sz w:val="13"/>
                <w:szCs w:val="13"/>
                <w:u w:val="none"/>
                <w:lang w:val="en-US" w:eastAsia="zh-CN" w:bidi="ar"/>
              </w:rPr>
              <w:t>无其他收入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0"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过程</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预算管理（15分）</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“三公经费”控制率</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“三公经费”控制率=（“三公经费”实际支出数/“三公经费”预算安排数）×100%，用以反映和考核部门（单位）对“三公经费”的实际控制程度。</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“三公经费”控制率 ≤100%，得5分，每增加0.1个百分点扣0.5分，扣完为止。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楷体_GB2312" w:hAnsi="宋体" w:eastAsia="楷体_GB2312" w:cs="楷体_GB2312"/>
                <w:i w:val="0"/>
                <w:iCs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资产管理规范性</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部门（单位）资产管理是否规范，用以反映和考核部门（单位）资产管理情况。</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1.新增资产配置按预算执行。</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2.资产有偿使用、处置按规定程序审批。</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3.资产收益及时、足额上缴财政。</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全部符合5分，有1项不符扣2分,扣完为止。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0" w:hRule="atLeast"/>
        </w:trPr>
        <w:tc>
          <w:tcPr>
            <w:tcW w:w="531" w:type="dxa"/>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过程</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预算管理（15分）</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资金使用合规性</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部门（单位）使用预算资金是否符合相关的预算财务管理制度的规定，用以反映和考核部门（单位）预算资金的规范运行情况。</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1.符合国家财经法规和财务管理制度规定以及有关专项资金管理办法的规定；</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2.资金的拨付有完整的审批程序和手续；</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3.重大项目开支经过评估论证；</w:t>
            </w:r>
          </w:p>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4.符合部门预算批复的用途；</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5.不存在截留、挤占、挪用、虚列支出等情况。</w:t>
            </w:r>
          </w:p>
        </w:tc>
        <w:tc>
          <w:tcPr>
            <w:tcW w:w="27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全部符合5分,有1项不符扣2分。</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5</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40" w:hRule="atLeast"/>
        </w:trPr>
        <w:tc>
          <w:tcPr>
            <w:tcW w:w="531" w:type="dxa"/>
            <w:vMerge w:val="restart"/>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效果</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履职尽责（60分）</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项目产出</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（40分）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40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2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1.若为定性指标，根据“三档”原则分别按照指标分值的100-80%（含）、80-50%（含）、50-10%来记分；</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40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trPr>
        <w:tc>
          <w:tcPr>
            <w:tcW w:w="531" w:type="dxa"/>
            <w:vMerge w:val="continue"/>
            <w:tcBorders>
              <w:top w:val="single" w:color="000000" w:sz="4" w:space="0"/>
              <w:left w:val="single" w:color="000000" w:sz="4" w:space="0"/>
              <w:bottom w:val="single" w:color="000000" w:sz="4" w:space="0"/>
              <w:right w:val="single" w:color="000000" w:sz="4" w:space="0"/>
            </w:tcBorders>
            <w:shd w:val="clear" w:color="auto" w:fill="auto"/>
            <w:noWrap/>
            <w:textDirection w:val="tbRlV"/>
            <w:vAlign w:val="center"/>
          </w:tcPr>
          <w:p>
            <w:pPr>
              <w:jc w:val="center"/>
              <w:rPr>
                <w:rFonts w:hint="eastAsia" w:ascii="楷体_GB2312" w:hAnsi="宋体" w:eastAsia="楷体_GB2312" w:cs="楷体_GB2312"/>
                <w:i w:val="0"/>
                <w:iCs w:val="0"/>
                <w:color w:val="000000"/>
                <w:sz w:val="13"/>
                <w:szCs w:val="13"/>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楷体_GB2312" w:hAnsi="宋体" w:eastAsia="楷体_GB2312" w:cs="楷体_GB2312"/>
                <w:i w:val="0"/>
                <w:iCs w:val="0"/>
                <w:color w:val="000000"/>
                <w:sz w:val="13"/>
                <w:szCs w:val="13"/>
                <w:u w:val="none"/>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kern w:val="0"/>
                <w:sz w:val="13"/>
                <w:szCs w:val="13"/>
                <w:u w:val="none"/>
                <w:lang w:val="en-US" w:eastAsia="zh-CN" w:bidi="ar"/>
              </w:rPr>
            </w:pPr>
            <w:r>
              <w:rPr>
                <w:rFonts w:hint="eastAsia" w:ascii="楷体_GB2312" w:hAnsi="宋体" w:eastAsia="楷体_GB2312" w:cs="楷体_GB2312"/>
                <w:i w:val="0"/>
                <w:iCs w:val="0"/>
                <w:color w:val="000000"/>
                <w:kern w:val="0"/>
                <w:sz w:val="13"/>
                <w:szCs w:val="13"/>
                <w:u w:val="none"/>
                <w:lang w:val="en-US" w:eastAsia="zh-CN" w:bidi="ar"/>
              </w:rPr>
              <w:t>项目效益</w:t>
            </w:r>
          </w:p>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（20分）</w:t>
            </w:r>
          </w:p>
        </w:tc>
        <w:tc>
          <w:tcPr>
            <w:tcW w:w="4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20</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楷体_GB2312" w:hAnsi="宋体" w:eastAsia="楷体_GB2312" w:cs="楷体_GB2312"/>
                <w:i w:val="0"/>
                <w:iCs w:val="0"/>
                <w:color w:val="000000"/>
                <w:sz w:val="13"/>
                <w:szCs w:val="13"/>
                <w:u w:val="none"/>
              </w:rPr>
            </w:pPr>
          </w:p>
        </w:tc>
        <w:tc>
          <w:tcPr>
            <w:tcW w:w="2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楷体_GB2312" w:hAnsi="宋体" w:eastAsia="楷体_GB2312" w:cs="楷体_GB2312"/>
                <w:i w:val="0"/>
                <w:iCs w:val="0"/>
                <w:color w:val="000000"/>
                <w:sz w:val="13"/>
                <w:szCs w:val="13"/>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楷体_GB2312" w:hAnsi="宋体" w:eastAsia="楷体_GB2312" w:cs="楷体_GB2312"/>
                <w:i w:val="0"/>
                <w:iCs w:val="0"/>
                <w:color w:val="000000"/>
                <w:sz w:val="13"/>
                <w:szCs w:val="13"/>
                <w:u w:val="none"/>
              </w:rPr>
            </w:pPr>
          </w:p>
        </w:tc>
        <w:tc>
          <w:tcPr>
            <w:tcW w:w="6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楷体_GB2312" w:hAnsi="宋体" w:eastAsia="楷体_GB2312" w:cs="楷体_GB2312"/>
                <w:i w:val="0"/>
                <w:iCs w:val="0"/>
                <w:color w:val="000000"/>
                <w:sz w:val="13"/>
                <w:szCs w:val="13"/>
                <w:u w:val="none"/>
              </w:rPr>
            </w:pPr>
            <w:r>
              <w:rPr>
                <w:rFonts w:hint="eastAsia" w:ascii="楷体_GB2312" w:hAnsi="宋体" w:eastAsia="楷体_GB2312" w:cs="楷体_GB2312"/>
                <w:i w:val="0"/>
                <w:iCs w:val="0"/>
                <w:color w:val="000000"/>
                <w:kern w:val="0"/>
                <w:sz w:val="13"/>
                <w:szCs w:val="13"/>
                <w:u w:val="none"/>
                <w:lang w:val="en-US" w:eastAsia="zh-CN" w:bidi="ar"/>
              </w:rPr>
              <w:t>20</w:t>
            </w:r>
          </w:p>
        </w:tc>
        <w:tc>
          <w:tcPr>
            <w:tcW w:w="5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c>
          <w:tcPr>
            <w:tcW w:w="6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0" w:hRule="atLeast"/>
        </w:trPr>
        <w:tc>
          <w:tcPr>
            <w:tcW w:w="9990" w:type="dxa"/>
            <w:gridSpan w:val="12"/>
            <w:tcBorders>
              <w:top w:val="nil"/>
              <w:left w:val="nil"/>
              <w:bottom w:val="nil"/>
              <w:right w:val="nil"/>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t>备注：1.“项目产出”和“项目效果”直接细化成部门年初绩效目标中的指标，并根据重要程度赋权。</w:t>
            </w:r>
          </w:p>
          <w:p>
            <w:pPr>
              <w:keepNext w:val="0"/>
              <w:keepLines w:val="0"/>
              <w:widowControl/>
              <w:suppressLineNumbers w:val="0"/>
              <w:jc w:val="left"/>
              <w:textAlignment w:val="top"/>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000000"/>
          <w:kern w:val="0"/>
          <w:sz w:val="44"/>
          <w:szCs w:val="44"/>
        </w:rPr>
        <w:t>第四部分 专业名词解释</w:t>
      </w:r>
    </w:p>
    <w:p>
      <w:pPr>
        <w:ind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0" w:firstLineChars="200"/>
        <w:rPr>
          <w:rFonts w:ascii="仿宋_GB2312" w:hAnsi="仿宋_GB2312" w:eastAsia="仿宋_GB2312" w:cs="仿宋_GB2312"/>
          <w:sz w:val="32"/>
          <w:szCs w:val="32"/>
        </w:rPr>
      </w:pPr>
      <w:r>
        <w:rPr>
          <w:rFonts w:hint="eastAsia" w:ascii="楷体" w:hAnsi="楷体" w:eastAsia="楷体" w:cs="楷体"/>
          <w:b w:val="0"/>
          <w:bCs w:val="0"/>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楷体" w:hAnsi="楷体" w:eastAsia="楷体" w:cs="楷体"/>
          <w:b w:val="0"/>
          <w:bCs w:val="0"/>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楷体" w:hAnsi="楷体" w:eastAsia="楷体" w:cs="楷体"/>
          <w:b w:val="0"/>
          <w:bCs w:val="0"/>
          <w:sz w:val="32"/>
          <w:szCs w:val="32"/>
        </w:rPr>
        <w:t>4.财政拨款收入：</w:t>
      </w:r>
      <w:r>
        <w:rPr>
          <w:rFonts w:hint="eastAsia" w:ascii="仿宋_GB2312" w:hAnsi="仿宋_GB2312" w:eastAsia="仿宋_GB2312" w:cs="仿宋_GB2312"/>
          <w:sz w:val="32"/>
          <w:szCs w:val="32"/>
        </w:rPr>
        <w:t>指本级财政当年拨付的资金。</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5.公用经费：</w:t>
      </w:r>
      <w:r>
        <w:rPr>
          <w:rFonts w:hint="eastAsia" w:ascii="仿宋_GB2312" w:hAnsi="仿宋_GB2312" w:eastAsia="仿宋_GB2312" w:cs="仿宋_GB2312"/>
          <w:sz w:val="32"/>
          <w:szCs w:val="32"/>
          <w:lang w:val="en-US" w:eastAsia="zh-CN"/>
        </w:rPr>
        <w:t>指为完成特定的行政工作任务或事业发展目标用于设备设施的维持性费用支出，以及直接用于公务活动的支出，具体包括公务费、业务费、修缮费、设备购置费、其他费用等。</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6.工资福利支出：</w:t>
      </w:r>
      <w:r>
        <w:rPr>
          <w:rFonts w:hint="eastAsia" w:ascii="仿宋_GB2312" w:hAnsi="仿宋_GB2312" w:eastAsia="仿宋_GB2312" w:cs="仿宋_GB2312"/>
          <w:sz w:val="32"/>
          <w:szCs w:val="32"/>
          <w:lang w:val="en-US" w:eastAsia="zh-CN"/>
        </w:rPr>
        <w:t>反映开支的在职职工和编制外长期聘用人员的各类劳动报酬，以及上述人员缴纳的各项社会保险费等。</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7.结转资金</w:t>
      </w:r>
      <w:r>
        <w:rPr>
          <w:rFonts w:hint="eastAsia" w:ascii="仿宋_GB2312" w:hAnsi="仿宋_GB2312" w:eastAsia="仿宋_GB2312" w:cs="仿宋_GB2312"/>
          <w:sz w:val="32"/>
          <w:szCs w:val="32"/>
          <w:lang w:val="en-US" w:eastAsia="zh-CN"/>
        </w:rPr>
        <w:t>：即当年预算已执行但未完成，或者因故未执行，下一年度需要按原用途继续使用的资金。</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b w:val="0"/>
          <w:bCs w:val="0"/>
          <w:sz w:val="32"/>
          <w:szCs w:val="32"/>
          <w:lang w:val="en-US" w:eastAsia="zh-CN"/>
        </w:rPr>
        <w:t>8.结余资金</w:t>
      </w:r>
      <w:r>
        <w:rPr>
          <w:rFonts w:hint="eastAsia" w:ascii="仿宋_GB2312" w:hAnsi="仿宋_GB2312" w:eastAsia="仿宋_GB2312" w:cs="仿宋_GB2312"/>
          <w:sz w:val="32"/>
          <w:szCs w:val="32"/>
          <w:lang w:val="en-US" w:eastAsia="zh-CN"/>
        </w:rPr>
        <w:t>：即当年预算工作目标已完成，或者因故终止，当年剩余的资金。</w:t>
      </w:r>
    </w:p>
    <w:sectPr>
      <w:pgSz w:w="11906" w:h="16838"/>
      <w:pgMar w:top="1440" w:right="1080" w:bottom="1440" w:left="1080" w:header="851" w:footer="992" w:gutter="0"/>
      <w:pgNumType w:fmt="decimal" w:start="1"/>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7A"/>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仿宋">
    <w:altName w:val="微软雅黑"/>
    <w:panose1 w:val="02010609060101010101"/>
    <w:charset w:val="7A"/>
    <w:family w:val="auto"/>
    <w:pitch w:val="default"/>
    <w:sig w:usb0="00000000" w:usb1="00000000" w:usb2="00000016" w:usb3="00000000" w:csb0="00040001" w:csb1="00000000"/>
  </w:font>
  <w:font w:name="方正小标宋简体">
    <w:panose1 w:val="02000000000000000000"/>
    <w:charset w:val="7A"/>
    <w:family w:val="auto"/>
    <w:pitch w:val="default"/>
    <w:sig w:usb0="A00002BF" w:usb1="184F6CFA" w:usb2="00000012" w:usb3="00000000" w:csb0="00040001" w:csb1="00000000"/>
  </w:font>
  <w:font w:name="楷体">
    <w:altName w:val="方正楷体_GBK"/>
    <w:panose1 w:val="02010609060101010101"/>
    <w:charset w:val="7A"/>
    <w:family w:val="auto"/>
    <w:pitch w:val="default"/>
    <w:sig w:usb0="00000000" w:usb1="00000000"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7A"/>
    <w:family w:val="auto"/>
    <w:pitch w:val="default"/>
    <w:sig w:usb0="00000001" w:usb1="080E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clear" w:pos="4153"/>
        <w:tab w:val="clear" w:pos="8306"/>
      </w:tabs>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r>
      <w:rPr>
        <w:rFonts w:ascii="Calibri" w:hAnsi="Calibri" w:eastAsia="宋体" w:cs="黑体"/>
        <w:kern w:val="2"/>
        <w:sz w:val="18"/>
        <w:szCs w:val="24"/>
        <w:lang w:val="en-US" w:eastAsia="zh-CN" w:bidi="ar-SA"/>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049" name="Image1"/>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6"/>
                            <w:tabs>
                              <w:tab w:val="clear" w:pos="4153"/>
                              <w:tab w:val="clear" w:pos="8306"/>
                            </w:tabs>
                          </w:pPr>
                        </w:p>
                      </w:txbxContent>
                    </wps:txbx>
                    <wps:bodyPr wrap="none" lIns="0" tIns="0" rIns="0" bIns="0" upright="true">
                      <a:spAutoFit/>
                    </wps:bodyPr>
                  </wps:wsp>
                </a:graphicData>
              </a:graphic>
            </wp:anchor>
          </w:drawing>
        </mc:Choice>
        <mc:Fallback>
          <w:pict>
            <v:rect id="Image1"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5dblS0AAAAAUBAAAPAAAAAAAAAAEAIAAA&#10;ADgAAABkcnMvZG93bnJldi54bWxQSwECFAAUAAAACACHTuJAPopAaYwBAAAfAwAADgAAAAAAAAAB&#10;ACAAAAA1AQAAZHJzL2Uyb0RvYy54bWxQSwUGAAAAAAYABgBZAQAAMwUAAAAA&#10;">
              <v:fill on="f" focussize="0,0"/>
              <v:stroke on="f"/>
              <v:imagedata o:title=""/>
              <o:lock v:ext="edit" aspectratio="f"/>
              <v:textbox inset="0mm,0mm,0mm,0mm" style="mso-fit-shape-to-text:t;">
                <w:txbxContent>
                  <w:p>
                    <w:pPr>
                      <w:pStyle w:val="6"/>
                      <w:tabs>
                        <w:tab w:val="clear" w:pos="4153"/>
                        <w:tab w:val="clear" w:pos="8306"/>
                      </w:tabs>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bidi w:val="0"/>
    </w:pPr>
    <w:r>
      <w:rPr>
        <w:lang w:val="en-US" w:eastAsia="zh-CN"/>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669290" cy="168275"/>
              <wp:effectExtent l="0" t="0" r="0" b="0"/>
              <wp:wrapNone/>
              <wp:docPr id="2050" name="Image1"/>
              <wp:cNvGraphicFramePr/>
              <a:graphic xmlns:a="http://schemas.openxmlformats.org/drawingml/2006/main">
                <a:graphicData uri="http://schemas.microsoft.com/office/word/2010/wordprocessingShape">
                  <wps:wsp>
                    <wps:cNvSpPr/>
                    <wps:spPr>
                      <a:xfrm>
                        <a:off x="0" y="0"/>
                        <a:ext cx="669289" cy="168275"/>
                      </a:xfrm>
                      <a:prstGeom prst="rect">
                        <a:avLst/>
                      </a:prstGeom>
                    </wps:spPr>
                    <wps:txbx>
                      <w:txbxContent>
                        <w:p>
                          <w:pPr>
                            <w:pStyle w:val="6"/>
                            <w:tabs>
                              <w:tab w:val="clear" w:pos="4153"/>
                              <w:tab w:val="clear" w:pos="8306"/>
                            </w:tabs>
                            <w:rPr>
                              <w:rFonts w:hint="eastAsia" w:eastAsia="宋体"/>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31</w:t>
                          </w:r>
                          <w:r>
                            <w:rPr>
                              <w:rFonts w:hint="eastAsia" w:ascii="宋体" w:hAnsi="宋体" w:eastAsia="宋体" w:cs="宋体"/>
                              <w:sz w:val="24"/>
                              <w:szCs w:val="24"/>
                              <w:lang w:eastAsia="zh-CN"/>
                            </w:rPr>
                            <w:t>—</w:t>
                          </w:r>
                        </w:p>
                      </w:txbxContent>
                    </wps:txbx>
                    <wps:bodyPr wrap="square" lIns="0" tIns="0" rIns="0" bIns="0" upright="true"/>
                  </wps:wsp>
                </a:graphicData>
              </a:graphic>
            </wp:anchor>
          </w:drawing>
        </mc:Choice>
        <mc:Fallback>
          <w:pict>
            <v:rect id="Image1" o:spid="_x0000_s1026" o:spt="1" style="position:absolute;left:0pt;margin-top:0pt;height:13.25pt;width:52.7pt;mso-position-horizontal:center;mso-position-horizontal-relative:margin;z-index:251660288;mso-width-relative:page;mso-height-relative:page;" filled="f" stroked="f" coordsize="21600,21600" o:gfxdata="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WAAAAZHJzL1BLAQIUABQAAAAIAIdO4kCiUzq91gAAAAQBAAAPAAAAAAAAAAEAIAAA&#10;ADgAAABkcnMvZG93bnJldi54bWxQSwECFAAUAAAACACHTuJArpRCDoYBAAAFAwAADgAAAAAAAAAB&#10;ACAAAAA7AQAAZHJzL2Uyb0RvYy54bWxQSwUGAAAAAAYABgBZAQAAMwUAAAAA&#10;">
              <v:fill on="f" focussize="0,0"/>
              <v:stroke on="f"/>
              <v:imagedata o:title=""/>
              <o:lock v:ext="edit" aspectratio="f"/>
              <v:textbox inset="0mm,0mm,0mm,0mm">
                <w:txbxContent>
                  <w:p>
                    <w:pPr>
                      <w:pStyle w:val="6"/>
                      <w:tabs>
                        <w:tab w:val="clear" w:pos="4153"/>
                        <w:tab w:val="clear" w:pos="8306"/>
                      </w:tabs>
                      <w:rPr>
                        <w:rFonts w:hint="eastAsia" w:eastAsia="宋体"/>
                        <w:lang w:eastAsia="zh-CN"/>
                      </w:rPr>
                    </w:pPr>
                    <w:r>
                      <w:rPr>
                        <w:rFonts w:hint="eastAsia" w:ascii="宋体" w:hAnsi="宋体" w:eastAsia="宋体" w:cs="宋体"/>
                        <w:sz w:val="24"/>
                        <w:szCs w:val="24"/>
                        <w:lang w:eastAsia="zh-CN"/>
                      </w:rPr>
                      <w:t>—</w:t>
                    </w:r>
                    <w:r>
                      <w:rPr>
                        <w:rFonts w:hint="eastAsia" w:ascii="宋体" w:hAnsi="宋体" w:cs="宋体"/>
                        <w:sz w:val="24"/>
                        <w:szCs w:val="24"/>
                        <w:lang w:val="en-US" w:eastAsia="zh-CN"/>
                      </w:rPr>
                      <w:t>31</w:t>
                    </w:r>
                    <w:r>
                      <w:rPr>
                        <w:rFonts w:hint="eastAsia" w:ascii="宋体" w:hAnsi="宋体" w:eastAsia="宋体" w:cs="宋体"/>
                        <w:sz w:val="24"/>
                        <w:szCs w:val="24"/>
                        <w:lang w:eastAsia="zh-CN"/>
                      </w:rPr>
                      <w:t>—</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DA8997"/>
    <w:multiLevelType w:val="singleLevel"/>
    <w:tmpl w:val="B0DA8997"/>
    <w:lvl w:ilvl="0" w:tentative="0">
      <w:start w:val="2"/>
      <w:numFmt w:val="chineseCounting"/>
      <w:suff w:val="space"/>
      <w:lvlText w:val="第%1部分"/>
      <w:lvlJc w:val="left"/>
      <w:rPr>
        <w:rFonts w:hint="eastAsia"/>
      </w:rPr>
    </w:lvl>
  </w:abstractNum>
  <w:abstractNum w:abstractNumId="1">
    <w:nsid w:val="CAE12284"/>
    <w:multiLevelType w:val="singleLevel"/>
    <w:tmpl w:val="CAE12284"/>
    <w:lvl w:ilvl="0" w:tentative="0">
      <w:start w:val="2"/>
      <w:numFmt w:val="chineseCounting"/>
      <w:suff w:val="nothing"/>
      <w:lvlText w:val="%1、"/>
      <w:lvlJc w:val="left"/>
      <w:pPr>
        <w:ind w:left="410"/>
      </w:pPr>
      <w:rPr>
        <w:rFonts w:hint="eastAsia"/>
      </w:rPr>
    </w:lvl>
  </w:abstractNum>
  <w:abstractNum w:abstractNumId="2">
    <w:nsid w:val="D69E9507"/>
    <w:multiLevelType w:val="singleLevel"/>
    <w:tmpl w:val="D69E9507"/>
    <w:lvl w:ilvl="0" w:tentative="0">
      <w:start w:val="2"/>
      <w:numFmt w:val="decimal"/>
      <w:suff w:val="nothing"/>
      <w:lvlText w:val="%1、"/>
      <w:lvlJc w:val="left"/>
    </w:lvl>
  </w:abstractNum>
  <w:abstractNum w:abstractNumId="3">
    <w:nsid w:val="00000000"/>
    <w:multiLevelType w:val="singleLevel"/>
    <w:tmpl w:val="00000000"/>
    <w:lvl w:ilvl="0" w:tentative="0">
      <w:start w:val="8"/>
      <w:numFmt w:val="chineseCounting"/>
      <w:suff w:val="nothing"/>
      <w:lvlText w:val="%1、"/>
      <w:lvlJc w:val="left"/>
      <w:rPr>
        <w:rFonts w:hint="eastAsia"/>
      </w:rPr>
    </w:lvl>
  </w:abstractNum>
  <w:abstractNum w:abstractNumId="4">
    <w:nsid w:val="375B3125"/>
    <w:multiLevelType w:val="singleLevel"/>
    <w:tmpl w:val="375B3125"/>
    <w:lvl w:ilvl="0" w:tentative="0">
      <w:start w:val="2"/>
      <w:numFmt w:val="chineseCounting"/>
      <w:suff w:val="nothing"/>
      <w:lvlText w:val="（%1）"/>
      <w:lvlJc w:val="left"/>
      <w:rPr>
        <w:rFonts w:hint="eastAsia"/>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false"/>
  <w:bordersDoNotSurroundFooter w:val="false"/>
  <w:doNotTrackMoves/>
  <w:doNotTrackFormatting/>
  <w:documentProtection w:enforcement="0"/>
  <w:defaultTabStop w:val="420"/>
  <w:drawingGridHorizontalSpacing w:val="105"/>
  <w:drawingGridVerticalSpacing w:val="31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mmondata" w:val="eyJoZGlkIjoiZmU5ZjRhN2MxYjlkYTZjZmQwZWRjNmNjZTBiYjI4OTkifQ=="/>
  </w:docVars>
  <w:rsids>
    <w:rsidRoot w:val="00172A27"/>
    <w:rsid w:val="002507D7"/>
    <w:rsid w:val="00425A1B"/>
    <w:rsid w:val="007B18C3"/>
    <w:rsid w:val="00A87F74"/>
    <w:rsid w:val="00AB4DC7"/>
    <w:rsid w:val="00C11035"/>
    <w:rsid w:val="00CC063B"/>
    <w:rsid w:val="00E84814"/>
    <w:rsid w:val="01001B5E"/>
    <w:rsid w:val="010D6029"/>
    <w:rsid w:val="011C44BE"/>
    <w:rsid w:val="012375FA"/>
    <w:rsid w:val="014D4677"/>
    <w:rsid w:val="01F744CB"/>
    <w:rsid w:val="021653B1"/>
    <w:rsid w:val="023C6E43"/>
    <w:rsid w:val="0250441F"/>
    <w:rsid w:val="027A5940"/>
    <w:rsid w:val="02C866AB"/>
    <w:rsid w:val="02D45050"/>
    <w:rsid w:val="02DB623C"/>
    <w:rsid w:val="02E01C47"/>
    <w:rsid w:val="030A6CC4"/>
    <w:rsid w:val="03646251"/>
    <w:rsid w:val="03795BF7"/>
    <w:rsid w:val="03B849C6"/>
    <w:rsid w:val="03DF7736"/>
    <w:rsid w:val="03EC63C9"/>
    <w:rsid w:val="04367267"/>
    <w:rsid w:val="04533DF5"/>
    <w:rsid w:val="04A62A1C"/>
    <w:rsid w:val="04B30C95"/>
    <w:rsid w:val="04BF5DB3"/>
    <w:rsid w:val="04E13A54"/>
    <w:rsid w:val="04EA2051"/>
    <w:rsid w:val="04FF037E"/>
    <w:rsid w:val="050717A7"/>
    <w:rsid w:val="057A67A6"/>
    <w:rsid w:val="05A0746B"/>
    <w:rsid w:val="05A36F5B"/>
    <w:rsid w:val="06063B65"/>
    <w:rsid w:val="06191786"/>
    <w:rsid w:val="06BA455D"/>
    <w:rsid w:val="072E0AA7"/>
    <w:rsid w:val="073562D9"/>
    <w:rsid w:val="075A189C"/>
    <w:rsid w:val="079619F9"/>
    <w:rsid w:val="07BE1E2B"/>
    <w:rsid w:val="07C37441"/>
    <w:rsid w:val="07D96C64"/>
    <w:rsid w:val="07ED2710"/>
    <w:rsid w:val="085B1D6F"/>
    <w:rsid w:val="086F1377"/>
    <w:rsid w:val="08762705"/>
    <w:rsid w:val="09064843"/>
    <w:rsid w:val="09410F65"/>
    <w:rsid w:val="098715D9"/>
    <w:rsid w:val="098C7BBC"/>
    <w:rsid w:val="098D1C23"/>
    <w:rsid w:val="09A3577C"/>
    <w:rsid w:val="09AD65FB"/>
    <w:rsid w:val="09C63218"/>
    <w:rsid w:val="09C95C43"/>
    <w:rsid w:val="09DC0C8E"/>
    <w:rsid w:val="09E5057B"/>
    <w:rsid w:val="09E85885"/>
    <w:rsid w:val="09F935EE"/>
    <w:rsid w:val="0A033725"/>
    <w:rsid w:val="0A1E4E03"/>
    <w:rsid w:val="0A391C3C"/>
    <w:rsid w:val="0A9450C5"/>
    <w:rsid w:val="0AA55524"/>
    <w:rsid w:val="0AB47515"/>
    <w:rsid w:val="0AD11E48"/>
    <w:rsid w:val="0AFD2C6A"/>
    <w:rsid w:val="0B0264D2"/>
    <w:rsid w:val="0B0C55A3"/>
    <w:rsid w:val="0B116715"/>
    <w:rsid w:val="0B5061CE"/>
    <w:rsid w:val="0B7D3DAB"/>
    <w:rsid w:val="0B8D0492"/>
    <w:rsid w:val="0BD95485"/>
    <w:rsid w:val="0BF7590B"/>
    <w:rsid w:val="0C030754"/>
    <w:rsid w:val="0C152235"/>
    <w:rsid w:val="0C2801BA"/>
    <w:rsid w:val="0C48260B"/>
    <w:rsid w:val="0C5C1C12"/>
    <w:rsid w:val="0C915D60"/>
    <w:rsid w:val="0D1C7E16"/>
    <w:rsid w:val="0D307327"/>
    <w:rsid w:val="0E083E00"/>
    <w:rsid w:val="0EB07750"/>
    <w:rsid w:val="0EC50D62"/>
    <w:rsid w:val="0EC76A66"/>
    <w:rsid w:val="0EDE1719"/>
    <w:rsid w:val="0F015926"/>
    <w:rsid w:val="0F264E85"/>
    <w:rsid w:val="0F713AD3"/>
    <w:rsid w:val="0FDA7A1E"/>
    <w:rsid w:val="0FEE5277"/>
    <w:rsid w:val="101822F4"/>
    <w:rsid w:val="10211644"/>
    <w:rsid w:val="10A5627E"/>
    <w:rsid w:val="10FE14EA"/>
    <w:rsid w:val="1118180F"/>
    <w:rsid w:val="1118351C"/>
    <w:rsid w:val="111B02EE"/>
    <w:rsid w:val="113E5D8A"/>
    <w:rsid w:val="114448D3"/>
    <w:rsid w:val="11477335"/>
    <w:rsid w:val="11585FBF"/>
    <w:rsid w:val="11592BC4"/>
    <w:rsid w:val="11904D01"/>
    <w:rsid w:val="11B322D4"/>
    <w:rsid w:val="12010D40"/>
    <w:rsid w:val="123963DD"/>
    <w:rsid w:val="125735A8"/>
    <w:rsid w:val="12BE7183"/>
    <w:rsid w:val="12D76496"/>
    <w:rsid w:val="12DB5F87"/>
    <w:rsid w:val="13037577"/>
    <w:rsid w:val="13051255"/>
    <w:rsid w:val="139525D9"/>
    <w:rsid w:val="13BB7B66"/>
    <w:rsid w:val="141E6988"/>
    <w:rsid w:val="14432035"/>
    <w:rsid w:val="1456499F"/>
    <w:rsid w:val="147A357D"/>
    <w:rsid w:val="14E47E9A"/>
    <w:rsid w:val="14F72A26"/>
    <w:rsid w:val="15125C0F"/>
    <w:rsid w:val="153656F6"/>
    <w:rsid w:val="15543DCE"/>
    <w:rsid w:val="15604521"/>
    <w:rsid w:val="15654209"/>
    <w:rsid w:val="157B75AD"/>
    <w:rsid w:val="15B351E1"/>
    <w:rsid w:val="16461969"/>
    <w:rsid w:val="16640041"/>
    <w:rsid w:val="168625EE"/>
    <w:rsid w:val="16995CAE"/>
    <w:rsid w:val="16A13043"/>
    <w:rsid w:val="16DC407B"/>
    <w:rsid w:val="16F13FCB"/>
    <w:rsid w:val="16F33AD5"/>
    <w:rsid w:val="17066FFE"/>
    <w:rsid w:val="173E691F"/>
    <w:rsid w:val="177A23B4"/>
    <w:rsid w:val="177E5132"/>
    <w:rsid w:val="17935082"/>
    <w:rsid w:val="183103F7"/>
    <w:rsid w:val="184E0FA9"/>
    <w:rsid w:val="186E51A7"/>
    <w:rsid w:val="187C78C4"/>
    <w:rsid w:val="18A961DF"/>
    <w:rsid w:val="18E67433"/>
    <w:rsid w:val="18F002B2"/>
    <w:rsid w:val="193006AE"/>
    <w:rsid w:val="19302372"/>
    <w:rsid w:val="196B7938"/>
    <w:rsid w:val="197467ED"/>
    <w:rsid w:val="19E75211"/>
    <w:rsid w:val="19F85670"/>
    <w:rsid w:val="1A0E2A87"/>
    <w:rsid w:val="1AA41354"/>
    <w:rsid w:val="1BAD4238"/>
    <w:rsid w:val="1BCD0437"/>
    <w:rsid w:val="1BFB4FA4"/>
    <w:rsid w:val="1C1077D7"/>
    <w:rsid w:val="1C1D316C"/>
    <w:rsid w:val="1C69015F"/>
    <w:rsid w:val="1C7C73CC"/>
    <w:rsid w:val="1C952CD4"/>
    <w:rsid w:val="1CA10B36"/>
    <w:rsid w:val="1CA7512B"/>
    <w:rsid w:val="1D1525D1"/>
    <w:rsid w:val="1D392A17"/>
    <w:rsid w:val="1D7C2114"/>
    <w:rsid w:val="1D8334A3"/>
    <w:rsid w:val="1D84721B"/>
    <w:rsid w:val="1DA9053D"/>
    <w:rsid w:val="1DB5260C"/>
    <w:rsid w:val="1DDE692B"/>
    <w:rsid w:val="1DF4614E"/>
    <w:rsid w:val="1DF779ED"/>
    <w:rsid w:val="1DFD6643"/>
    <w:rsid w:val="1E285DF8"/>
    <w:rsid w:val="1E3632CC"/>
    <w:rsid w:val="1E6C3F37"/>
    <w:rsid w:val="1E786D7F"/>
    <w:rsid w:val="1EC10726"/>
    <w:rsid w:val="1ED052B5"/>
    <w:rsid w:val="1F2B5BA0"/>
    <w:rsid w:val="1FA41A60"/>
    <w:rsid w:val="1FDF7FFF"/>
    <w:rsid w:val="1FE97CC8"/>
    <w:rsid w:val="202B3BD1"/>
    <w:rsid w:val="2030259E"/>
    <w:rsid w:val="203F37E0"/>
    <w:rsid w:val="20672C08"/>
    <w:rsid w:val="2076109D"/>
    <w:rsid w:val="20841E8F"/>
    <w:rsid w:val="209229EC"/>
    <w:rsid w:val="21182154"/>
    <w:rsid w:val="21515666"/>
    <w:rsid w:val="215F7D83"/>
    <w:rsid w:val="217F6677"/>
    <w:rsid w:val="21E36C06"/>
    <w:rsid w:val="227710FC"/>
    <w:rsid w:val="22C41ED0"/>
    <w:rsid w:val="22D84291"/>
    <w:rsid w:val="22DD3655"/>
    <w:rsid w:val="22F64717"/>
    <w:rsid w:val="23377209"/>
    <w:rsid w:val="23983A20"/>
    <w:rsid w:val="23A322E4"/>
    <w:rsid w:val="23AB5501"/>
    <w:rsid w:val="23AC3027"/>
    <w:rsid w:val="23C05096"/>
    <w:rsid w:val="240510B5"/>
    <w:rsid w:val="2425363A"/>
    <w:rsid w:val="244B119F"/>
    <w:rsid w:val="24855D52"/>
    <w:rsid w:val="24886E7D"/>
    <w:rsid w:val="24CD14A7"/>
    <w:rsid w:val="24DC16EA"/>
    <w:rsid w:val="24EB73AA"/>
    <w:rsid w:val="25113899"/>
    <w:rsid w:val="25513E86"/>
    <w:rsid w:val="258E50DA"/>
    <w:rsid w:val="25AE3087"/>
    <w:rsid w:val="25C32FD6"/>
    <w:rsid w:val="25CC1CE4"/>
    <w:rsid w:val="25DA6BFA"/>
    <w:rsid w:val="2667394A"/>
    <w:rsid w:val="26747E2C"/>
    <w:rsid w:val="26801374"/>
    <w:rsid w:val="26E054C2"/>
    <w:rsid w:val="26EA00EF"/>
    <w:rsid w:val="26FE003E"/>
    <w:rsid w:val="27075144"/>
    <w:rsid w:val="270C03E2"/>
    <w:rsid w:val="276F4A98"/>
    <w:rsid w:val="277F0EEE"/>
    <w:rsid w:val="27D668C5"/>
    <w:rsid w:val="28081174"/>
    <w:rsid w:val="2830674A"/>
    <w:rsid w:val="284B2E0F"/>
    <w:rsid w:val="285D2B42"/>
    <w:rsid w:val="28974073"/>
    <w:rsid w:val="28F74D45"/>
    <w:rsid w:val="29341AF5"/>
    <w:rsid w:val="29C94933"/>
    <w:rsid w:val="29DB0ED3"/>
    <w:rsid w:val="29F03812"/>
    <w:rsid w:val="2A61691A"/>
    <w:rsid w:val="2A88659C"/>
    <w:rsid w:val="2AD80AF5"/>
    <w:rsid w:val="2B19593D"/>
    <w:rsid w:val="2B5446D0"/>
    <w:rsid w:val="2B604E23"/>
    <w:rsid w:val="2B6D0D7D"/>
    <w:rsid w:val="2BB07D93"/>
    <w:rsid w:val="2BD1187D"/>
    <w:rsid w:val="2BDB2782"/>
    <w:rsid w:val="2BE912BD"/>
    <w:rsid w:val="2C781537"/>
    <w:rsid w:val="2C8B7DAC"/>
    <w:rsid w:val="2C9254B0"/>
    <w:rsid w:val="2D460049"/>
    <w:rsid w:val="2D8017AD"/>
    <w:rsid w:val="2D8D1A36"/>
    <w:rsid w:val="2D9313C9"/>
    <w:rsid w:val="2DCA3B97"/>
    <w:rsid w:val="2DEB754B"/>
    <w:rsid w:val="2DF32D4B"/>
    <w:rsid w:val="2E2A1718"/>
    <w:rsid w:val="2E4A5917"/>
    <w:rsid w:val="2EA339A5"/>
    <w:rsid w:val="2EB060C2"/>
    <w:rsid w:val="2EC61441"/>
    <w:rsid w:val="2EDE1209"/>
    <w:rsid w:val="2EE351E2"/>
    <w:rsid w:val="2F0F2DE8"/>
    <w:rsid w:val="2F522CD5"/>
    <w:rsid w:val="2F9B530B"/>
    <w:rsid w:val="2F9E1048"/>
    <w:rsid w:val="2F9F4D71"/>
    <w:rsid w:val="2FE50AF4"/>
    <w:rsid w:val="306E3B3E"/>
    <w:rsid w:val="308D0637"/>
    <w:rsid w:val="30A77050"/>
    <w:rsid w:val="30C51B67"/>
    <w:rsid w:val="30FE730D"/>
    <w:rsid w:val="31047D58"/>
    <w:rsid w:val="311A5A74"/>
    <w:rsid w:val="3135465C"/>
    <w:rsid w:val="3138414C"/>
    <w:rsid w:val="317237BC"/>
    <w:rsid w:val="31C73DB0"/>
    <w:rsid w:val="31FB58A6"/>
    <w:rsid w:val="32100D0D"/>
    <w:rsid w:val="32794A1C"/>
    <w:rsid w:val="328B1419"/>
    <w:rsid w:val="32EB585C"/>
    <w:rsid w:val="32ED2F74"/>
    <w:rsid w:val="32FD2FFE"/>
    <w:rsid w:val="33727DEA"/>
    <w:rsid w:val="337376BE"/>
    <w:rsid w:val="338E20CF"/>
    <w:rsid w:val="33904A85"/>
    <w:rsid w:val="33D85C68"/>
    <w:rsid w:val="33E866B1"/>
    <w:rsid w:val="33F24A86"/>
    <w:rsid w:val="344F1ED9"/>
    <w:rsid w:val="347D4D3B"/>
    <w:rsid w:val="34CD4317"/>
    <w:rsid w:val="35142BCB"/>
    <w:rsid w:val="356279EA"/>
    <w:rsid w:val="357271DC"/>
    <w:rsid w:val="359F29EC"/>
    <w:rsid w:val="36141DC0"/>
    <w:rsid w:val="36B030FD"/>
    <w:rsid w:val="370C5E5F"/>
    <w:rsid w:val="3717386F"/>
    <w:rsid w:val="373D24BC"/>
    <w:rsid w:val="37643BFD"/>
    <w:rsid w:val="377203B8"/>
    <w:rsid w:val="37751BA7"/>
    <w:rsid w:val="377F46E9"/>
    <w:rsid w:val="37902F2D"/>
    <w:rsid w:val="37C01285"/>
    <w:rsid w:val="37C4673A"/>
    <w:rsid w:val="37E1109A"/>
    <w:rsid w:val="3845787B"/>
    <w:rsid w:val="384E1215"/>
    <w:rsid w:val="38746030"/>
    <w:rsid w:val="38A109B2"/>
    <w:rsid w:val="39017524"/>
    <w:rsid w:val="39033292"/>
    <w:rsid w:val="391B05DB"/>
    <w:rsid w:val="395B4E7C"/>
    <w:rsid w:val="398119E4"/>
    <w:rsid w:val="399A3BF6"/>
    <w:rsid w:val="39FA445E"/>
    <w:rsid w:val="3A1B7E17"/>
    <w:rsid w:val="3A30455A"/>
    <w:rsid w:val="3A35276A"/>
    <w:rsid w:val="3A3A1E86"/>
    <w:rsid w:val="3A4F678F"/>
    <w:rsid w:val="3A88044D"/>
    <w:rsid w:val="3A932913"/>
    <w:rsid w:val="3B130F8E"/>
    <w:rsid w:val="3B460044"/>
    <w:rsid w:val="3B941FFB"/>
    <w:rsid w:val="3B9528C7"/>
    <w:rsid w:val="3C051E21"/>
    <w:rsid w:val="3C19696D"/>
    <w:rsid w:val="3C241E9D"/>
    <w:rsid w:val="3C4507D5"/>
    <w:rsid w:val="3C502C92"/>
    <w:rsid w:val="3C5123F8"/>
    <w:rsid w:val="3C5C1637"/>
    <w:rsid w:val="3D11510F"/>
    <w:rsid w:val="3D4136B0"/>
    <w:rsid w:val="3D85696B"/>
    <w:rsid w:val="3DB8289D"/>
    <w:rsid w:val="3E2D43E8"/>
    <w:rsid w:val="3E50702C"/>
    <w:rsid w:val="3E6671E3"/>
    <w:rsid w:val="3EEB084F"/>
    <w:rsid w:val="3EF06066"/>
    <w:rsid w:val="3F09723D"/>
    <w:rsid w:val="3F2C17C9"/>
    <w:rsid w:val="3F3C12AC"/>
    <w:rsid w:val="3F863274"/>
    <w:rsid w:val="3F8A0269"/>
    <w:rsid w:val="3FE94F8F"/>
    <w:rsid w:val="3FED43FD"/>
    <w:rsid w:val="3FEE6527"/>
    <w:rsid w:val="3FEE6A4A"/>
    <w:rsid w:val="400D69A7"/>
    <w:rsid w:val="402266F3"/>
    <w:rsid w:val="403F3C4D"/>
    <w:rsid w:val="40BC7839"/>
    <w:rsid w:val="40F0234E"/>
    <w:rsid w:val="413A2AB1"/>
    <w:rsid w:val="415428DD"/>
    <w:rsid w:val="41601281"/>
    <w:rsid w:val="4164036A"/>
    <w:rsid w:val="418D4040"/>
    <w:rsid w:val="41CC0F24"/>
    <w:rsid w:val="421F113C"/>
    <w:rsid w:val="42293D69"/>
    <w:rsid w:val="425863FC"/>
    <w:rsid w:val="42672AE3"/>
    <w:rsid w:val="429D6505"/>
    <w:rsid w:val="42BF46CD"/>
    <w:rsid w:val="42E10B89"/>
    <w:rsid w:val="435968D0"/>
    <w:rsid w:val="43693E64"/>
    <w:rsid w:val="43A7468F"/>
    <w:rsid w:val="43AA0EDA"/>
    <w:rsid w:val="43B835F7"/>
    <w:rsid w:val="43D657DB"/>
    <w:rsid w:val="4427077C"/>
    <w:rsid w:val="442B7EB8"/>
    <w:rsid w:val="44332C7D"/>
    <w:rsid w:val="443A04B0"/>
    <w:rsid w:val="443A7867"/>
    <w:rsid w:val="447B2952"/>
    <w:rsid w:val="44867251"/>
    <w:rsid w:val="449C4604"/>
    <w:rsid w:val="44AB315B"/>
    <w:rsid w:val="44C06FEF"/>
    <w:rsid w:val="44E346A3"/>
    <w:rsid w:val="45100C32"/>
    <w:rsid w:val="451520EF"/>
    <w:rsid w:val="453F5143"/>
    <w:rsid w:val="45637592"/>
    <w:rsid w:val="45B002FD"/>
    <w:rsid w:val="460F14C8"/>
    <w:rsid w:val="464473C4"/>
    <w:rsid w:val="469B2D5C"/>
    <w:rsid w:val="46D149CF"/>
    <w:rsid w:val="46D44D5D"/>
    <w:rsid w:val="470703F1"/>
    <w:rsid w:val="470D108F"/>
    <w:rsid w:val="47906DCF"/>
    <w:rsid w:val="47E726FC"/>
    <w:rsid w:val="48294DD2"/>
    <w:rsid w:val="48413898"/>
    <w:rsid w:val="484D1D41"/>
    <w:rsid w:val="48B87BF5"/>
    <w:rsid w:val="495F62C2"/>
    <w:rsid w:val="49613AC3"/>
    <w:rsid w:val="49647D7D"/>
    <w:rsid w:val="496D09DF"/>
    <w:rsid w:val="497955D6"/>
    <w:rsid w:val="497C6E74"/>
    <w:rsid w:val="49836455"/>
    <w:rsid w:val="49883A6B"/>
    <w:rsid w:val="498D2E30"/>
    <w:rsid w:val="499C7517"/>
    <w:rsid w:val="49EF4918"/>
    <w:rsid w:val="4A797AB5"/>
    <w:rsid w:val="4A873D23"/>
    <w:rsid w:val="4A934476"/>
    <w:rsid w:val="4AB31E80"/>
    <w:rsid w:val="4ABA754D"/>
    <w:rsid w:val="4B0856DB"/>
    <w:rsid w:val="4B241572"/>
    <w:rsid w:val="4BA6467C"/>
    <w:rsid w:val="4C0A0767"/>
    <w:rsid w:val="4C6A38FC"/>
    <w:rsid w:val="4CCE4368"/>
    <w:rsid w:val="4D56218F"/>
    <w:rsid w:val="4D9A112B"/>
    <w:rsid w:val="4DC96375"/>
    <w:rsid w:val="4DDA733E"/>
    <w:rsid w:val="4DF41442"/>
    <w:rsid w:val="4E231FB4"/>
    <w:rsid w:val="4E41243B"/>
    <w:rsid w:val="4E4B130C"/>
    <w:rsid w:val="4E8A3DE2"/>
    <w:rsid w:val="4ED35788"/>
    <w:rsid w:val="4F460C2D"/>
    <w:rsid w:val="4F9E38B4"/>
    <w:rsid w:val="4FFC15DF"/>
    <w:rsid w:val="500656EA"/>
    <w:rsid w:val="50151DD1"/>
    <w:rsid w:val="50E023DF"/>
    <w:rsid w:val="50F1297A"/>
    <w:rsid w:val="51051E45"/>
    <w:rsid w:val="51825244"/>
    <w:rsid w:val="51BC0756"/>
    <w:rsid w:val="51ED4DB3"/>
    <w:rsid w:val="520914C1"/>
    <w:rsid w:val="526166A9"/>
    <w:rsid w:val="52754DA9"/>
    <w:rsid w:val="52BB6C5F"/>
    <w:rsid w:val="532E5683"/>
    <w:rsid w:val="53313D63"/>
    <w:rsid w:val="533267F6"/>
    <w:rsid w:val="53593F06"/>
    <w:rsid w:val="53837051"/>
    <w:rsid w:val="53A771E4"/>
    <w:rsid w:val="53B4545D"/>
    <w:rsid w:val="53BB7376"/>
    <w:rsid w:val="5408567D"/>
    <w:rsid w:val="5415239F"/>
    <w:rsid w:val="54351E26"/>
    <w:rsid w:val="543C792C"/>
    <w:rsid w:val="545F186C"/>
    <w:rsid w:val="54907EB1"/>
    <w:rsid w:val="54AD4708"/>
    <w:rsid w:val="54C27C0C"/>
    <w:rsid w:val="54E647E4"/>
    <w:rsid w:val="55012F8C"/>
    <w:rsid w:val="5509631B"/>
    <w:rsid w:val="550C7244"/>
    <w:rsid w:val="55570796"/>
    <w:rsid w:val="5558352D"/>
    <w:rsid w:val="55AC288F"/>
    <w:rsid w:val="55BA31FE"/>
    <w:rsid w:val="55D32512"/>
    <w:rsid w:val="55D83684"/>
    <w:rsid w:val="55E71B19"/>
    <w:rsid w:val="55FA184D"/>
    <w:rsid w:val="56717CE6"/>
    <w:rsid w:val="56C836F9"/>
    <w:rsid w:val="57437223"/>
    <w:rsid w:val="5805272B"/>
    <w:rsid w:val="58262DCD"/>
    <w:rsid w:val="58386683"/>
    <w:rsid w:val="58450D79"/>
    <w:rsid w:val="58491123"/>
    <w:rsid w:val="584E40D2"/>
    <w:rsid w:val="58563096"/>
    <w:rsid w:val="586B0174"/>
    <w:rsid w:val="589F0398"/>
    <w:rsid w:val="58DC0B1D"/>
    <w:rsid w:val="58DF2F7C"/>
    <w:rsid w:val="58DF4D2A"/>
    <w:rsid w:val="592D3CE7"/>
    <w:rsid w:val="59347B71"/>
    <w:rsid w:val="596A4945"/>
    <w:rsid w:val="596A6CE9"/>
    <w:rsid w:val="598A738C"/>
    <w:rsid w:val="599124C8"/>
    <w:rsid w:val="59A33FA9"/>
    <w:rsid w:val="59A80B17"/>
    <w:rsid w:val="59AA22E3"/>
    <w:rsid w:val="59D2663D"/>
    <w:rsid w:val="5A0E58C7"/>
    <w:rsid w:val="5A2D0090"/>
    <w:rsid w:val="5A504131"/>
    <w:rsid w:val="5B152C85"/>
    <w:rsid w:val="5B910019"/>
    <w:rsid w:val="5B9C5154"/>
    <w:rsid w:val="5BC34B7D"/>
    <w:rsid w:val="5BC47A1C"/>
    <w:rsid w:val="5BD200AA"/>
    <w:rsid w:val="5BD8439B"/>
    <w:rsid w:val="5BDC19F5"/>
    <w:rsid w:val="5C0A0310"/>
    <w:rsid w:val="5C1F025F"/>
    <w:rsid w:val="5C354D97"/>
    <w:rsid w:val="5C540330"/>
    <w:rsid w:val="5C657C3C"/>
    <w:rsid w:val="5C8E0F41"/>
    <w:rsid w:val="5CAD5DC7"/>
    <w:rsid w:val="5CB32755"/>
    <w:rsid w:val="5CBD5A36"/>
    <w:rsid w:val="5CDA5F34"/>
    <w:rsid w:val="5CEA406B"/>
    <w:rsid w:val="5D2378DB"/>
    <w:rsid w:val="5D7719D5"/>
    <w:rsid w:val="5DCB1D21"/>
    <w:rsid w:val="5DE13769"/>
    <w:rsid w:val="5DF64FF0"/>
    <w:rsid w:val="5DFD09F6"/>
    <w:rsid w:val="5E252E22"/>
    <w:rsid w:val="5E6F6B50"/>
    <w:rsid w:val="5E78212E"/>
    <w:rsid w:val="5E7B3747"/>
    <w:rsid w:val="5EE21821"/>
    <w:rsid w:val="5EF957DA"/>
    <w:rsid w:val="5F96139E"/>
    <w:rsid w:val="5FBF2FFD"/>
    <w:rsid w:val="5FD70E51"/>
    <w:rsid w:val="5FFF2396"/>
    <w:rsid w:val="600A3BCC"/>
    <w:rsid w:val="6039560A"/>
    <w:rsid w:val="606D70BF"/>
    <w:rsid w:val="60880F62"/>
    <w:rsid w:val="608E74B8"/>
    <w:rsid w:val="60C53DFA"/>
    <w:rsid w:val="60F7699C"/>
    <w:rsid w:val="60FF41BB"/>
    <w:rsid w:val="61236BC9"/>
    <w:rsid w:val="616011BA"/>
    <w:rsid w:val="616B7AA3"/>
    <w:rsid w:val="61963C04"/>
    <w:rsid w:val="61B50D1E"/>
    <w:rsid w:val="62487B36"/>
    <w:rsid w:val="624C0AFA"/>
    <w:rsid w:val="625A7384"/>
    <w:rsid w:val="62744735"/>
    <w:rsid w:val="62A93FA7"/>
    <w:rsid w:val="62B34EE2"/>
    <w:rsid w:val="63365E8E"/>
    <w:rsid w:val="637F7835"/>
    <w:rsid w:val="63844509"/>
    <w:rsid w:val="63EE0517"/>
    <w:rsid w:val="6412228E"/>
    <w:rsid w:val="64141032"/>
    <w:rsid w:val="641C32D6"/>
    <w:rsid w:val="64322AF9"/>
    <w:rsid w:val="64356146"/>
    <w:rsid w:val="643B31CD"/>
    <w:rsid w:val="646D58E0"/>
    <w:rsid w:val="64840A6F"/>
    <w:rsid w:val="64B259CA"/>
    <w:rsid w:val="65175F9A"/>
    <w:rsid w:val="651B3D00"/>
    <w:rsid w:val="65294D52"/>
    <w:rsid w:val="65337F0F"/>
    <w:rsid w:val="65385D9F"/>
    <w:rsid w:val="654B003E"/>
    <w:rsid w:val="656E1763"/>
    <w:rsid w:val="657A02B4"/>
    <w:rsid w:val="65B65064"/>
    <w:rsid w:val="66120F34"/>
    <w:rsid w:val="6612673F"/>
    <w:rsid w:val="663D2E85"/>
    <w:rsid w:val="668D4017"/>
    <w:rsid w:val="66CF5B5E"/>
    <w:rsid w:val="66D24120"/>
    <w:rsid w:val="673426E5"/>
    <w:rsid w:val="674A1F08"/>
    <w:rsid w:val="674E76DC"/>
    <w:rsid w:val="67A557D8"/>
    <w:rsid w:val="67B101D9"/>
    <w:rsid w:val="67C85658"/>
    <w:rsid w:val="67EB36EB"/>
    <w:rsid w:val="681A5D7E"/>
    <w:rsid w:val="681B23A4"/>
    <w:rsid w:val="682A1B77"/>
    <w:rsid w:val="685E3EBD"/>
    <w:rsid w:val="687436E1"/>
    <w:rsid w:val="68827F4D"/>
    <w:rsid w:val="68A857D2"/>
    <w:rsid w:val="68B63CF9"/>
    <w:rsid w:val="68C1444C"/>
    <w:rsid w:val="69653029"/>
    <w:rsid w:val="698B7543"/>
    <w:rsid w:val="698C4A5A"/>
    <w:rsid w:val="69B31FE7"/>
    <w:rsid w:val="69B6668F"/>
    <w:rsid w:val="69BF395D"/>
    <w:rsid w:val="69FB2DBC"/>
    <w:rsid w:val="6A3C75B8"/>
    <w:rsid w:val="6A5D1F52"/>
    <w:rsid w:val="6A5E51F2"/>
    <w:rsid w:val="6A6B466F"/>
    <w:rsid w:val="6A8C6028"/>
    <w:rsid w:val="6AD26D06"/>
    <w:rsid w:val="6AF05745"/>
    <w:rsid w:val="6B5E5F82"/>
    <w:rsid w:val="6C5C3E02"/>
    <w:rsid w:val="6C6B4DFB"/>
    <w:rsid w:val="6CA16A6E"/>
    <w:rsid w:val="6CD3474E"/>
    <w:rsid w:val="6CEC36CF"/>
    <w:rsid w:val="6D0B3EE8"/>
    <w:rsid w:val="6D2669A4"/>
    <w:rsid w:val="6D3E250F"/>
    <w:rsid w:val="6D4C4C2C"/>
    <w:rsid w:val="6D4F64CA"/>
    <w:rsid w:val="6D7777CF"/>
    <w:rsid w:val="6D7B72BF"/>
    <w:rsid w:val="6D847B01"/>
    <w:rsid w:val="6E13742D"/>
    <w:rsid w:val="6E494CC8"/>
    <w:rsid w:val="6E5B0646"/>
    <w:rsid w:val="6E963C85"/>
    <w:rsid w:val="6E9A6FF3"/>
    <w:rsid w:val="6EB760D5"/>
    <w:rsid w:val="6EBA5BC5"/>
    <w:rsid w:val="6EF42A19"/>
    <w:rsid w:val="6F2C52DF"/>
    <w:rsid w:val="6F433E0D"/>
    <w:rsid w:val="6F5D60CB"/>
    <w:rsid w:val="6F667AFB"/>
    <w:rsid w:val="6F8C57B4"/>
    <w:rsid w:val="6F9402F8"/>
    <w:rsid w:val="6FBC771B"/>
    <w:rsid w:val="6FC82564"/>
    <w:rsid w:val="70000847"/>
    <w:rsid w:val="70096E04"/>
    <w:rsid w:val="708741CD"/>
    <w:rsid w:val="70883FEB"/>
    <w:rsid w:val="70AB2EC7"/>
    <w:rsid w:val="70B72C7C"/>
    <w:rsid w:val="71020B0C"/>
    <w:rsid w:val="71771B4C"/>
    <w:rsid w:val="717C7B0A"/>
    <w:rsid w:val="71B15F38"/>
    <w:rsid w:val="720A7823"/>
    <w:rsid w:val="722D0CE6"/>
    <w:rsid w:val="72536115"/>
    <w:rsid w:val="726A345E"/>
    <w:rsid w:val="72D0142B"/>
    <w:rsid w:val="72F113E2"/>
    <w:rsid w:val="72FD42D3"/>
    <w:rsid w:val="732B3388"/>
    <w:rsid w:val="732D6C4D"/>
    <w:rsid w:val="734E478C"/>
    <w:rsid w:val="73530396"/>
    <w:rsid w:val="735D2FC3"/>
    <w:rsid w:val="73832A2A"/>
    <w:rsid w:val="739238D6"/>
    <w:rsid w:val="7407365B"/>
    <w:rsid w:val="74406B6D"/>
    <w:rsid w:val="74721133"/>
    <w:rsid w:val="748F53FE"/>
    <w:rsid w:val="74A7099A"/>
    <w:rsid w:val="751748CF"/>
    <w:rsid w:val="75397D24"/>
    <w:rsid w:val="75483F2B"/>
    <w:rsid w:val="75952EE8"/>
    <w:rsid w:val="75A650F5"/>
    <w:rsid w:val="75B570E6"/>
    <w:rsid w:val="762B73A9"/>
    <w:rsid w:val="767E1BCE"/>
    <w:rsid w:val="76951850"/>
    <w:rsid w:val="770156E5"/>
    <w:rsid w:val="77053FEC"/>
    <w:rsid w:val="776B2153"/>
    <w:rsid w:val="779A2A38"/>
    <w:rsid w:val="779C230C"/>
    <w:rsid w:val="77A134C0"/>
    <w:rsid w:val="77BF5FFA"/>
    <w:rsid w:val="77F22F4D"/>
    <w:rsid w:val="7803238B"/>
    <w:rsid w:val="786B18AA"/>
    <w:rsid w:val="788334CC"/>
    <w:rsid w:val="788F5E65"/>
    <w:rsid w:val="78A26636"/>
    <w:rsid w:val="78E14783"/>
    <w:rsid w:val="78F65A4C"/>
    <w:rsid w:val="79554E68"/>
    <w:rsid w:val="798C63B0"/>
    <w:rsid w:val="79C93160"/>
    <w:rsid w:val="7A2068C5"/>
    <w:rsid w:val="7A366B6F"/>
    <w:rsid w:val="7A5769BE"/>
    <w:rsid w:val="7A592736"/>
    <w:rsid w:val="7A8676EF"/>
    <w:rsid w:val="7A97500D"/>
    <w:rsid w:val="7A992B33"/>
    <w:rsid w:val="7AA53BCD"/>
    <w:rsid w:val="7AAD4830"/>
    <w:rsid w:val="7AB636E5"/>
    <w:rsid w:val="7AC202DC"/>
    <w:rsid w:val="7AF366E7"/>
    <w:rsid w:val="7B1A0118"/>
    <w:rsid w:val="7B3B1E3C"/>
    <w:rsid w:val="7B5B24DE"/>
    <w:rsid w:val="7B67759A"/>
    <w:rsid w:val="7B685A45"/>
    <w:rsid w:val="7B7642FE"/>
    <w:rsid w:val="7BA479E1"/>
    <w:rsid w:val="7BB126CD"/>
    <w:rsid w:val="7BDA3403"/>
    <w:rsid w:val="7C1A7CA3"/>
    <w:rsid w:val="7C352D2F"/>
    <w:rsid w:val="7C3A6597"/>
    <w:rsid w:val="7C447C15"/>
    <w:rsid w:val="7C9C57DD"/>
    <w:rsid w:val="7CA81912"/>
    <w:rsid w:val="7CEC7892"/>
    <w:rsid w:val="7D344D95"/>
    <w:rsid w:val="7D5D2687"/>
    <w:rsid w:val="7D820725"/>
    <w:rsid w:val="7DE40569"/>
    <w:rsid w:val="7DEC566F"/>
    <w:rsid w:val="7DF8692F"/>
    <w:rsid w:val="7E4D3307"/>
    <w:rsid w:val="7E71698B"/>
    <w:rsid w:val="7EBA62DB"/>
    <w:rsid w:val="7ECD1632"/>
    <w:rsid w:val="7ED01FCC"/>
    <w:rsid w:val="7ED24865"/>
    <w:rsid w:val="7EE822DB"/>
    <w:rsid w:val="7F2350C1"/>
    <w:rsid w:val="7F456E55"/>
    <w:rsid w:val="7F723E4D"/>
    <w:rsid w:val="7FC27F1D"/>
    <w:rsid w:val="D99BCD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3">
    <w:name w:val="Default Paragraph Font"/>
    <w:qFormat/>
    <w:uiPriority w:val="0"/>
  </w:style>
  <w:style w:type="table" w:default="1" w:styleId="11">
    <w:name w:val="Normal Table"/>
    <w:qFormat/>
    <w:uiPriority w:val="0"/>
    <w:tblPr>
      <w:tblCellMar>
        <w:top w:w="0" w:type="dxa"/>
        <w:left w:w="108" w:type="dxa"/>
        <w:bottom w:w="0" w:type="dxa"/>
        <w:right w:w="108" w:type="dxa"/>
      </w:tblCellMar>
    </w:tblPr>
  </w:style>
  <w:style w:type="paragraph" w:styleId="2">
    <w:name w:val="Body Text 3"/>
    <w:basedOn w:val="1"/>
    <w:qFormat/>
    <w:uiPriority w:val="0"/>
    <w:pPr>
      <w:spacing w:after="120"/>
    </w:pPr>
    <w:rPr>
      <w:sz w:val="16"/>
      <w:szCs w:val="16"/>
    </w:rPr>
  </w:style>
  <w:style w:type="paragraph" w:styleId="3">
    <w:name w:val="annotation text"/>
    <w:basedOn w:val="1"/>
    <w:link w:val="16"/>
    <w:qFormat/>
    <w:uiPriority w:val="0"/>
    <w:pPr>
      <w:jc w:val="left"/>
    </w:pPr>
  </w:style>
  <w:style w:type="paragraph" w:styleId="4">
    <w:name w:val="Body Text Indent"/>
    <w:basedOn w:val="1"/>
    <w:qFormat/>
    <w:uiPriority w:val="0"/>
    <w:pPr>
      <w:ind w:left="420"/>
    </w:pPr>
    <w:rPr>
      <w:rFonts w:ascii="仿宋_GB2312" w:eastAsia="仿宋_GB2312"/>
      <w:sz w:val="32"/>
    </w:r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9">
    <w:name w:val="annotation subject"/>
    <w:basedOn w:val="3"/>
    <w:next w:val="3"/>
    <w:link w:val="18"/>
    <w:qFormat/>
    <w:uiPriority w:val="0"/>
    <w:rPr>
      <w:b/>
      <w:bCs/>
    </w:rPr>
  </w:style>
  <w:style w:type="paragraph" w:styleId="10">
    <w:name w:val="Body Text First Indent 2"/>
    <w:basedOn w:val="4"/>
    <w:qFormat/>
    <w:uiPriority w:val="0"/>
    <w:pPr>
      <w:spacing w:after="120"/>
      <w:ind w:leftChars="200" w:firstLine="420" w:firstLineChars="200"/>
    </w:pPr>
    <w:rPr>
      <w:rFonts w:ascii="Times New Roman"/>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rPr>
  </w:style>
  <w:style w:type="character" w:styleId="15">
    <w:name w:val="annotation reference"/>
    <w:basedOn w:val="13"/>
    <w:qFormat/>
    <w:uiPriority w:val="0"/>
    <w:rPr>
      <w:sz w:val="21"/>
      <w:szCs w:val="21"/>
    </w:rPr>
  </w:style>
  <w:style w:type="character" w:customStyle="1" w:styleId="16">
    <w:name w:val="批注文字 字符"/>
    <w:basedOn w:val="13"/>
    <w:link w:val="3"/>
    <w:qFormat/>
    <w:uiPriority w:val="0"/>
    <w:rPr>
      <w:rFonts w:ascii="Calibri" w:hAnsi="Calibri" w:cs="黑体"/>
      <w:kern w:val="2"/>
      <w:sz w:val="21"/>
      <w:szCs w:val="24"/>
    </w:rPr>
  </w:style>
  <w:style w:type="character" w:customStyle="1" w:styleId="17">
    <w:name w:val="批注框文本 字符"/>
    <w:basedOn w:val="13"/>
    <w:link w:val="5"/>
    <w:qFormat/>
    <w:uiPriority w:val="0"/>
    <w:rPr>
      <w:rFonts w:ascii="Calibri" w:hAnsi="Calibri" w:cs="黑体"/>
      <w:kern w:val="2"/>
      <w:sz w:val="18"/>
      <w:szCs w:val="18"/>
    </w:rPr>
  </w:style>
  <w:style w:type="character" w:customStyle="1" w:styleId="18">
    <w:name w:val="批注主题 字符"/>
    <w:basedOn w:val="16"/>
    <w:link w:val="9"/>
    <w:qFormat/>
    <w:uiPriority w:val="0"/>
    <w:rPr>
      <w:rFonts w:ascii="Calibri" w:hAnsi="Calibri" w:cs="黑体"/>
      <w:b/>
      <w:bCs/>
      <w:kern w:val="2"/>
      <w:sz w:val="21"/>
      <w:szCs w:val="24"/>
    </w:rPr>
  </w:style>
  <w:style w:type="character" w:customStyle="1" w:styleId="19">
    <w:name w:val="NormalCharacter"/>
    <w:semiHidden/>
    <w:qFormat/>
    <w:uiPriority w:val="0"/>
  </w:style>
  <w:style w:type="character" w:customStyle="1" w:styleId="20">
    <w:name w:val="font31"/>
    <w:basedOn w:val="13"/>
    <w:qFormat/>
    <w:uiPriority w:val="0"/>
    <w:rPr>
      <w:rFonts w:hint="default" w:ascii="方正小标宋_GBK" w:hAnsi="方正小标宋_GBK" w:eastAsia="方正小标宋_GBK" w:cs="方正小标宋_GBK"/>
      <w:color w:val="000000"/>
      <w:sz w:val="36"/>
      <w:szCs w:val="36"/>
      <w:u w:val="none"/>
    </w:rPr>
  </w:style>
  <w:style w:type="character" w:customStyle="1" w:styleId="21">
    <w:name w:val="font11"/>
    <w:basedOn w:val="13"/>
    <w:qFormat/>
    <w:uiPriority w:val="0"/>
    <w:rPr>
      <w:rFonts w:hint="eastAsia" w:ascii="宋体" w:hAnsi="宋体" w:eastAsia="宋体" w:cs="宋体"/>
      <w:color w:val="000000"/>
      <w:sz w:val="22"/>
      <w:szCs w:val="22"/>
      <w:u w:val="none"/>
    </w:rPr>
  </w:style>
  <w:style w:type="character" w:customStyle="1" w:styleId="22">
    <w:name w:val="font61"/>
    <w:basedOn w:val="13"/>
    <w:qFormat/>
    <w:uiPriority w:val="0"/>
    <w:rPr>
      <w:rFonts w:hint="eastAsia" w:ascii="仿宋" w:hAnsi="仿宋" w:eastAsia="仿宋" w:cs="仿宋"/>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2.xml"/><Relationship Id="rId8" Type="http://schemas.openxmlformats.org/officeDocument/2006/relationships/chart" Target="charts/chart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7.xml"/><Relationship Id="rId13" Type="http://schemas.openxmlformats.org/officeDocument/2006/relationships/chart" Target="charts/chart6.xml"/><Relationship Id="rId12" Type="http://schemas.openxmlformats.org/officeDocument/2006/relationships/chart" Target="charts/chart5.xml"/><Relationship Id="rId11" Type="http://schemas.openxmlformats.org/officeDocument/2006/relationships/chart" Target="charts/chart4.xml"/><Relationship Id="rId10" Type="http://schemas.openxmlformats.org/officeDocument/2006/relationships/chart" Target="charts/chart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部门人员情况</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在职行政人员</c:v>
                </c:pt>
                <c:pt idx="1">
                  <c:v>在职事业人员</c:v>
                </c:pt>
                <c:pt idx="2">
                  <c:v>离退休人员</c:v>
                </c:pt>
              </c:strCache>
            </c:strRef>
          </c:cat>
          <c:val>
            <c:numRef>
              <c:f>Sheet1!$B$2:$B$4</c:f>
              <c:numCache>
                <c:formatCode>General</c:formatCode>
                <c:ptCount val="3"/>
                <c:pt idx="0">
                  <c:v>0</c:v>
                </c:pt>
                <c:pt idx="1">
                  <c:v>5</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收支情况对比</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收入</c:v>
                </c:pt>
              </c:strCache>
            </c:strRef>
          </c:tx>
          <c:spPr>
            <a:solidFill>
              <a:schemeClr val="accent1"/>
            </a:solidFill>
            <a:ln>
              <a:noFill/>
            </a:ln>
            <a:effectLst/>
          </c:spPr>
          <c:invertIfNegative val="false"/>
          <c:dLbls>
            <c:dLbl>
              <c:idx val="1"/>
              <c:layout/>
              <c:tx>
                <c:rich>
                  <a:bodyPr rot="0" spcFirstLastPara="0" vertOverflow="ellipsis" vert="horz" wrap="square" lIns="38100" tIns="19050" rIns="38100" bIns="19050" anchor="ctr" anchorCtr="true"/>
                  <a:lstStyle/>
                  <a:p>
                    <a:pPr defTabSz="914400">
                      <a:defRPr lang="zh-CN" sz="900" b="0" i="0" u="none" strike="noStrike" kern="1200" baseline="0">
                        <a:solidFill>
                          <a:schemeClr val="tx1">
                            <a:lumMod val="75000"/>
                            <a:lumOff val="25000"/>
                          </a:schemeClr>
                        </a:solidFill>
                        <a:latin typeface="+mn-lt"/>
                        <a:ea typeface="+mn-ea"/>
                        <a:cs typeface="+mn-cs"/>
                      </a:defRPr>
                    </a:pPr>
                    <a:r>
                      <a:rPr lang="en-US" altLang="zh-CN"/>
                      <a:t>850.71</a:t>
                    </a:r>
                    <a:endParaRPr lang="en-US" altLang="zh-CN"/>
                  </a:p>
                </c:rich>
              </c:tx>
              <c:dLblPos val="outEnd"/>
              <c:showLegendKey val="false"/>
              <c:showVal val="true"/>
              <c:showCatName val="false"/>
              <c:showSerName val="false"/>
              <c:showPercent val="false"/>
              <c:showBubbleSize val="false"/>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strCache>
            </c:strRef>
          </c:cat>
          <c:val>
            <c:numRef>
              <c:f>Sheet1!$B$2:$B$5</c:f>
              <c:numCache>
                <c:formatCode>General</c:formatCode>
                <c:ptCount val="4"/>
                <c:pt idx="0">
                  <c:v>4934.82</c:v>
                </c:pt>
                <c:pt idx="1">
                  <c:v>1582.87</c:v>
                </c:pt>
              </c:numCache>
            </c:numRef>
          </c:val>
        </c:ser>
        <c:ser>
          <c:idx val="1"/>
          <c:order val="1"/>
          <c:tx>
            <c:strRef>
              <c:f>Sheet1!$C$1</c:f>
              <c:strCache>
                <c:ptCount val="1"/>
                <c:pt idx="0">
                  <c:v>支出</c:v>
                </c:pt>
              </c:strCache>
            </c:strRef>
          </c:tx>
          <c:spPr>
            <a:solidFill>
              <a:schemeClr val="accent2"/>
            </a:solidFill>
            <a:ln>
              <a:noFill/>
            </a:ln>
            <a:effectLst/>
          </c:spPr>
          <c:invertIfNegative val="false"/>
          <c:dLbls>
            <c:dLbl>
              <c:idx val="0"/>
              <c:layout>
                <c:manualLayout>
                  <c:x val="0.04875"/>
                  <c:y val="-0.00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028125"/>
                  <c:y val="0.015"/>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2020年</c:v>
                </c:pt>
                <c:pt idx="1">
                  <c:v>2021年</c:v>
                </c:pt>
              </c:strCache>
            </c:strRef>
          </c:cat>
          <c:val>
            <c:numRef>
              <c:f>Sheet1!$C$2:$C$5</c:f>
              <c:numCache>
                <c:formatCode>General</c:formatCode>
                <c:ptCount val="4"/>
                <c:pt idx="0">
                  <c:v>5026.16</c:v>
                </c:pt>
                <c:pt idx="1">
                  <c:v>1591.62</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Sheet1!$A$2:$A$5</c:f>
              <c:strCache>
                <c:ptCount val="4"/>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133709507"/>
        <c:axId val="741539466"/>
      </c:barChart>
      <c:catAx>
        <c:axId val="133709507"/>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741539466"/>
        <c:crosses val="autoZero"/>
        <c:auto val="true"/>
        <c:lblAlgn val="ctr"/>
        <c:lblOffset val="100"/>
        <c:noMultiLvlLbl val="false"/>
      </c:catAx>
      <c:valAx>
        <c:axId val="741539466"/>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33709507"/>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收入结构图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财政拨款收入</c:v>
                </c:pt>
                <c:pt idx="1">
                  <c:v>事业收入</c:v>
                </c:pt>
                <c:pt idx="2">
                  <c:v>经营收入</c:v>
                </c:pt>
                <c:pt idx="3">
                  <c:v>其他收入</c:v>
                </c:pt>
              </c:strCache>
            </c:strRef>
          </c:cat>
          <c:val>
            <c:numRef>
              <c:f>Sheet1!$B$2:$B$5</c:f>
              <c:numCache>
                <c:formatCode>General</c:formatCode>
                <c:ptCount val="4"/>
                <c:pt idx="0">
                  <c:v>1582.87</c:v>
                </c:pt>
                <c:pt idx="1">
                  <c:v>0</c:v>
                </c:pt>
                <c:pt idx="2">
                  <c:v>0</c:v>
                </c:pt>
                <c:pt idx="3">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layout/>
      <c:overlay val="false"/>
      <c:spPr>
        <a:noFill/>
        <a:ln>
          <a:noFill/>
        </a:ln>
        <a:effectLst/>
      </c:spPr>
      <c:txPr>
        <a:bodyPr rot="0" spcFirstLastPara="0" vertOverflow="ellipsis" vert="horz" wrap="square" anchor="ctr" anchorCtr="true"/>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false"/>
    <c:plotArea>
      <c:layout/>
      <c:pieChart>
        <c:varyColors val="true"/>
        <c:ser>
          <c:idx val="0"/>
          <c:order val="0"/>
          <c:tx>
            <c:strRef>
              <c:f>Sheet1!$B$1</c:f>
              <c:strCache>
                <c:ptCount val="1"/>
                <c:pt idx="0">
                  <c:v>支出结构图</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Sheet1!$A$2:$A$5</c:f>
              <c:strCache>
                <c:ptCount val="4"/>
                <c:pt idx="0">
                  <c:v>基本支出</c:v>
                </c:pt>
                <c:pt idx="1">
                  <c:v>项目支出</c:v>
                </c:pt>
                <c:pt idx="2">
                  <c:v>经营支出</c:v>
                </c:pt>
              </c:strCache>
            </c:strRef>
          </c:cat>
          <c:val>
            <c:numRef>
              <c:f>Sheet1!$B$2:$B$5</c:f>
              <c:numCache>
                <c:formatCode>General</c:formatCode>
                <c:ptCount val="4"/>
                <c:pt idx="0">
                  <c:v>69.1</c:v>
                </c:pt>
                <c:pt idx="1">
                  <c:v>1522.52</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egendEntry>
        <c:idx val="3"/>
        <c:delete val="true"/>
      </c:legendEntry>
      <c:layout>
        <c:manualLayout>
          <c:xMode val="edge"/>
          <c:yMode val="edge"/>
          <c:x val="0.2631875"/>
          <c:y val="0.9395"/>
        </c:manualLayout>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财政拨款收入支出对比图</a:t>
            </a:r>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财政拨款收入</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4934.82</c:v>
                </c:pt>
                <c:pt idx="1">
                  <c:v>1582.87</c:v>
                </c:pt>
              </c:numCache>
            </c:numRef>
          </c:val>
        </c:ser>
        <c:ser>
          <c:idx val="1"/>
          <c:order val="1"/>
          <c:tx>
            <c:strRef>
              <c:f>Sheet1!$C$1</c:f>
              <c:strCache>
                <c:ptCount val="1"/>
                <c:pt idx="0">
                  <c:v>财政拨款支出</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Sheet1!$C$2:$C$3</c:f>
              <c:numCache>
                <c:formatCode>General</c:formatCode>
                <c:ptCount val="2"/>
                <c:pt idx="0">
                  <c:v>5026.16</c:v>
                </c:pt>
                <c:pt idx="1">
                  <c:v>1591.62</c:v>
                </c:pt>
              </c:numCache>
            </c:numRef>
          </c:val>
        </c:ser>
        <c:ser>
          <c:idx val="2"/>
          <c:order val="2"/>
          <c:tx>
            <c:strRef>
              <c:f>Sheet1!#REF!</c:f>
              <c:strCache>
                <c:ptCount val="1"/>
                <c:pt idx="0">
                  <c:v/>
                </c:pt>
              </c:strCache>
            </c:strRef>
          </c:tx>
          <c:spPr>
            <a:solidFill>
              <a:schemeClr val="accent3"/>
            </a:solidFill>
            <a:ln>
              <a:noFill/>
            </a:ln>
            <a:effectLst/>
          </c:spPr>
          <c:invertIfNegative val="false"/>
          <c:dLbls>
            <c:delete val="true"/>
          </c:dLbls>
          <c:cat>
            <c:strRef>
              <c:f>Sheet1!$A$2:$A$3</c:f>
              <c:strCache>
                <c:ptCount val="2"/>
                <c:pt idx="0">
                  <c:v>2020年</c:v>
                </c:pt>
                <c:pt idx="1">
                  <c:v>2021年</c:v>
                </c:pt>
              </c:strCache>
            </c:strRef>
          </c:cat>
          <c:val>
            <c:numRef>
              <c:f>Sheet1!#REF!</c:f>
              <c:numCache>
                <c:formatCode>General</c:formatCode>
                <c:ptCount val="1"/>
                <c:pt idx="0">
                  <c:v>1</c:v>
                </c:pt>
              </c:numCache>
            </c:numRef>
          </c:val>
        </c:ser>
        <c:dLbls>
          <c:showLegendKey val="false"/>
          <c:showVal val="true"/>
          <c:showCatName val="false"/>
          <c:showSerName val="false"/>
          <c:showPercent val="false"/>
          <c:showBubbleSize val="false"/>
        </c:dLbls>
        <c:gapWidth val="219"/>
        <c:overlap val="-27"/>
        <c:axId val="901000159"/>
        <c:axId val="431676527"/>
      </c:barChart>
      <c:catAx>
        <c:axId val="901000159"/>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31676527"/>
        <c:crosses val="autoZero"/>
        <c:auto val="true"/>
        <c:lblAlgn val="ctr"/>
        <c:lblOffset val="100"/>
        <c:noMultiLvlLbl val="false"/>
      </c:catAx>
      <c:valAx>
        <c:axId val="431676527"/>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901000159"/>
        <c:crosses val="autoZero"/>
        <c:crossBetween val="between"/>
      </c:valAx>
      <c:spPr>
        <a:noFill/>
        <a:ln>
          <a:noFill/>
        </a:ln>
        <a:effectLst/>
      </c:spPr>
    </c:plotArea>
    <c:legend>
      <c:legendPos val="b"/>
      <c:legendEntry>
        <c:idx val="2"/>
        <c:delete val="true"/>
      </c:legendEntry>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一般公共预算财政拨款支出对比图</a:t>
            </a:r>
            <a:endParaRPr lang="en-US" altLang="zh-CN"/>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财政拨款支出</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2020年</c:v>
                </c:pt>
                <c:pt idx="1">
                  <c:v>2021年</c:v>
                </c:pt>
              </c:strCache>
            </c:strRef>
          </c:cat>
          <c:val>
            <c:numRef>
              <c:f>Sheet1!$B$2:$B$3</c:f>
              <c:numCache>
                <c:formatCode>General</c:formatCode>
                <c:ptCount val="2"/>
                <c:pt idx="0">
                  <c:v>4526.16</c:v>
                </c:pt>
                <c:pt idx="1">
                  <c:v>99.67</c:v>
                </c:pt>
              </c:numCache>
            </c:numRef>
          </c:val>
        </c:ser>
        <c:dLbls>
          <c:showLegendKey val="false"/>
          <c:showVal val="true"/>
          <c:showCatName val="false"/>
          <c:showSerName val="false"/>
          <c:showPercent val="false"/>
          <c:showBubbleSize val="false"/>
        </c:dLbls>
        <c:gapWidth val="219"/>
        <c:overlap val="-27"/>
        <c:axId val="874770823"/>
        <c:axId val="264267773"/>
      </c:barChart>
      <c:catAx>
        <c:axId val="874770823"/>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264267773"/>
        <c:crosses val="autoZero"/>
        <c:auto val="true"/>
        <c:lblAlgn val="ctr"/>
        <c:lblOffset val="100"/>
        <c:noMultiLvlLbl val="false"/>
      </c:catAx>
      <c:valAx>
        <c:axId val="264267773"/>
        <c:scaling>
          <c:orientation val="minMax"/>
        </c:scaling>
        <c:delete val="false"/>
        <c:axPos val="l"/>
        <c:majorGridlines>
          <c:spPr>
            <a:ln w="9525" cap="flat" cmpd="sng" algn="ctr">
              <a:solidFill>
                <a:schemeClr val="tx1">
                  <a:lumMod val="15000"/>
                  <a:lumOff val="85000"/>
                </a:schemeClr>
              </a:solidFill>
              <a:round/>
            </a:ln>
            <a:effectLst/>
          </c:spPr>
        </c:majorGridlines>
        <c:numFmt formatCode="General"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874770823"/>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三公经费结构图</a:t>
            </a:r>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Lbls>
            <c:delete val="true"/>
          </c:dLbls>
          <c:cat>
            <c:strRef>
              <c:f>Sheet1!$A$2:$A$5</c:f>
              <c:strCache>
                <c:ptCount val="4"/>
                <c:pt idx="0">
                  <c:v>因公出国（境）</c:v>
                </c:pt>
                <c:pt idx="1">
                  <c:v>公务用车运行维护费</c:v>
                </c:pt>
                <c:pt idx="2">
                  <c:v>公车购置费</c:v>
                </c:pt>
                <c:pt idx="3">
                  <c:v>公务接待费</c:v>
                </c:pt>
              </c:strCache>
            </c:strRef>
          </c:cat>
          <c:val>
            <c:numRef>
              <c:f>Sheet1!$B$2:$B$5</c:f>
              <c:numCache>
                <c:formatCode>General</c:formatCode>
                <c:ptCount val="4"/>
                <c:pt idx="0">
                  <c:v>0</c:v>
                </c:pt>
                <c:pt idx="1">
                  <c:v>0</c:v>
                </c:pt>
                <c:pt idx="2">
                  <c:v>0</c:v>
                </c:pt>
                <c:pt idx="3">
                  <c:v>0.71</c:v>
                </c:pt>
              </c:numCache>
            </c:numRef>
          </c:val>
        </c:ser>
        <c:dLbls>
          <c:showLegendKey val="false"/>
          <c:showVal val="fals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31</Pages>
  <Words>10396</Words>
  <Characters>12199</Characters>
  <Paragraphs>228</Paragraphs>
  <TotalTime>54</TotalTime>
  <ScaleCrop>false</ScaleCrop>
  <LinksUpToDate>false</LinksUpToDate>
  <CharactersWithSpaces>12513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2020-07-24T01:23:00Z</dcterms:created>
  <dc:creator>Administrator</dc:creator>
  <cp:lastModifiedBy>ankang</cp:lastModifiedBy>
  <cp:lastPrinted>2023-03-16T11:51:00Z</cp:lastPrinted>
  <dcterms:modified xsi:type="dcterms:W3CDTF">2023-10-17T14:27:45Z</dcterms:modified>
  <dc:title>附件1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255E61D5F30F47A4BF8E3CE978209EE8</vt:lpwstr>
  </property>
</Properties>
</file>