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镇坪县教育体育和科技局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黑体" w:hAnsi="黑体" w:eastAsia="黑体" w:cs="黑体"/>
          <w:b/>
          <w:bCs/>
          <w:sz w:val="36"/>
          <w:szCs w:val="36"/>
          <w:lang w:val="en-US" w:eastAsia="zh-CN"/>
        </w:rPr>
      </w:pPr>
      <w:r>
        <w:rPr>
          <w:rFonts w:hint="eastAsia" w:ascii="黑体" w:hAnsi="黑体" w:eastAsia="黑体" w:cs="黑体"/>
          <w:b/>
          <w:bCs/>
          <w:sz w:val="36"/>
          <w:szCs w:val="36"/>
          <w:lang w:eastAsia="zh-CN"/>
        </w:rPr>
        <w:t>2023</w:t>
      </w:r>
      <w:r>
        <w:rPr>
          <w:rFonts w:hint="eastAsia" w:ascii="黑体" w:hAnsi="黑体" w:eastAsia="黑体" w:cs="黑体"/>
          <w:b/>
          <w:bCs/>
          <w:sz w:val="36"/>
          <w:szCs w:val="36"/>
        </w:rPr>
        <w:t>年部门预算</w:t>
      </w:r>
      <w:r>
        <w:rPr>
          <w:rFonts w:hint="eastAsia" w:ascii="黑体" w:hAnsi="黑体" w:eastAsia="黑体" w:cs="黑体"/>
          <w:b/>
          <w:bCs/>
          <w:sz w:val="36"/>
          <w:szCs w:val="36"/>
          <w:lang w:val="en-US" w:eastAsia="zh-CN"/>
        </w:rPr>
        <w:t>公开说明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目  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第一部分   </w:t>
      </w:r>
      <w:r>
        <w:rPr>
          <w:rFonts w:hint="eastAsia" w:asciiTheme="majorEastAsia" w:hAnsiTheme="majorEastAsia" w:eastAsiaTheme="majorEastAsia" w:cstheme="majorEastAsia"/>
          <w:b/>
          <w:bCs/>
          <w:sz w:val="32"/>
          <w:szCs w:val="32"/>
          <w:u w:val="none"/>
        </w:rPr>
        <w:t>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w:t>
      </w:r>
      <w:r>
        <w:rPr>
          <w:rFonts w:hint="eastAsia" w:asciiTheme="majorEastAsia" w:hAnsiTheme="majorEastAsia" w:eastAsiaTheme="majorEastAsia" w:cstheme="majorEastAsia"/>
          <w:sz w:val="32"/>
          <w:szCs w:val="32"/>
          <w:lang w:val="en-US" w:eastAsia="zh-CN"/>
        </w:rPr>
        <w:t>主要</w:t>
      </w:r>
      <w:r>
        <w:rPr>
          <w:rFonts w:hint="eastAsia" w:asciiTheme="majorEastAsia" w:hAnsiTheme="majorEastAsia" w:eastAsiaTheme="majorEastAsia" w:cstheme="majorEastAsia"/>
          <w:sz w:val="32"/>
          <w:szCs w:val="32"/>
        </w:rPr>
        <w:t>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四、人员情况说明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left"/>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五、收支说明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六、“三公”经费等情况说明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七、国有资产占有使用及资产购置情况说明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八、政府采购情况说明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九、预算绩效目标说明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after="4681" w:afterLines="1500" w:line="360" w:lineRule="auto"/>
        <w:ind w:firstLine="480"/>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（具体预算公开报表）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一、主要职责及机构设置</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部门主要职责：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（一）贯彻执行党和国家的教育方针、政策及法律法规，研究制定全县教育改革与发展战略，编制全县教育事业发展规划并组织实施。</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综合管理全县基础教育、学前教育、职业教育、成人教育和体育工作;加大城乡教育统筹发展力度,推进义务教育均衡发展,促进教育公平;大力发展职业教育,深化职业教育教学改革,提高职业院校的办学水平和质量;加强民办教育的统筹规划、综合协调和宏观管理,规范办学秩序,促进民办教育事业健康发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（三）按权限负责民办学校的设置审批,规范民办学校办学行为。</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（四）负责学校的常规教学管理和学校年度考核工作及全县中小学校长(县高级中学、初级中学除外)的考察任免工作。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（五）负责直属单位党的基层组织建设、党员教育管理工作以及党风廉政建设;负责全县教育系统的宣传教育、精神文明建设和作风建设等工作。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六）主管全县教师工作,统筹规划全县教师队伍建设;会同有关部门依法履行中小学教师的公开招聘、职称评审、岗位聘用、调配交流、培养培训、考核奖惩等工作;负责全县中小学校长(县高级中学、初级中学除外)的考察任免工作;协助组织部门搞好直属单位领导班子的考察、任用、监督等具体工作;按规定管理权限负责办理局属事业单位的人事、劳资、职称工作,指导全县教育系统人事制度改革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（七）编制教育经费预算并监督执行,管理教育专项资金;统筹管理本部门教育经费;参与拟定筹措教育经费、教育拨款、教育基建投资政策和管理办法;组织指导贫困家庭学生资助工作。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（八）负责全县教育信息的统计、分析和上报;负责全县教育体育基础设施规划、申报、实施;负责全县基层账务管理、审计、指导。</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（九）巩固“双高双普”和“义务教育均衡”发展成果,指导全县各级各类学校的教育教学改革、管理、研究和质量监测评估等工作,全面实施素质教育。</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（十）规划指导各级各类学校的思想政治工作、德育工作、体育卫生与艺术教育及国防教育工作。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（十一）负责全国普通高校招生考试、初中毕业学业水平考试、成人高考、自学考试、高中毕业水平考试及小学毕业质量检测工作。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（十二）负责全县语言文字工作,贯彻国家语言文字工作的方针、政策、规划、规范和标准,指导推广普通话工作。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三）负责全县中小学校的安全稳定工作和校园环境治理工作,协助有关部门处理突发事件;检查、指导学校日常安全管理和社会治安综合治理工作;组织开展安全文明校园创建活动;协调相关部门开展校园周边环境综合整治等工作;负责全县教育系统普法、依法治理和维护稳定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（十四）负责组织实施义务教育阶段的“营养改善计划”。</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（十五）负责指导和组织群众性体育活动的开展,实施国家体育锻炼标准;研究和指导全县体育竞赛、竞技体育项目的设置;举办全县综合运动会、组织参加全市综合性运动会。</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（十六）组织和指导体育宣传和教育工作,培养体育专业人才;指导学校体育和训练。</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（十七）协调全县各类学校的后勤工作、电化教育、信息化建设以及教学仪器设备和图书资料的装备工作。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（十八）负责生源地信用助学贷款的政策宣传、实施、管理工作和中等职业学校国家助学金发放工作。</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（十九）承担县委、县政府交办的其它事项。</w:t>
      </w:r>
    </w:p>
    <w:p>
      <w:pPr>
        <w:spacing w:line="560" w:lineRule="exact"/>
        <w:ind w:firstLine="643" w:firstLineChars="200"/>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机构设置：</w:t>
      </w:r>
    </w:p>
    <w:p>
      <w:pPr>
        <w:spacing w:line="560" w:lineRule="exact"/>
        <w:ind w:firstLine="640" w:firstLineChars="200"/>
        <w:rPr>
          <w:rFonts w:hint="eastAsia" w:ascii="仿宋_GB2312" w:eastAsia="仿宋_GB2312"/>
          <w:color w:val="000000"/>
          <w:sz w:val="32"/>
          <w:szCs w:val="32"/>
          <w:lang w:val="en-US" w:eastAsia="zh-CN"/>
        </w:rPr>
      </w:pPr>
      <w:r>
        <w:rPr>
          <w:rFonts w:hint="default" w:ascii="仿宋_GB2312" w:eastAsia="仿宋_GB2312"/>
          <w:color w:val="000000"/>
          <w:sz w:val="32"/>
          <w:szCs w:val="32"/>
          <w:lang w:val="en-US" w:eastAsia="zh-CN"/>
        </w:rPr>
        <w:t>根据上述职责，</w:t>
      </w:r>
      <w:r>
        <w:rPr>
          <w:rFonts w:hint="eastAsia" w:ascii="仿宋_GB2312" w:eastAsia="仿宋_GB2312"/>
          <w:color w:val="000000"/>
          <w:sz w:val="32"/>
          <w:szCs w:val="32"/>
          <w:lang w:val="en-US" w:eastAsia="zh-CN"/>
        </w:rPr>
        <w:t>镇坪</w:t>
      </w:r>
      <w:r>
        <w:rPr>
          <w:rFonts w:hint="default" w:ascii="仿宋_GB2312" w:eastAsia="仿宋_GB2312"/>
          <w:color w:val="000000"/>
          <w:sz w:val="32"/>
          <w:szCs w:val="32"/>
          <w:lang w:val="en-US" w:eastAsia="zh-CN"/>
        </w:rPr>
        <w:t>县教育体育</w:t>
      </w:r>
      <w:r>
        <w:rPr>
          <w:rFonts w:hint="eastAsia" w:ascii="仿宋_GB2312" w:eastAsia="仿宋_GB2312"/>
          <w:color w:val="000000"/>
          <w:sz w:val="32"/>
          <w:szCs w:val="32"/>
          <w:lang w:val="en-US" w:eastAsia="zh-CN"/>
        </w:rPr>
        <w:t>和科技</w:t>
      </w:r>
      <w:r>
        <w:rPr>
          <w:rFonts w:hint="default" w:ascii="仿宋_GB2312" w:eastAsia="仿宋_GB2312"/>
          <w:color w:val="000000"/>
          <w:sz w:val="32"/>
          <w:szCs w:val="32"/>
          <w:lang w:val="en-US" w:eastAsia="zh-CN"/>
        </w:rPr>
        <w:t>局机关内设</w:t>
      </w:r>
      <w:r>
        <w:rPr>
          <w:rFonts w:hint="eastAsia" w:ascii="仿宋_GB2312" w:eastAsia="仿宋_GB2312"/>
          <w:color w:val="000000"/>
          <w:sz w:val="32"/>
          <w:szCs w:val="32"/>
          <w:lang w:val="en-US" w:eastAsia="zh-CN"/>
        </w:rPr>
        <w:t>11</w:t>
      </w:r>
      <w:r>
        <w:rPr>
          <w:rFonts w:hint="default" w:ascii="仿宋_GB2312" w:eastAsia="仿宋_GB2312"/>
          <w:color w:val="000000"/>
          <w:sz w:val="32"/>
          <w:szCs w:val="32"/>
          <w:lang w:val="en-US" w:eastAsia="zh-CN"/>
        </w:rPr>
        <w:t>个股室。</w:t>
      </w:r>
    </w:p>
    <w:p>
      <w:pPr>
        <w:spacing w:line="560" w:lineRule="exact"/>
        <w:ind w:firstLine="640" w:firstLineChars="200"/>
        <w:rPr>
          <w:rFonts w:hint="eastAsia" w:ascii="仿宋_GB2312" w:eastAsia="仿宋_GB2312"/>
          <w:color w:val="000000"/>
          <w:sz w:val="32"/>
          <w:szCs w:val="32"/>
          <w:lang w:val="en-US" w:eastAsia="zh-CN"/>
        </w:rPr>
      </w:pPr>
      <w:r>
        <w:rPr>
          <w:rFonts w:hint="default" w:ascii="仿宋_GB2312" w:eastAsia="仿宋_GB2312"/>
          <w:color w:val="000000"/>
          <w:sz w:val="32"/>
          <w:szCs w:val="32"/>
          <w:lang w:val="en-US" w:eastAsia="zh-CN"/>
        </w:rPr>
        <w:t>即:</w:t>
      </w:r>
      <w:r>
        <w:rPr>
          <w:rFonts w:hint="eastAsia" w:ascii="仿宋_GB2312" w:eastAsia="仿宋_GB2312"/>
          <w:color w:val="000000"/>
          <w:sz w:val="32"/>
          <w:szCs w:val="32"/>
          <w:lang w:val="en-US" w:eastAsia="zh-CN"/>
        </w:rPr>
        <w:t>股室包括</w:t>
      </w:r>
      <w:r>
        <w:rPr>
          <w:rFonts w:hint="default" w:ascii="仿宋_GB2312" w:eastAsia="仿宋_GB2312"/>
          <w:color w:val="000000"/>
          <w:sz w:val="32"/>
          <w:szCs w:val="32"/>
          <w:lang w:val="en-US" w:eastAsia="zh-CN"/>
        </w:rPr>
        <w:t>党政办公室、</w:t>
      </w:r>
      <w:r>
        <w:rPr>
          <w:rFonts w:hint="eastAsia" w:ascii="仿宋_GB2312" w:eastAsia="仿宋_GB2312"/>
          <w:color w:val="000000"/>
          <w:sz w:val="32"/>
          <w:szCs w:val="32"/>
          <w:lang w:val="en-US" w:eastAsia="zh-CN"/>
        </w:rPr>
        <w:t>督导室、</w:t>
      </w:r>
      <w:r>
        <w:rPr>
          <w:rFonts w:hint="default" w:ascii="仿宋_GB2312" w:eastAsia="仿宋_GB2312"/>
          <w:color w:val="000000"/>
          <w:sz w:val="32"/>
          <w:szCs w:val="32"/>
          <w:lang w:val="en-US" w:eastAsia="zh-CN"/>
        </w:rPr>
        <w:t>人事股、</w:t>
      </w:r>
      <w:r>
        <w:rPr>
          <w:rFonts w:hint="eastAsia" w:ascii="仿宋_GB2312" w:eastAsia="仿宋_GB2312"/>
          <w:color w:val="000000"/>
          <w:sz w:val="32"/>
          <w:szCs w:val="32"/>
          <w:lang w:val="en-US" w:eastAsia="zh-CN"/>
        </w:rPr>
        <w:t>教育</w:t>
      </w:r>
      <w:r>
        <w:rPr>
          <w:rFonts w:hint="default" w:ascii="仿宋_GB2312" w:eastAsia="仿宋_GB2312"/>
          <w:color w:val="000000"/>
          <w:sz w:val="32"/>
          <w:szCs w:val="32"/>
          <w:lang w:val="en-US" w:eastAsia="zh-CN"/>
        </w:rPr>
        <w:t>股、安</w:t>
      </w:r>
      <w:r>
        <w:rPr>
          <w:rFonts w:hint="eastAsia" w:ascii="仿宋_GB2312" w:eastAsia="仿宋_GB2312"/>
          <w:color w:val="000000"/>
          <w:sz w:val="32"/>
          <w:szCs w:val="32"/>
          <w:lang w:val="en-US" w:eastAsia="zh-CN"/>
        </w:rPr>
        <w:t>全体育</w:t>
      </w:r>
      <w:r>
        <w:rPr>
          <w:rFonts w:hint="default" w:ascii="仿宋_GB2312" w:eastAsia="仿宋_GB2312"/>
          <w:color w:val="000000"/>
          <w:sz w:val="32"/>
          <w:szCs w:val="32"/>
          <w:lang w:val="en-US" w:eastAsia="zh-CN"/>
        </w:rPr>
        <w:t>股、</w:t>
      </w:r>
      <w:r>
        <w:rPr>
          <w:rFonts w:hint="eastAsia" w:ascii="仿宋_GB2312" w:eastAsia="仿宋_GB2312"/>
          <w:color w:val="000000"/>
          <w:sz w:val="32"/>
          <w:szCs w:val="32"/>
          <w:lang w:val="en-US" w:eastAsia="zh-CN"/>
        </w:rPr>
        <w:t>科技股、</w:t>
      </w:r>
      <w:r>
        <w:rPr>
          <w:rFonts w:hint="default" w:ascii="仿宋_GB2312" w:eastAsia="仿宋_GB2312"/>
          <w:color w:val="000000"/>
          <w:sz w:val="32"/>
          <w:szCs w:val="32"/>
          <w:lang w:val="en-US" w:eastAsia="zh-CN"/>
        </w:rPr>
        <w:t>计财股</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学生资助管理中心</w:t>
      </w:r>
      <w:r>
        <w:rPr>
          <w:rFonts w:hint="eastAsia" w:ascii="仿宋_GB2312" w:eastAsia="仿宋_GB2312"/>
          <w:color w:val="000000"/>
          <w:sz w:val="32"/>
          <w:szCs w:val="32"/>
          <w:lang w:val="en-US" w:eastAsia="zh-CN"/>
        </w:rPr>
        <w:t>、教育脱贫办公室、职教中心、电教中心</w:t>
      </w:r>
      <w:r>
        <w:rPr>
          <w:rFonts w:hint="default" w:ascii="仿宋_GB2312"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二、工作任务</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（一）实</w:t>
      </w:r>
      <w:r>
        <w:rPr>
          <w:rFonts w:hint="eastAsia" w:ascii="仿宋_GB2312" w:eastAsia="仿宋_GB2312"/>
          <w:b/>
          <w:bCs/>
          <w:sz w:val="32"/>
          <w:szCs w:val="32"/>
        </w:rPr>
        <w:t>施党建引领行动，全面加强教育工作的领导</w:t>
      </w:r>
      <w:r>
        <w:rPr>
          <w:rFonts w:hint="eastAsia" w:ascii="仿宋_GB2312" w:eastAsia="仿宋_GB2312"/>
          <w:sz w:val="32"/>
          <w:szCs w:val="32"/>
        </w:rPr>
        <w:t xml:space="preserve">     </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一是</w:t>
      </w:r>
      <w:r>
        <w:rPr>
          <w:rFonts w:hint="eastAsia" w:ascii="仿宋_GB2312" w:eastAsia="仿宋_GB2312"/>
          <w:sz w:val="32"/>
          <w:szCs w:val="32"/>
        </w:rPr>
        <w:t>深入学习贯彻党的二十大精神。推动习近平新时代中国特色社会主义思想和党</w:t>
      </w:r>
      <w:r>
        <w:rPr>
          <w:rFonts w:hint="eastAsia" w:ascii="仿宋_GB2312" w:eastAsia="仿宋_GB2312"/>
          <w:sz w:val="32"/>
          <w:szCs w:val="32"/>
          <w:lang w:eastAsia="zh-CN"/>
        </w:rPr>
        <w:t>的</w:t>
      </w:r>
      <w:r>
        <w:rPr>
          <w:rFonts w:hint="eastAsia" w:ascii="仿宋_GB2312" w:eastAsia="仿宋_GB2312"/>
          <w:sz w:val="32"/>
          <w:szCs w:val="32"/>
        </w:rPr>
        <w:t>二十大精神入脑入</w:t>
      </w:r>
      <w:bookmarkStart w:id="0" w:name="_GoBack"/>
      <w:bookmarkEnd w:id="0"/>
      <w:r>
        <w:rPr>
          <w:rFonts w:hint="eastAsia" w:ascii="仿宋_GB2312" w:eastAsia="仿宋_GB2312"/>
          <w:sz w:val="32"/>
          <w:szCs w:val="32"/>
        </w:rPr>
        <w:t>心。充分发挥教育系统优势，持续拓展学习深度和方式，开展领导班子带头学、基层组织研讨学、思政课堂融入学、宣传宣讲广泛学。</w:t>
      </w:r>
      <w:r>
        <w:rPr>
          <w:rFonts w:hint="eastAsia" w:ascii="仿宋_GB2312" w:eastAsia="仿宋_GB2312"/>
          <w:b/>
          <w:bCs/>
          <w:sz w:val="32"/>
          <w:szCs w:val="32"/>
          <w:lang w:val="en-US" w:eastAsia="zh-CN"/>
        </w:rPr>
        <w:t>二是</w:t>
      </w:r>
      <w:r>
        <w:rPr>
          <w:rFonts w:hint="eastAsia" w:ascii="仿宋_GB2312" w:eastAsia="仿宋_GB2312"/>
          <w:sz w:val="32"/>
          <w:szCs w:val="32"/>
        </w:rPr>
        <w:t>全面落实党组织领导的校长负责制。继续修订完善“一章两规则”（学校章程，党组织会议议事规则、校务会议议事规则）充分发挥学校党组织管大局、把方向、抓班子、带队伍、抓落实的领导职责。全面推进教育系统党的思想建设、组织建设、作风建设、纪律建设，以高质量党建引领教育高质量发展。</w:t>
      </w:r>
      <w:r>
        <w:rPr>
          <w:rFonts w:hint="eastAsia" w:ascii="仿宋_GB2312" w:eastAsia="仿宋_GB2312"/>
          <w:b/>
          <w:bCs/>
          <w:sz w:val="32"/>
          <w:szCs w:val="32"/>
          <w:lang w:val="en-US" w:eastAsia="zh-CN"/>
        </w:rPr>
        <w:t>三是</w:t>
      </w:r>
      <w:r>
        <w:rPr>
          <w:rFonts w:hint="eastAsia" w:ascii="仿宋_GB2312" w:eastAsia="仿宋_GB2312"/>
          <w:sz w:val="32"/>
          <w:szCs w:val="32"/>
        </w:rPr>
        <w:t>推动全面从严治党向纵深发展。加快推进“干部作风能力提升年”活动，把“勤快严实精细廉”要求融入日常、做在经常。扎实开展“清廉学校”建设，把清廉建设与开展作风建设专项行动结合起来，与开展教育领域专项整治结合起来，与推动学校教育教学工作结合起来，推动清廉建设与学校中心工作同向发力、同步提振。营造风清气正的教育生态。</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（二）实施项目提质行动，不断改善办学条件</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一是</w:t>
      </w:r>
      <w:r>
        <w:rPr>
          <w:rFonts w:hint="eastAsia" w:ascii="仿宋_GB2312" w:eastAsia="仿宋_GB2312"/>
          <w:b/>
          <w:bCs/>
          <w:sz w:val="32"/>
          <w:szCs w:val="32"/>
        </w:rPr>
        <w:t>加快推进项目建设。</w:t>
      </w:r>
      <w:r>
        <w:rPr>
          <w:rFonts w:hint="eastAsia" w:ascii="仿宋_GB2312" w:eastAsia="仿宋_GB2312"/>
          <w:sz w:val="32"/>
          <w:szCs w:val="32"/>
        </w:rPr>
        <w:t>加快中小学校规划和布局调整，及时全面掌握项目建设进展情况，确保项目建设提速增效，2023年完成镇坪县高级中学项目建设的边坡挡护、地下停场、人防，教学楼等校舍基础施工，力争完成投资2亿元。加快钟宝幼儿园、曾家镇幼儿园建设力度。</w:t>
      </w:r>
      <w:r>
        <w:rPr>
          <w:rFonts w:hint="eastAsia" w:ascii="仿宋_GB2312" w:eastAsia="仿宋_GB2312"/>
          <w:b/>
          <w:bCs/>
          <w:sz w:val="32"/>
          <w:szCs w:val="32"/>
          <w:lang w:val="en-US" w:eastAsia="zh-CN"/>
        </w:rPr>
        <w:t>二是</w:t>
      </w:r>
      <w:r>
        <w:rPr>
          <w:rFonts w:hint="eastAsia" w:ascii="仿宋_GB2312" w:eastAsia="仿宋_GB2312"/>
          <w:b/>
          <w:bCs/>
          <w:sz w:val="32"/>
          <w:szCs w:val="32"/>
        </w:rPr>
        <w:t>围绕创建补短板。</w:t>
      </w:r>
      <w:r>
        <w:rPr>
          <w:rFonts w:hint="eastAsia" w:ascii="仿宋_GB2312" w:eastAsia="仿宋_GB2312"/>
          <w:sz w:val="32"/>
          <w:szCs w:val="32"/>
        </w:rPr>
        <w:t>坚持以教育“双创”抓手，对标评估指标，聚焦办学条件、师资队伍“两个合格”，坚持问题导向，加快实施校舍建设、功能部室提升改造、学校运动场地拓展、教学设施设备购置等项目，加强薄弱乡村学校改造提升，持续改善学校办学条件，促进学校内涵发展。</w:t>
      </w:r>
      <w:r>
        <w:rPr>
          <w:rFonts w:hint="eastAsia" w:ascii="仿宋_GB2312" w:eastAsia="仿宋_GB2312"/>
          <w:b/>
          <w:bCs/>
          <w:sz w:val="32"/>
          <w:szCs w:val="32"/>
          <w:lang w:val="en-US" w:eastAsia="zh-CN"/>
        </w:rPr>
        <w:t>三是</w:t>
      </w:r>
      <w:r>
        <w:rPr>
          <w:rFonts w:hint="eastAsia" w:ascii="仿宋_GB2312" w:eastAsia="仿宋_GB2312"/>
          <w:b/>
          <w:bCs/>
          <w:sz w:val="32"/>
          <w:szCs w:val="32"/>
        </w:rPr>
        <w:t>加快推动教育数字化发展。</w:t>
      </w:r>
      <w:r>
        <w:rPr>
          <w:rFonts w:hint="eastAsia" w:ascii="仿宋_GB2312" w:eastAsia="仿宋_GB2312"/>
          <w:sz w:val="32"/>
          <w:szCs w:val="32"/>
        </w:rPr>
        <w:t>加强网络安全管理，丰富教育数据应用，提升教育数据的数量、质量和可信度，持续做好智慧校园，探索教育数字化在教育管理、课堂教学、综合评价、高考改革等方面的融合运用。推进陕西教育扶智平台的普及应用，开展“教师精品课”“微课和教学创新大赛”及学生信息素养提升实践活动，普及人工智能教育，以数字化、信息化支撑引领教育现代化。</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（三）实施队伍强基行动，不断激发办学活力</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一是</w:t>
      </w:r>
      <w:r>
        <w:rPr>
          <w:rFonts w:hint="eastAsia" w:ascii="仿宋_GB2312" w:eastAsia="仿宋_GB2312"/>
          <w:b/>
          <w:bCs/>
          <w:sz w:val="32"/>
          <w:szCs w:val="32"/>
        </w:rPr>
        <w:t>着力加强师德师风建设。</w:t>
      </w:r>
      <w:r>
        <w:rPr>
          <w:rFonts w:hint="eastAsia" w:ascii="仿宋_GB2312" w:eastAsia="仿宋_GB2312"/>
          <w:sz w:val="32"/>
          <w:szCs w:val="32"/>
        </w:rPr>
        <w:t>强化师德师风考核力度，各校要坚持从严治校、从严治教，扎实开展“强师德、铸师魂”师德承诺宣誓、师德责任书签订、师德典型选树及宣传活动，严格落实学习新时代教师职业行为十项准则。牢固树立教书育人的责任感使命感，恪守底线。</w:t>
      </w:r>
      <w:r>
        <w:rPr>
          <w:rFonts w:hint="eastAsia" w:ascii="仿宋_GB2312" w:eastAsia="仿宋_GB2312"/>
          <w:b/>
          <w:bCs/>
          <w:sz w:val="32"/>
          <w:szCs w:val="32"/>
          <w:lang w:val="en-US" w:eastAsia="zh-CN"/>
        </w:rPr>
        <w:t>二是</w:t>
      </w:r>
      <w:r>
        <w:rPr>
          <w:rFonts w:hint="eastAsia" w:ascii="仿宋_GB2312" w:eastAsia="仿宋_GB2312"/>
          <w:b/>
          <w:bCs/>
          <w:sz w:val="32"/>
          <w:szCs w:val="32"/>
        </w:rPr>
        <w:t>有序推进“县管校聘”管理改革。</w:t>
      </w:r>
      <w:r>
        <w:rPr>
          <w:rFonts w:hint="eastAsia" w:ascii="仿宋_GB2312" w:eastAsia="仿宋_GB2312"/>
          <w:sz w:val="32"/>
          <w:szCs w:val="32"/>
        </w:rPr>
        <w:t>创新举措，优化教师队伍结构，加强校长、教师交流轮岗。加快出台《镇坪县教师队伍管理办法》《镇坪县中小学幼儿园教职工调动管理办法》《镇坪县中小学校长管理办法》等指导性文件，进一步完善教师管理体系。</w:t>
      </w:r>
      <w:r>
        <w:rPr>
          <w:rFonts w:hint="eastAsia" w:ascii="仿宋_GB2312" w:eastAsia="仿宋_GB2312"/>
          <w:b/>
          <w:bCs/>
          <w:sz w:val="32"/>
          <w:szCs w:val="32"/>
          <w:lang w:val="en-US" w:eastAsia="zh-CN"/>
        </w:rPr>
        <w:t>三是</w:t>
      </w:r>
      <w:r>
        <w:rPr>
          <w:rFonts w:hint="eastAsia" w:ascii="仿宋_GB2312" w:eastAsia="仿宋_GB2312"/>
          <w:b/>
          <w:bCs/>
          <w:sz w:val="32"/>
          <w:szCs w:val="32"/>
        </w:rPr>
        <w:t>加强骨师队伍培训。</w:t>
      </w:r>
      <w:r>
        <w:rPr>
          <w:rFonts w:hint="eastAsia" w:ascii="仿宋_GB2312" w:eastAsia="仿宋_GB2312"/>
          <w:sz w:val="32"/>
          <w:szCs w:val="32"/>
        </w:rPr>
        <w:t>加大教师培训力度，持续实施“十百千万”培训工程，全力推进“三级三类”骨干体系建设，开展骨干教师送教送培和“传、帮、带”活动，促进全员提升。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三、预算单位构成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纳入本部门2023年部门预算编制范围的预算单位共1个，包括17个二级预算单位。</w:t>
      </w:r>
    </w:p>
    <w:tbl>
      <w:tblPr>
        <w:tblStyle w:val="2"/>
        <w:tblpPr w:leftFromText="180" w:rightFromText="180" w:vertAnchor="text" w:horzAnchor="page" w:tblpXSpec="center" w:tblpY="333"/>
        <w:tblOverlap w:val="never"/>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9"/>
        <w:gridCol w:w="4675"/>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39" w:type="dxa"/>
            <w:noWrap w:val="0"/>
            <w:vAlign w:val="top"/>
          </w:tcPr>
          <w:p>
            <w:pPr>
              <w:bidi w:val="0"/>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序号</w:t>
            </w:r>
          </w:p>
        </w:tc>
        <w:tc>
          <w:tcPr>
            <w:tcW w:w="4675"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单位名称</w:t>
            </w:r>
          </w:p>
        </w:tc>
        <w:tc>
          <w:tcPr>
            <w:tcW w:w="2452"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39" w:type="dxa"/>
            <w:noWrap w:val="0"/>
            <w:vAlign w:val="top"/>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675" w:type="dxa"/>
            <w:noWrap w:val="0"/>
            <w:vAlign w:val="top"/>
          </w:tcPr>
          <w:p>
            <w:pPr>
              <w:bidi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镇坪县教育体育和科技局（本级）</w:t>
            </w:r>
          </w:p>
        </w:tc>
        <w:tc>
          <w:tcPr>
            <w:tcW w:w="2452" w:type="dxa"/>
            <w:noWrap w:val="0"/>
            <w:vAlign w:val="top"/>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2</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镇坪县城关小学</w:t>
            </w:r>
          </w:p>
        </w:tc>
        <w:tc>
          <w:tcPr>
            <w:tcW w:w="2452"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3</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镇坪县师训教研中心</w:t>
            </w:r>
          </w:p>
        </w:tc>
        <w:tc>
          <w:tcPr>
            <w:tcW w:w="2452"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4</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镇坪县幼儿园</w:t>
            </w:r>
          </w:p>
        </w:tc>
        <w:tc>
          <w:tcPr>
            <w:tcW w:w="2452"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5</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镇坪县初级中学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6</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镇坪县曾家初级中学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7</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镇坪县牛头店镇九年制学校</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8</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镇坪县钟宝初级中学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9</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镇坪县曾家镇小学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10</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镇坪县洪石小学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11</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镇坪县牛头店镇中心幼儿园</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12</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镇坪县白家小学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13</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镇坪县第二幼儿园</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14</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镇坪县上竹镇小学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15</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镇坪县钟宝小学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16</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镇坪县华坪镇小学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17</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镇坪县小曙河小学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139" w:type="dxa"/>
            <w:shd w:val="clear" w:color="auto" w:fill="auto"/>
            <w:vAlign w:val="top"/>
          </w:tcPr>
          <w:p>
            <w:pPr>
              <w:pageBreakBefore w:val="0"/>
              <w:jc w:val="left"/>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18</w:t>
            </w:r>
          </w:p>
        </w:tc>
        <w:tc>
          <w:tcPr>
            <w:tcW w:w="4675" w:type="dxa"/>
            <w:shd w:val="clear" w:color="auto" w:fill="auto"/>
            <w:vAlign w:val="top"/>
          </w:tcPr>
          <w:p>
            <w:pPr>
              <w:pageBreakBefore w:val="0"/>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 w:val="0"/>
                <w:i w:val="0"/>
                <w:strike w:val="0"/>
                <w:color w:val="auto"/>
                <w:position w:val="-1"/>
                <w:sz w:val="28"/>
                <w:szCs w:val="28"/>
                <w:u w:val="none"/>
              </w:rPr>
              <w:t>镇坪县曙坪镇小学</w:t>
            </w:r>
          </w:p>
        </w:tc>
        <w:tc>
          <w:tcPr>
            <w:tcW w:w="2452" w:type="dxa"/>
            <w:shd w:val="clear" w:color="auto" w:fill="auto"/>
            <w:vAlign w:val="top"/>
          </w:tcPr>
          <w:p>
            <w:pPr>
              <w:pageBreakBefore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四、人员情况说明</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截止2022年12月，本部门人员编制22人，其中行政编制7人、事业编制15人（电教中心6人、招生工作站4人、青少年校外活动中心5人）；实有人员19人，其中行政6人、事业13人。单位管理的离退休人员0人。</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17个二级预算单位（不含镇坪县高级中学）人员编制545人，实有537人。</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val="en-US" w:eastAsia="zh-CN"/>
        </w:rPr>
      </w:pPr>
      <w:r>
        <w:drawing>
          <wp:inline distT="0" distB="0" distL="114300" distR="114300">
            <wp:extent cx="4709160" cy="2712085"/>
            <wp:effectExtent l="4445" t="4445" r="10795" b="762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五、收支说明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（一）收支预算总体情况</w:t>
      </w:r>
    </w:p>
    <w:p>
      <w:pPr>
        <w:numPr>
          <w:ilvl w:val="0"/>
          <w:numId w:val="0"/>
        </w:numPr>
        <w:spacing w:line="560" w:lineRule="exact"/>
        <w:ind w:firstLine="640" w:firstLineChars="200"/>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按照综合预算的原则，本部门所有收入和支出均纳入部门预算管理。</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14:textFill>
            <w14:gradFill>
              <w14:gsLst>
                <w14:gs w14:pos="0">
                  <w14:srgbClr w14:val="FE4444"/>
                </w14:gs>
                <w14:gs w14:pos="100000">
                  <w14:srgbClr w14:val="832B2B"/>
                </w14:gs>
              </w14:gsLst>
              <w14:lin w14:scaled="false"/>
            </w14:gradFill>
          </w14:textFill>
        </w:rPr>
      </w:pPr>
      <w:r>
        <w:rPr>
          <w:rFonts w:hint="eastAsia" w:ascii="仿宋_GB2312" w:hAnsi="仿宋_GB2312" w:eastAsia="仿宋_GB2312" w:cs="仿宋_GB2312"/>
          <w:color w:val="auto"/>
          <w:sz w:val="32"/>
          <w:szCs w:val="32"/>
          <w:lang w:val="en-US" w:eastAsia="zh-CN"/>
        </w:rPr>
        <w:t>2023年本部门预算收入8922.77万元，其中一般公共预算拨款收入8922.77万元，2023年本部门预算收入较上年增加2384.68万元，主要原因是：2023年本部门预算收入包含了县本级专项资金预算，上年度仅含部门预算。其中一般公共预算拨款支出8922.77万元，2023年本部门预算支出较上年增加2384.68万元，主要原因是：2023年本部门预算收入包含了县本级专项资金预算，上年度仅含部门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（二）财政拨款收支情况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部门财政拨款预算收入8922.77万元，其中一般公共预算拨款收入8922.77万元，2023年本部门预算收入较上年增加2384.68万元，主要原因是：2023年本部门预算收入包含了县本级专项资金预算，上年度仅含部门预算。其中财政拨款预算拨款支出8922.77万元，2023年本部门预算支出较上年增加2384.68万元，主要原因是：2023年本部门预算收入包含了县本级专项资金预算，上年度仅含部门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（三）一般公共预算拨款支出明细情况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1、一般公共预算当年拨款规模变化情况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2023年本部门当年一般公共预算拨款支出8922.77万元，较上年增加2384.68万元，主要原因是：2023年本部门预算收入包含了县本级专项资金预算，上年度仅含部门预算。</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2、支出按功能科目分类的明细情况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本部门2023年当年一般公共预算支出8922.77万元，其中：</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（1）行政运行（2050101）676.76万元，较上年增加421.77万元，原因是：本年部门预算收入包含了县本级专项资金预算，上年度仅含部门预算；</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（2）学前教育（2050201）687.46万元，较上年增加16.90万元，原因是人员经费的正常增加；</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（3）小学教育（2050202）3874.13万元，较上年增加270.89万元，原因是人员经费的正常增加；</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（4）初中教育（2050203）1683.88万元，较上年减少116.70万元，原因是本年城区学校营养膳食补助不再执行，故营养膳食补助专项资金减少；</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（5）高中教育（2050204）11.27万元，较上年增长11.27万元，原因是人员经费的正常增加；</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（6）其他普通教育支出（2050299）228.27万元，较上年增长228.27万元，原因是本年县本级专项资金列入预算公开中，部分专项资金列入其他普通教育支出科目核算；</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（7）教师进修（2050801）109.25万元，较上年减少19.93万元，原因是人员经费的正常减少。</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（8）其他科学技术支出（2069999）460.00万元，较上年增长460.00万元，主要原因是往年度科学技术支出误列入教育支出中核算；</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（9）机关事业单位基本养老保险缴费支出（2080505）540.91万元，较上年增长540.91万元，主要原因是本年度预算编制口径变化，将养老保险缴费支出调整至本科目；</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（10）行政单位医疗（2101101）17.48万元，较上年增长17.48万元，主要原因是本年度预算编制口径变化，将行政单位医疗保险支出调整至本科目；</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（11）事业单位医疗（2101102）217.01万元，较上年增长217.01万元，主要原因是本年度预算编制口径变化，将事业单位医疗保险支出调整至本科目；</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（12）住房公积金（2210201）416.35万元，较上年增长416.35万元，主要原因是本年度预算编制口径变化，将住房公积金支出调整至本科目；</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3、支出按经济科目分类的明细情况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（1）按照经济科目分类的明细情况。本部门当年一般公共预算支出6538.09万元（含局机关、17个下属学校），其中：</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资福利支出（301）8104.40万元，较上年增加1672.09万元，原因是2023年本部门预算收入包含了县本级专项资金预算，其中教师与公务员之间工资差额补助、教育目标质量考核奖及特岗教师县级补助等专项经费列入人员经费中核算；</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商品和服务支出（302）388.50万元，较上年增长291.85万元，原因是2023年本部门预算收入包含了县本级专项资金预算，以至于当年预算收入增加；</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对个人和家庭的补助支出（303）151.90万元，较上年增长52.77万元，原因是2023年本部门预算收入包含了县本级专项资金预算，以至于当年预算收入增加；</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（2）按照政府预算支出经济分类本部门当年一般公共预算支出7255.29万元，其中：</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机关工资福利支出（301）7174.24万元，较上年增长831.93万元，原因是人员经费的正常增加；</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机关商品和服务支出（302）22.70万元，较上年减少73.95万元，原因是本年商品服务支出仅含机关及师训教研中心公用经费；</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对个人和家庭的补助支出（303）58.35万元，较上年减少40.78万元，原因是科目调整；</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4、2023年结转财政资金一般公共预算拨款支出情况。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本部门无2022年结转的一般公共预算拨款资金支出，并已公开空表。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（四）政府性基金预算支出情况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本部门无当年政府性基金预算收支，并已公开空表；本部门无2022年结转的政府性基金预算拨款支出，并已公开空表。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（五）国有资本经营预算拨款收支情况。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本部门无当年国有资本经营预算拨款收支，并已公开空表。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六、部门预算“三公”经费等预算情况说明</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部门当年一般公共预算“三公”经费预算支出3.89万元，上年一般公共预算“三公”经费预算支出3.89万元。其中：因公出国（境）经费0万元，2022年和2023年，本部门均无因公出国（境）经费预算；公务接待费3.89万元，与上年持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2023年本部门当年一般公共预算会议费预算支出0万元，2022年本部门会议费经费预算0元，故无2022年结转的会议费。</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2023年本部门当年一般公共预算培训费预算支出26.00万元，上年度教育培训经费支出31.37万元，主要是教师能力提升培训。本年无上年结转的培训费支出。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本部门无2022年结转的财政拨款‘三公’经费支出。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七、部门国有资产占有使用及资产购置情况说明</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截止2023年底，本部门所属预算单位共有车辆0辆，单价20万元以上的设备0台（套）。2022年当年部门预算安排购置车辆0辆；安排购置单价20万元以上的设备0台（套）。</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本部门无2022年结转的财政拨款支出资产购置。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八、部门政府采购情况说明</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本部门2023年无政府采购预算，并已公开空表。</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本部门无2022年结转的政府采购资金支出。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九、部门预算绩效目标说明</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2023年本部门专项业务经费绩效目标管理全覆盖，涉及当年一般公共预算拨款1667.48</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sz w:val="32"/>
          <w:szCs w:val="32"/>
          <w:lang w:val="en-US" w:eastAsia="zh-CN"/>
        </w:rPr>
        <w:t>万元,当年政府性基金预算拨款0万元，当年国有资本经营预算拨款0万元（详见公开报表中的绩效目标表）。</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本部门无2022年结转的财政拨款支出涉及的绩效目标管理。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本部门当年机关运行经费预算安排1207.48万元，较上年增加281.13万元，主要原因是学校专项资金由财政通过财政云系统拨付至局机关国库集中支付中，由局机关转拨至下属各学校。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专业名词解释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仿宋_GB2312" w:hAnsi="仿宋_GB2312" w:eastAsia="仿宋_GB2312" w:cs="仿宋_GB2312"/>
          <w:sz w:val="32"/>
          <w:szCs w:val="32"/>
          <w:lang w:val="en-US" w:eastAsia="zh-CN"/>
        </w:rPr>
        <w:t>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宋体" w:hAnsi="宋体" w:eastAsia="宋体" w:cs="宋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宋体" w:hAnsi="宋体" w:eastAsia="宋体" w:cs="宋体"/>
          <w:b w:val="0"/>
          <w:bCs w:val="0"/>
          <w:sz w:val="28"/>
          <w:szCs w:val="28"/>
          <w:lang w:val="en-US" w:eastAsia="zh-CN"/>
        </w:rPr>
      </w:pPr>
      <w:r>
        <w:rPr>
          <w:rFonts w:hint="eastAsia" w:ascii="宋体" w:hAnsi="宋体" w:cs="宋体"/>
          <w:b/>
          <w:bCs/>
          <w:sz w:val="28"/>
          <w:szCs w:val="28"/>
          <w:lang w:val="en-US" w:eastAsia="zh-CN"/>
        </w:rPr>
        <w:t xml:space="preserve">   </w:t>
      </w:r>
      <w:r>
        <w:rPr>
          <w:rFonts w:hint="eastAsia" w:asciiTheme="majorEastAsia" w:hAnsiTheme="majorEastAsia" w:eastAsiaTheme="majorEastAsia" w:cstheme="majorEastAsia"/>
          <w:sz w:val="32"/>
          <w:szCs w:val="32"/>
          <w:lang w:val="en-US" w:eastAsia="zh-CN"/>
        </w:rPr>
        <w:t>（见附件2内容）</w:t>
      </w:r>
    </w:p>
    <w:sectPr>
      <w:pgSz w:w="11906" w:h="16838"/>
      <w:pgMar w:top="1474" w:right="1474" w:bottom="1474"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B9A68"/>
    <w:multiLevelType w:val="singleLevel"/>
    <w:tmpl w:val="765B9A68"/>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65"/>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OTc2NGFkNmFiYzkwZmQ2OWE0YTZkZjRjMzZlNDcifQ=="/>
  </w:docVars>
  <w:rsids>
    <w:rsidRoot w:val="00172A27"/>
    <w:rsid w:val="0002500C"/>
    <w:rsid w:val="00817C7C"/>
    <w:rsid w:val="00CE11C6"/>
    <w:rsid w:val="00E57791"/>
    <w:rsid w:val="00F13B71"/>
    <w:rsid w:val="00F86BD8"/>
    <w:rsid w:val="015358A1"/>
    <w:rsid w:val="0169037A"/>
    <w:rsid w:val="019A37DB"/>
    <w:rsid w:val="01DF2BB7"/>
    <w:rsid w:val="01ED29DF"/>
    <w:rsid w:val="0209026D"/>
    <w:rsid w:val="025830ED"/>
    <w:rsid w:val="02E940E4"/>
    <w:rsid w:val="03295794"/>
    <w:rsid w:val="03347010"/>
    <w:rsid w:val="037B747C"/>
    <w:rsid w:val="03AC5C73"/>
    <w:rsid w:val="03C51AA4"/>
    <w:rsid w:val="03F03CCE"/>
    <w:rsid w:val="042123E7"/>
    <w:rsid w:val="04671024"/>
    <w:rsid w:val="050C7A05"/>
    <w:rsid w:val="056B2442"/>
    <w:rsid w:val="05A6512B"/>
    <w:rsid w:val="05BD3118"/>
    <w:rsid w:val="063A2179"/>
    <w:rsid w:val="06535650"/>
    <w:rsid w:val="06555A5A"/>
    <w:rsid w:val="0753082F"/>
    <w:rsid w:val="07600B39"/>
    <w:rsid w:val="07632917"/>
    <w:rsid w:val="07706718"/>
    <w:rsid w:val="07956EB7"/>
    <w:rsid w:val="0877497F"/>
    <w:rsid w:val="08AC10A9"/>
    <w:rsid w:val="08DA2EA3"/>
    <w:rsid w:val="092F4832"/>
    <w:rsid w:val="097F3883"/>
    <w:rsid w:val="09821A03"/>
    <w:rsid w:val="0A3121AF"/>
    <w:rsid w:val="0A391333"/>
    <w:rsid w:val="0AA50E2F"/>
    <w:rsid w:val="0AA6727C"/>
    <w:rsid w:val="0AC05463"/>
    <w:rsid w:val="0AD97118"/>
    <w:rsid w:val="0AEE1997"/>
    <w:rsid w:val="0B0259FF"/>
    <w:rsid w:val="0B115838"/>
    <w:rsid w:val="0B420AEA"/>
    <w:rsid w:val="0BBF2E48"/>
    <w:rsid w:val="0BC70C0A"/>
    <w:rsid w:val="0BC817E1"/>
    <w:rsid w:val="0BCE6852"/>
    <w:rsid w:val="0BEA54A6"/>
    <w:rsid w:val="0C0D234C"/>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404585"/>
    <w:rsid w:val="107B7C2D"/>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6D7FF2"/>
    <w:rsid w:val="14A35726"/>
    <w:rsid w:val="151F6E6D"/>
    <w:rsid w:val="153935D8"/>
    <w:rsid w:val="154F1B9F"/>
    <w:rsid w:val="15B95A59"/>
    <w:rsid w:val="15C8778C"/>
    <w:rsid w:val="16150B7E"/>
    <w:rsid w:val="16264D1F"/>
    <w:rsid w:val="16BB0A11"/>
    <w:rsid w:val="17117679"/>
    <w:rsid w:val="171667D3"/>
    <w:rsid w:val="17424B58"/>
    <w:rsid w:val="17910A90"/>
    <w:rsid w:val="17E34984"/>
    <w:rsid w:val="181F4C6E"/>
    <w:rsid w:val="18410DA8"/>
    <w:rsid w:val="18680801"/>
    <w:rsid w:val="187C632C"/>
    <w:rsid w:val="18C97953"/>
    <w:rsid w:val="18D8782D"/>
    <w:rsid w:val="18EB2595"/>
    <w:rsid w:val="19055D69"/>
    <w:rsid w:val="19141913"/>
    <w:rsid w:val="191750EC"/>
    <w:rsid w:val="191F11DC"/>
    <w:rsid w:val="1960119B"/>
    <w:rsid w:val="19942E61"/>
    <w:rsid w:val="19B02787"/>
    <w:rsid w:val="19DD0836"/>
    <w:rsid w:val="1A2F0955"/>
    <w:rsid w:val="1A620741"/>
    <w:rsid w:val="1AE02592"/>
    <w:rsid w:val="1B0165C9"/>
    <w:rsid w:val="1B092C9F"/>
    <w:rsid w:val="1B332B6A"/>
    <w:rsid w:val="1B5A5061"/>
    <w:rsid w:val="1B8E63BA"/>
    <w:rsid w:val="1BC933DC"/>
    <w:rsid w:val="1C097D46"/>
    <w:rsid w:val="1C320E66"/>
    <w:rsid w:val="1C5A1287"/>
    <w:rsid w:val="1CB164B9"/>
    <w:rsid w:val="1CB26E8F"/>
    <w:rsid w:val="1D02380A"/>
    <w:rsid w:val="1E48774E"/>
    <w:rsid w:val="1E6B3FC4"/>
    <w:rsid w:val="1EA123DE"/>
    <w:rsid w:val="1EA50D3B"/>
    <w:rsid w:val="1ED0381D"/>
    <w:rsid w:val="1EDE6EF7"/>
    <w:rsid w:val="1F0F4EEF"/>
    <w:rsid w:val="1F474DE3"/>
    <w:rsid w:val="1F59183B"/>
    <w:rsid w:val="1F72323A"/>
    <w:rsid w:val="1F9E1EE8"/>
    <w:rsid w:val="1FB931AC"/>
    <w:rsid w:val="1FCD5494"/>
    <w:rsid w:val="1FD652B9"/>
    <w:rsid w:val="200710B0"/>
    <w:rsid w:val="201947E5"/>
    <w:rsid w:val="20455988"/>
    <w:rsid w:val="20B42D9D"/>
    <w:rsid w:val="21231E6E"/>
    <w:rsid w:val="213925E9"/>
    <w:rsid w:val="213C6536"/>
    <w:rsid w:val="21482EC5"/>
    <w:rsid w:val="21621941"/>
    <w:rsid w:val="21732A0C"/>
    <w:rsid w:val="21B01310"/>
    <w:rsid w:val="221D3069"/>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A57C0"/>
    <w:rsid w:val="26E94B19"/>
    <w:rsid w:val="27192607"/>
    <w:rsid w:val="276F4A98"/>
    <w:rsid w:val="279F1274"/>
    <w:rsid w:val="28061A99"/>
    <w:rsid w:val="28856A2D"/>
    <w:rsid w:val="2886733F"/>
    <w:rsid w:val="28B974D7"/>
    <w:rsid w:val="28CD2EC6"/>
    <w:rsid w:val="28CE1906"/>
    <w:rsid w:val="29995172"/>
    <w:rsid w:val="29AC1283"/>
    <w:rsid w:val="29CF276D"/>
    <w:rsid w:val="29D53111"/>
    <w:rsid w:val="2AA47CD5"/>
    <w:rsid w:val="2ADC1299"/>
    <w:rsid w:val="2AE757FB"/>
    <w:rsid w:val="2BD81239"/>
    <w:rsid w:val="2BE56461"/>
    <w:rsid w:val="2BE75DCA"/>
    <w:rsid w:val="2BF85692"/>
    <w:rsid w:val="2C0256C6"/>
    <w:rsid w:val="2C522B76"/>
    <w:rsid w:val="2CF3789E"/>
    <w:rsid w:val="2D0D3281"/>
    <w:rsid w:val="2D0D5C2B"/>
    <w:rsid w:val="2D9A478D"/>
    <w:rsid w:val="2DCD77AA"/>
    <w:rsid w:val="2E0B249C"/>
    <w:rsid w:val="2E193A2F"/>
    <w:rsid w:val="2E3738D4"/>
    <w:rsid w:val="2E803BB2"/>
    <w:rsid w:val="2ED809C4"/>
    <w:rsid w:val="2EF23A77"/>
    <w:rsid w:val="2F560F80"/>
    <w:rsid w:val="2F98708D"/>
    <w:rsid w:val="301F5C98"/>
    <w:rsid w:val="303957EE"/>
    <w:rsid w:val="30AF76EF"/>
    <w:rsid w:val="30DC78E7"/>
    <w:rsid w:val="31DB385B"/>
    <w:rsid w:val="31DD756F"/>
    <w:rsid w:val="31E542D4"/>
    <w:rsid w:val="32162B6A"/>
    <w:rsid w:val="322466F2"/>
    <w:rsid w:val="322B447F"/>
    <w:rsid w:val="32A8762A"/>
    <w:rsid w:val="32B82283"/>
    <w:rsid w:val="33011313"/>
    <w:rsid w:val="337E2856"/>
    <w:rsid w:val="33966C57"/>
    <w:rsid w:val="33D0750F"/>
    <w:rsid w:val="33EC2CEC"/>
    <w:rsid w:val="342F5C51"/>
    <w:rsid w:val="343F1D23"/>
    <w:rsid w:val="346F2A37"/>
    <w:rsid w:val="353360CA"/>
    <w:rsid w:val="35C423A1"/>
    <w:rsid w:val="35FC1049"/>
    <w:rsid w:val="36130651"/>
    <w:rsid w:val="36256A03"/>
    <w:rsid w:val="36384582"/>
    <w:rsid w:val="366D5ED8"/>
    <w:rsid w:val="368340BC"/>
    <w:rsid w:val="37125486"/>
    <w:rsid w:val="373D22D0"/>
    <w:rsid w:val="37463827"/>
    <w:rsid w:val="37624231"/>
    <w:rsid w:val="37B3535F"/>
    <w:rsid w:val="37DD7F65"/>
    <w:rsid w:val="37E345F1"/>
    <w:rsid w:val="37E52450"/>
    <w:rsid w:val="3810606A"/>
    <w:rsid w:val="385B7F48"/>
    <w:rsid w:val="394360F5"/>
    <w:rsid w:val="39D36D72"/>
    <w:rsid w:val="39F23E7D"/>
    <w:rsid w:val="39F27F2D"/>
    <w:rsid w:val="3A296DB0"/>
    <w:rsid w:val="3A8C3EE7"/>
    <w:rsid w:val="3B230497"/>
    <w:rsid w:val="3B3B1B9E"/>
    <w:rsid w:val="3B3B3FFE"/>
    <w:rsid w:val="3BAB75F8"/>
    <w:rsid w:val="3C4D288E"/>
    <w:rsid w:val="3C604996"/>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9F2B91"/>
    <w:rsid w:val="42BD2DEB"/>
    <w:rsid w:val="431C5459"/>
    <w:rsid w:val="43FE04A3"/>
    <w:rsid w:val="44541F37"/>
    <w:rsid w:val="44555432"/>
    <w:rsid w:val="44FC03BC"/>
    <w:rsid w:val="45036889"/>
    <w:rsid w:val="45251B69"/>
    <w:rsid w:val="45332FC5"/>
    <w:rsid w:val="456152FB"/>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3F51E4"/>
    <w:rsid w:val="4B657062"/>
    <w:rsid w:val="4B850273"/>
    <w:rsid w:val="4C026A6E"/>
    <w:rsid w:val="4C283ECA"/>
    <w:rsid w:val="4C6858B3"/>
    <w:rsid w:val="4CA115D6"/>
    <w:rsid w:val="4D2B0CA3"/>
    <w:rsid w:val="4D6B28A0"/>
    <w:rsid w:val="4D9A1F51"/>
    <w:rsid w:val="4DD1134A"/>
    <w:rsid w:val="4DE84C9C"/>
    <w:rsid w:val="4DFE1F86"/>
    <w:rsid w:val="4E2504EC"/>
    <w:rsid w:val="4E840476"/>
    <w:rsid w:val="4F310148"/>
    <w:rsid w:val="4F3E246B"/>
    <w:rsid w:val="4F717496"/>
    <w:rsid w:val="4FC65972"/>
    <w:rsid w:val="4FCF01DE"/>
    <w:rsid w:val="502C52CD"/>
    <w:rsid w:val="50946C81"/>
    <w:rsid w:val="512131A2"/>
    <w:rsid w:val="51470A03"/>
    <w:rsid w:val="516A4FB3"/>
    <w:rsid w:val="51F65B1F"/>
    <w:rsid w:val="521A4417"/>
    <w:rsid w:val="52CC56D8"/>
    <w:rsid w:val="52EA27FA"/>
    <w:rsid w:val="5311421D"/>
    <w:rsid w:val="531558F6"/>
    <w:rsid w:val="532E19FB"/>
    <w:rsid w:val="533327CB"/>
    <w:rsid w:val="534D15B8"/>
    <w:rsid w:val="537B4E7C"/>
    <w:rsid w:val="53952C3A"/>
    <w:rsid w:val="53BC61C6"/>
    <w:rsid w:val="53DD1C7A"/>
    <w:rsid w:val="54EB503E"/>
    <w:rsid w:val="553A06B6"/>
    <w:rsid w:val="55552624"/>
    <w:rsid w:val="556671D1"/>
    <w:rsid w:val="556F3516"/>
    <w:rsid w:val="55842728"/>
    <w:rsid w:val="55AE7511"/>
    <w:rsid w:val="55C92133"/>
    <w:rsid w:val="55EE6CB4"/>
    <w:rsid w:val="562E6199"/>
    <w:rsid w:val="56623216"/>
    <w:rsid w:val="57221542"/>
    <w:rsid w:val="57654D9E"/>
    <w:rsid w:val="579A73D0"/>
    <w:rsid w:val="57DE5F38"/>
    <w:rsid w:val="582A051D"/>
    <w:rsid w:val="58365A33"/>
    <w:rsid w:val="58474568"/>
    <w:rsid w:val="58782A3A"/>
    <w:rsid w:val="58D041BE"/>
    <w:rsid w:val="58D66424"/>
    <w:rsid w:val="58D7523F"/>
    <w:rsid w:val="59403102"/>
    <w:rsid w:val="5A2E77B0"/>
    <w:rsid w:val="5A680DB8"/>
    <w:rsid w:val="5A8F6603"/>
    <w:rsid w:val="5AFC0BD0"/>
    <w:rsid w:val="5B8D4F11"/>
    <w:rsid w:val="5BA5743E"/>
    <w:rsid w:val="5C144EDC"/>
    <w:rsid w:val="5C41710B"/>
    <w:rsid w:val="5CBB387E"/>
    <w:rsid w:val="5D3A3A85"/>
    <w:rsid w:val="5DFF123C"/>
    <w:rsid w:val="5EC657DB"/>
    <w:rsid w:val="5EC76337"/>
    <w:rsid w:val="5F6647E2"/>
    <w:rsid w:val="5FA95A4A"/>
    <w:rsid w:val="5FAF36A8"/>
    <w:rsid w:val="60406BEA"/>
    <w:rsid w:val="60CA4AE0"/>
    <w:rsid w:val="61156B4C"/>
    <w:rsid w:val="61B34AA8"/>
    <w:rsid w:val="62086EF2"/>
    <w:rsid w:val="62115B05"/>
    <w:rsid w:val="6264243B"/>
    <w:rsid w:val="6290516E"/>
    <w:rsid w:val="62B820F9"/>
    <w:rsid w:val="631B3431"/>
    <w:rsid w:val="632E70DC"/>
    <w:rsid w:val="63517C3D"/>
    <w:rsid w:val="63BE25E3"/>
    <w:rsid w:val="640B356D"/>
    <w:rsid w:val="646F76DC"/>
    <w:rsid w:val="6471725A"/>
    <w:rsid w:val="64E14BAA"/>
    <w:rsid w:val="655B2797"/>
    <w:rsid w:val="65715A32"/>
    <w:rsid w:val="65965E56"/>
    <w:rsid w:val="659F6980"/>
    <w:rsid w:val="663F4DEA"/>
    <w:rsid w:val="669C57AF"/>
    <w:rsid w:val="669D4B7B"/>
    <w:rsid w:val="66C72DC6"/>
    <w:rsid w:val="66C95950"/>
    <w:rsid w:val="66DE0E97"/>
    <w:rsid w:val="674212D6"/>
    <w:rsid w:val="67456CD8"/>
    <w:rsid w:val="676D34EB"/>
    <w:rsid w:val="678B29FA"/>
    <w:rsid w:val="678D6A6D"/>
    <w:rsid w:val="67E820FC"/>
    <w:rsid w:val="67F475F0"/>
    <w:rsid w:val="682C696E"/>
    <w:rsid w:val="683C4300"/>
    <w:rsid w:val="685E2B9F"/>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9C4121"/>
    <w:rsid w:val="6DC72505"/>
    <w:rsid w:val="6DCA4784"/>
    <w:rsid w:val="6DCB1BF8"/>
    <w:rsid w:val="6DD71A20"/>
    <w:rsid w:val="6DFF6B64"/>
    <w:rsid w:val="6E536520"/>
    <w:rsid w:val="6E770F59"/>
    <w:rsid w:val="6F137CCD"/>
    <w:rsid w:val="6F2067D0"/>
    <w:rsid w:val="6F333079"/>
    <w:rsid w:val="6F5813C5"/>
    <w:rsid w:val="6F5D54F1"/>
    <w:rsid w:val="6F883E6F"/>
    <w:rsid w:val="6FBF1A0F"/>
    <w:rsid w:val="6FC24EE4"/>
    <w:rsid w:val="6FDE0859"/>
    <w:rsid w:val="70717DA5"/>
    <w:rsid w:val="70E6284C"/>
    <w:rsid w:val="71381C3F"/>
    <w:rsid w:val="71501558"/>
    <w:rsid w:val="71A75E98"/>
    <w:rsid w:val="72043BFE"/>
    <w:rsid w:val="721826BF"/>
    <w:rsid w:val="729B1B20"/>
    <w:rsid w:val="72CF38C3"/>
    <w:rsid w:val="7354130B"/>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D14F5D"/>
    <w:rsid w:val="77DB6EAD"/>
    <w:rsid w:val="781311E0"/>
    <w:rsid w:val="7823277B"/>
    <w:rsid w:val="786A2290"/>
    <w:rsid w:val="789720A1"/>
    <w:rsid w:val="78DF4171"/>
    <w:rsid w:val="78E939DA"/>
    <w:rsid w:val="793F1A7F"/>
    <w:rsid w:val="7A263AD8"/>
    <w:rsid w:val="7A3E4BD3"/>
    <w:rsid w:val="7A9B5F68"/>
    <w:rsid w:val="7B7E7CCE"/>
    <w:rsid w:val="7BA251B9"/>
    <w:rsid w:val="7BAC2077"/>
    <w:rsid w:val="7BC05A6B"/>
    <w:rsid w:val="7BF212CD"/>
    <w:rsid w:val="7C09730A"/>
    <w:rsid w:val="7C280D5C"/>
    <w:rsid w:val="7C2A2184"/>
    <w:rsid w:val="7C3677E7"/>
    <w:rsid w:val="7C4B10B5"/>
    <w:rsid w:val="7C923CDE"/>
    <w:rsid w:val="7CD37616"/>
    <w:rsid w:val="7CDD0CEE"/>
    <w:rsid w:val="7D0D23CC"/>
    <w:rsid w:val="7D460C63"/>
    <w:rsid w:val="7D6804B0"/>
    <w:rsid w:val="7DB912A3"/>
    <w:rsid w:val="7E3967A0"/>
    <w:rsid w:val="7E3D6351"/>
    <w:rsid w:val="7EAD188A"/>
    <w:rsid w:val="7F074E4B"/>
    <w:rsid w:val="7F1909F0"/>
    <w:rsid w:val="7F1B6628"/>
    <w:rsid w:val="7F4F7C8B"/>
    <w:rsid w:val="7F6A4704"/>
    <w:rsid w:val="7F953772"/>
    <w:rsid w:val="7FAE56BF"/>
    <w:rsid w:val="F7CCA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年教育系统人员情况表</a:t>
            </a:r>
            <a:endParaRPr lang="en-US" altLang="zh-CN"/>
          </a:p>
        </c:rich>
      </c:tx>
      <c:layout/>
      <c:overlay val="false"/>
      <c:spPr>
        <a:noFill/>
        <a:ln>
          <a:noFill/>
        </a:ln>
        <a:effectLst/>
      </c:spPr>
    </c:title>
    <c:autoTitleDeleted val="false"/>
    <c:plotArea>
      <c:layout/>
      <c:pieChart>
        <c:varyColors val="true"/>
        <c:ser>
          <c:idx val="0"/>
          <c:order val="0"/>
          <c:tx>
            <c:strRef>
              <c:f>[工作簿1]Sheet1!$A$2</c:f>
              <c:strCache>
                <c:ptCount val="1"/>
                <c:pt idx="0">
                  <c:v>编制数</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delete val="true"/>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200"/>
                      <a:t>560</a:t>
                    </a:r>
                    <a:endParaRPr lang="en-US" altLang="zh-CN" sz="120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0799622437971953"/>
                      <c:h val="0.0889721376726762"/>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[工作簿1]Sheet1!$B$1:$C$1</c:f>
              <c:strCache>
                <c:ptCount val="2"/>
                <c:pt idx="0">
                  <c:v>行政人员</c:v>
                </c:pt>
                <c:pt idx="1">
                  <c:v>事业人员</c:v>
                </c:pt>
              </c:strCache>
            </c:strRef>
          </c:cat>
          <c:val>
            <c:numRef>
              <c:f>[工作簿1]Sheet1!$B$2:$C$2</c:f>
              <c:numCache>
                <c:formatCode>General</c:formatCode>
                <c:ptCount val="2"/>
                <c:pt idx="0">
                  <c:v>7</c:v>
                </c:pt>
                <c:pt idx="1">
                  <c:v>678</c:v>
                </c:pt>
              </c:numCache>
            </c:numRef>
          </c:val>
        </c:ser>
        <c:ser>
          <c:idx val="1"/>
          <c:order val="1"/>
          <c:tx>
            <c:strRef>
              <c:f>[工作簿1]Sheet1!$A$3</c:f>
              <c:strCache>
                <c:ptCount val="1"/>
                <c:pt idx="0">
                  <c:v>实有人数</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[工作簿1]Sheet1!$B$1:$C$1</c:f>
              <c:strCache>
                <c:ptCount val="2"/>
                <c:pt idx="0">
                  <c:v>行政人员</c:v>
                </c:pt>
                <c:pt idx="1">
                  <c:v>事业人员</c:v>
                </c:pt>
              </c:strCache>
            </c:strRef>
          </c:cat>
          <c:val>
            <c:numRef>
              <c:f>[工作簿1]Sheet1!$B$3:$C$3</c:f>
              <c:numCache>
                <c:formatCode>General</c:formatCode>
                <c:ptCount val="2"/>
                <c:pt idx="0">
                  <c:v>7</c:v>
                </c:pt>
                <c:pt idx="1">
                  <c:v>678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5714</Words>
  <Characters>6238</Characters>
  <Lines>0</Lines>
  <Paragraphs>0</Paragraphs>
  <TotalTime>1</TotalTime>
  <ScaleCrop>false</ScaleCrop>
  <LinksUpToDate>false</LinksUpToDate>
  <CharactersWithSpaces>6272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2019-11-29T16:56:00Z</dcterms:created>
  <dc:creator>郭超(拟稿)</dc:creator>
  <cp:lastModifiedBy>ankang</cp:lastModifiedBy>
  <dcterms:modified xsi:type="dcterms:W3CDTF">2023-10-18T09:37:33Z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7CE2437D55F34FB38FFB4D42703B11D7</vt:lpwstr>
  </property>
</Properties>
</file>