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镇坪县牛头店镇九年制学校2023年部门</w:t>
      </w:r>
    </w:p>
    <w:p>
      <w:pPr>
        <w:jc w:val="center"/>
        <w:rPr>
          <w:rFonts w:ascii="黑体" w:hAnsi="黑体" w:eastAsia="黑体" w:cs="黑体"/>
          <w:sz w:val="36"/>
          <w:szCs w:val="36"/>
        </w:rPr>
      </w:pPr>
      <w:r>
        <w:rPr>
          <w:rFonts w:hint="eastAsia" w:ascii="黑体" w:hAnsi="黑体" w:eastAsia="黑体" w:cs="黑体"/>
          <w:sz w:val="36"/>
          <w:szCs w:val="36"/>
        </w:rPr>
        <w:t>预算公开说明</w:t>
      </w:r>
    </w:p>
    <w:p/>
    <w:p>
      <w:pPr>
        <w:jc w:val="center"/>
        <w:rPr>
          <w:sz w:val="36"/>
          <w:szCs w:val="36"/>
        </w:rPr>
      </w:pPr>
      <w:r>
        <w:rPr>
          <w:rFonts w:hint="eastAsia"/>
          <w:b/>
          <w:bCs/>
          <w:sz w:val="36"/>
          <w:szCs w:val="36"/>
        </w:rPr>
        <w:t>目录</w:t>
      </w:r>
    </w:p>
    <w:p>
      <w:pPr>
        <w:jc w:val="left"/>
        <w:rPr>
          <w:rFonts w:ascii="宋体" w:hAnsi="宋体" w:cs="宋体"/>
          <w:sz w:val="32"/>
          <w:szCs w:val="32"/>
        </w:rPr>
      </w:pPr>
      <w:r>
        <w:rPr>
          <w:rFonts w:hint="eastAsia" w:ascii="宋体" w:hAnsi="宋体" w:cs="宋体"/>
          <w:b/>
          <w:bCs/>
          <w:sz w:val="32"/>
          <w:szCs w:val="32"/>
        </w:rPr>
        <w:t>第一部分 部门概况</w:t>
      </w:r>
    </w:p>
    <w:p>
      <w:pPr>
        <w:jc w:val="left"/>
        <w:rPr>
          <w:rFonts w:ascii="仿宋_GB2312" w:eastAsia="仿宋_GB2312"/>
          <w:color w:val="000000"/>
          <w:sz w:val="32"/>
          <w:szCs w:val="32"/>
        </w:rPr>
      </w:pPr>
      <w:r>
        <w:rPr>
          <w:rFonts w:hint="eastAsia" w:ascii="仿宋_GB2312" w:eastAsia="仿宋_GB2312"/>
          <w:color w:val="000000"/>
          <w:sz w:val="32"/>
          <w:szCs w:val="32"/>
        </w:rPr>
        <w:t>一、主要职责及机构设置</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二、2023年年度部门工作任务</w:t>
      </w:r>
    </w:p>
    <w:p>
      <w:pPr>
        <w:rPr>
          <w:rFonts w:ascii="仿宋_GB2312" w:eastAsia="仿宋_GB2312"/>
          <w:color w:val="000000"/>
          <w:sz w:val="32"/>
          <w:szCs w:val="32"/>
        </w:rPr>
      </w:pPr>
      <w:r>
        <w:rPr>
          <w:rFonts w:hint="eastAsia" w:ascii="仿宋_GB2312" w:eastAsia="仿宋_GB2312"/>
          <w:color w:val="000000"/>
          <w:sz w:val="32"/>
          <w:szCs w:val="32"/>
        </w:rPr>
        <w:t>三、预算单位构成</w:t>
      </w:r>
    </w:p>
    <w:p>
      <w:pPr>
        <w:rPr>
          <w:rFonts w:ascii="仿宋_GB2312" w:eastAsia="仿宋_GB2312"/>
          <w:color w:val="000000"/>
          <w:sz w:val="32"/>
          <w:szCs w:val="32"/>
        </w:rPr>
      </w:pPr>
      <w:r>
        <w:rPr>
          <w:rFonts w:hint="eastAsia" w:ascii="仿宋_GB2312" w:eastAsia="仿宋_GB2312"/>
          <w:color w:val="000000"/>
          <w:sz w:val="32"/>
          <w:szCs w:val="32"/>
        </w:rPr>
        <w:t>四、人员情况说明</w:t>
      </w:r>
    </w:p>
    <w:p>
      <w:pPr>
        <w:rPr>
          <w:rFonts w:ascii="宋体" w:hAnsi="宋体" w:cs="宋体"/>
          <w:sz w:val="32"/>
          <w:szCs w:val="32"/>
        </w:rPr>
      </w:pPr>
      <w:r>
        <w:rPr>
          <w:rFonts w:hint="eastAsia" w:ascii="宋体" w:hAnsi="宋体" w:cs="宋体"/>
          <w:b/>
          <w:bCs/>
          <w:sz w:val="32"/>
          <w:szCs w:val="32"/>
        </w:rPr>
        <w:t>第二部分 收支情况</w:t>
      </w:r>
    </w:p>
    <w:p>
      <w:pPr>
        <w:rPr>
          <w:rFonts w:ascii="宋体" w:hAnsi="宋体" w:cs="宋体"/>
          <w:sz w:val="32"/>
          <w:szCs w:val="32"/>
        </w:rPr>
      </w:pPr>
      <w:r>
        <w:rPr>
          <w:rFonts w:hint="eastAsia" w:ascii="宋体" w:hAnsi="宋体" w:cs="宋体"/>
          <w:sz w:val="32"/>
          <w:szCs w:val="32"/>
        </w:rPr>
        <w:t>五、</w:t>
      </w:r>
      <w:r>
        <w:rPr>
          <w:rFonts w:hint="eastAsia" w:ascii="仿宋_GB2312" w:hAnsi="仿宋_GB2312" w:eastAsia="仿宋_GB2312" w:cs="仿宋_GB2312"/>
          <w:sz w:val="32"/>
          <w:szCs w:val="32"/>
        </w:rPr>
        <w:t>2023年部门预算收支说明</w:t>
      </w:r>
    </w:p>
    <w:p>
      <w:pPr>
        <w:rPr>
          <w:rFonts w:ascii="宋体" w:hAnsi="宋体" w:cs="宋体"/>
          <w:sz w:val="32"/>
          <w:szCs w:val="32"/>
        </w:rPr>
      </w:pPr>
      <w:r>
        <w:rPr>
          <w:rFonts w:hint="eastAsia" w:ascii="宋体" w:hAnsi="宋体" w:cs="宋体"/>
          <w:b/>
          <w:bCs/>
          <w:sz w:val="32"/>
          <w:szCs w:val="32"/>
        </w:rPr>
        <w:t>第三部分  其他情况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六、“三公”经费及会议费、培训费情况说明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七、国有资产占有使用及资产购置情况说明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九、绩效目标说明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十、机关运行经费安排说明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十一、专业名词解释</w:t>
      </w:r>
    </w:p>
    <w:p>
      <w:pPr>
        <w:rPr>
          <w:rFonts w:ascii="宋体" w:hAnsi="宋体" w:cs="宋体"/>
          <w:b/>
          <w:bCs/>
          <w:sz w:val="32"/>
          <w:szCs w:val="32"/>
        </w:rPr>
      </w:pPr>
      <w:r>
        <w:rPr>
          <w:rFonts w:hint="eastAsia" w:ascii="宋体" w:hAnsi="宋体" w:cs="宋体"/>
          <w:b/>
          <w:bCs/>
          <w:sz w:val="32"/>
          <w:szCs w:val="32"/>
        </w:rPr>
        <w:t>第四部分  公开报表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（具体预算公开报表）</w:t>
      </w:r>
    </w:p>
    <w:p>
      <w:pPr>
        <w:rPr>
          <w:rFonts w:ascii="宋体" w:hAnsi="宋体" w:cs="宋体"/>
          <w:sz w:val="32"/>
          <w:szCs w:val="32"/>
        </w:rPr>
      </w:pPr>
    </w:p>
    <w:p>
      <w:pPr>
        <w:jc w:val="center"/>
        <w:rPr>
          <w:rFonts w:ascii="宋体" w:hAnsi="宋体" w:cs="宋体"/>
          <w:b/>
          <w:bCs/>
          <w:sz w:val="32"/>
          <w:szCs w:val="32"/>
        </w:rPr>
      </w:pPr>
      <w:r>
        <w:rPr>
          <w:rFonts w:hint="eastAsia" w:ascii="宋体" w:hAnsi="宋体" w:cs="宋体"/>
          <w:b/>
          <w:bCs/>
          <w:sz w:val="32"/>
          <w:szCs w:val="32"/>
        </w:rPr>
        <w:t>第一部分  部门概况</w:t>
      </w:r>
    </w:p>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一、主要职责及机构设置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1、主要职责：认真贯彻《中华人民共和国教育法》，贯彻党和国家的教育方针、政策及法律、法规，实施小学初中义务教育，促进基础教育发展。小学学历教育，初中学历教育。</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2、机构设置：设置办公室、教务处、总务处、工会办、财务室等机构。</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二、工作任务</w:t>
      </w:r>
    </w:p>
    <w:p>
      <w:pPr>
        <w:pStyle w:val="6"/>
        <w:spacing w:beforeAutospacing="0" w:afterAutospacing="0" w:line="4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管理目标：牢固树立“向管理要质量”的意识，细化各项规章制度，创设和谐工作环境，进一步理顺管理思路，优化学校管理，不断提高教育教学管理水平，确保教育教学工作规范有序、学校稳健发展。重点是要抓好“三支队伍”建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安全工作目标：高度重视安全工作，做到“心中有安全，目中有安全，行中有安全”。健全完善校园安全监控网络和安全工作各项规章制度，以安康市“平安校园”标准为目标，细致做好各项工作。严格执行安全工作责任制，坚持“谁主管，谁负责”，层层签定《安全工作责任书》，真正做到责任到人。重点抓好交通安全管理、食堂安全管理、课间秩序管理等，落实各种安全责任制，积极消除安全隐患，强化安全教育和安全意识，努力避免各类隐患事故的发生，确保“四零”目标的实现。</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3、德育目标：坚持育人为本、德育为先。加强礼仪教育与文明习惯养成教育。</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教学目标：坚持抓好教学常规工作，细化、优化“六认真”检查的具体要求，通过定期检查、不定期抽查和行政随堂听课抽查相结合的方式引导教师做好教学常规工作，切实提高课堂教学效率。加强对学生进行学法指导，培养学生形成“自主学习”思想意识，提高学生学习效率。九年级抓好“三试合一”中考工作，确保更多学生能以更好的成绩考上高中。继续争取教学质量优胜学校的荣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5、后勤服务目标：进一步改善办学条件，管理好学生食堂，做好财务工作，</w:t>
      </w:r>
      <w:r>
        <w:rPr>
          <w:rFonts w:hint="eastAsia" w:ascii="仿宋" w:hAnsi="仿宋" w:eastAsia="仿宋" w:cs="仿宋"/>
          <w:sz w:val="32"/>
          <w:szCs w:val="32"/>
        </w:rPr>
        <w:t>严格执行</w:t>
      </w:r>
      <w:r>
        <w:rPr>
          <w:rFonts w:hint="eastAsia" w:ascii="仿宋" w:hAnsi="仿宋" w:eastAsia="仿宋" w:cs="仿宋"/>
          <w:sz w:val="32"/>
          <w:szCs w:val="32"/>
          <w:lang w:eastAsia="zh-CN"/>
        </w:rPr>
        <w:t>中央</w:t>
      </w:r>
      <w:r>
        <w:rPr>
          <w:rFonts w:hint="eastAsia" w:ascii="仿宋" w:hAnsi="仿宋" w:eastAsia="仿宋" w:cs="仿宋"/>
          <w:sz w:val="32"/>
          <w:szCs w:val="32"/>
        </w:rPr>
        <w:t>八项规定，大力倡导建设节约型校园，努力做到少花钱、多办事、办好事。</w:t>
      </w:r>
      <w:bookmarkStart w:id="0" w:name="_GoBack"/>
      <w:bookmarkEnd w:id="0"/>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三、预算单位构成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镇坪县牛头店镇九年制学校为</w:t>
      </w:r>
      <w:r>
        <w:rPr>
          <w:rFonts w:ascii="仿宋_GB2312" w:hAnsi="仿宋_GB2312" w:eastAsia="仿宋_GB2312" w:cs="仿宋_GB2312"/>
          <w:sz w:val="32"/>
          <w:szCs w:val="32"/>
        </w:rPr>
        <w:t>财政全额拨款二级预算事业单位，无下属预算单位。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91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01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91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镇坪县牛头店镇九年制学校</w:t>
            </w:r>
          </w:p>
        </w:tc>
        <w:tc>
          <w:tcPr>
            <w:tcW w:w="201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r>
    </w:tbl>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四、人员情况说明</w:t>
      </w:r>
    </w:p>
    <w:p>
      <w:pPr>
        <w:spacing w:line="560" w:lineRule="exact"/>
        <w:ind w:firstLine="640"/>
        <w:rPr>
          <w:rFonts w:ascii="仿宋_GB2312" w:hAnsi="仿宋_GB2312" w:eastAsia="仿宋_GB2312" w:cs="仿宋_GB2312"/>
          <w:sz w:val="32"/>
          <w:szCs w:val="32"/>
        </w:rPr>
      </w:pPr>
      <w:r>
        <w:pict>
          <v:shape id="_x0000_s1026" o:spid="_x0000_s1026" o:spt="75" type="#_x0000_t75" style="position:absolute;left:0pt;margin-left:123.55pt;margin-top:65.6pt;height:190.75pt;width:288.95pt;z-index:251658240;mso-width-relative:page;mso-height-relative:page;" o:ole="t" filled="f" o:preferrelative="t" stroked="f" coordsize="21600,21600">
            <v:path/>
            <v:fill on="f" focussize="0,0"/>
            <v:stroke on="f" joinstyle="miter"/>
            <v:imagedata r:id="rId5" o:title=""/>
            <o:lock v:ext="edit" aspectratio="t"/>
          </v:shape>
          <o:OLEObject Type="Embed" ProgID="MSGraph.Chart.8" ShapeID="_x0000_s1026" DrawAspect="Content" ObjectID="_1468075725" r:id="rId4">
            <o:LockedField>false</o:LockedField>
          </o:OLEObject>
        </w:pict>
      </w:r>
      <w:r>
        <w:rPr>
          <w:rFonts w:ascii="仿宋_GB2312" w:hAnsi="仿宋_GB2312" w:eastAsia="仿宋_GB2312" w:cs="仿宋_GB2312"/>
          <w:sz w:val="32"/>
          <w:szCs w:val="32"/>
        </w:rPr>
        <w:t>截止</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022年底，本部门人员编制</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2人，其中事业编制</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2人；实有人员31人，其中事业人员31人。单位管理的</w:t>
      </w:r>
      <w:r>
        <w:rPr>
          <w:rFonts w:hint="eastAsia" w:ascii="仿宋_GB2312" w:hAnsi="仿宋_GB2312" w:eastAsia="仿宋_GB2312" w:cs="仿宋_GB2312"/>
          <w:sz w:val="32"/>
          <w:szCs w:val="32"/>
        </w:rPr>
        <w:t>离退休人员6人。</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收支情况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五、收支说明</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（一）收支预算总体情况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年本部门预算收入</w:t>
      </w:r>
      <w:r>
        <w:rPr>
          <w:rFonts w:ascii="仿宋_GB2312" w:hAnsi="仿宋_GB2312" w:eastAsia="仿宋_GB2312" w:cs="仿宋_GB2312"/>
          <w:sz w:val="32"/>
          <w:szCs w:val="32"/>
        </w:rPr>
        <w:t>379.1</w:t>
      </w:r>
      <w:r>
        <w:rPr>
          <w:rFonts w:hint="eastAsia" w:ascii="仿宋_GB2312" w:hAnsi="仿宋_GB2312" w:eastAsia="仿宋_GB2312" w:cs="仿宋_GB2312"/>
          <w:sz w:val="32"/>
          <w:szCs w:val="32"/>
        </w:rPr>
        <w:t>万元，其中一般公共预算拨款收入</w:t>
      </w:r>
      <w:r>
        <w:rPr>
          <w:rFonts w:ascii="仿宋_GB2312" w:hAnsi="仿宋_GB2312" w:eastAsia="仿宋_GB2312" w:cs="仿宋_GB2312"/>
          <w:sz w:val="32"/>
          <w:szCs w:val="32"/>
        </w:rPr>
        <w:t>379.1</w:t>
      </w:r>
      <w:r>
        <w:rPr>
          <w:rFonts w:hint="eastAsia" w:ascii="仿宋_GB2312" w:hAnsi="仿宋_GB2312" w:eastAsia="仿宋_GB2312" w:cs="仿宋_GB2312"/>
          <w:sz w:val="32"/>
          <w:szCs w:val="32"/>
        </w:rPr>
        <w:t>万元、政府性基金拨款收入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年本部门预算收入较上年增加</w:t>
      </w:r>
      <w:r>
        <w:rPr>
          <w:rFonts w:ascii="仿宋_GB2312" w:hAnsi="仿宋_GB2312" w:eastAsia="仿宋_GB2312" w:cs="仿宋_GB2312"/>
          <w:sz w:val="32"/>
          <w:szCs w:val="32"/>
        </w:rPr>
        <w:t>56.82</w:t>
      </w:r>
      <w:r>
        <w:rPr>
          <w:rFonts w:hint="eastAsia" w:ascii="仿宋_GB2312" w:hAnsi="仿宋_GB2312" w:eastAsia="仿宋_GB2312" w:cs="仿宋_GB2312"/>
          <w:sz w:val="32"/>
          <w:szCs w:val="32"/>
        </w:rPr>
        <w:t>万元，主要原因是工资普调和单位实有人员增多，随之所有社保资金均有增加，导致工资福利支出增加；202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年本部门预算支出</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万元，其中一般公共预算拨款支出</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万元、政府性基金拨款支出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年本部门预算支出较上年增加5</w:t>
      </w:r>
      <w:r>
        <w:rPr>
          <w:rFonts w:ascii="仿宋_GB2312" w:hAnsi="仿宋_GB2312" w:eastAsia="仿宋_GB2312" w:cs="仿宋_GB2312"/>
          <w:sz w:val="32"/>
          <w:szCs w:val="32"/>
        </w:rPr>
        <w:t>6.82</w:t>
      </w:r>
      <w:r>
        <w:rPr>
          <w:rFonts w:hint="eastAsia" w:ascii="仿宋_GB2312" w:hAnsi="仿宋_GB2312" w:eastAsia="仿宋_GB2312" w:cs="仿宋_GB2312"/>
          <w:sz w:val="32"/>
          <w:szCs w:val="32"/>
        </w:rPr>
        <w:t>万元，主要原因是工资普调和单位实有人员增多，随之所有社保资金均有增加，导致工资福利支出增加。</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年本部门财政拨款收入</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万元，其中一般公共预算拨款收入</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万元、政府性基金拨款收入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年本部门财政拨款收入较上年增加5</w:t>
      </w:r>
      <w:r>
        <w:rPr>
          <w:rFonts w:ascii="仿宋_GB2312" w:hAnsi="仿宋_GB2312" w:eastAsia="仿宋_GB2312" w:cs="仿宋_GB2312"/>
          <w:sz w:val="32"/>
          <w:szCs w:val="32"/>
        </w:rPr>
        <w:t>6.82</w:t>
      </w:r>
      <w:r>
        <w:rPr>
          <w:rFonts w:hint="eastAsia" w:ascii="仿宋_GB2312" w:hAnsi="仿宋_GB2312" w:eastAsia="仿宋_GB2312" w:cs="仿宋_GB2312"/>
          <w:sz w:val="32"/>
          <w:szCs w:val="32"/>
        </w:rPr>
        <w:t>万元，主要原因是工资普调和单位实有人员增多，随之所有社保资金均有增加，导致工资福利支出增加；202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年本部门财政拨款支出</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万元，其中一般公共预算拨款支出</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万元、政府性基金拨款支出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年本部门财政拨款支出较上年增加5</w:t>
      </w:r>
      <w:r>
        <w:rPr>
          <w:rFonts w:ascii="仿宋_GB2312" w:hAnsi="仿宋_GB2312" w:eastAsia="仿宋_GB2312" w:cs="仿宋_GB2312"/>
          <w:sz w:val="32"/>
          <w:szCs w:val="32"/>
        </w:rPr>
        <w:t>6.82</w:t>
      </w:r>
      <w:r>
        <w:rPr>
          <w:rFonts w:hint="eastAsia" w:ascii="仿宋_GB2312" w:hAnsi="仿宋_GB2312" w:eastAsia="仿宋_GB2312" w:cs="仿宋_GB2312"/>
          <w:sz w:val="32"/>
          <w:szCs w:val="32"/>
        </w:rPr>
        <w:t>万元，主要原因是工资普调和单位实有人员增多，随之所有社保资金均有增加，导致工资福利支出增加。</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一般公共预算当年拨款规模变化情况。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年本部门当年一般公共预算拨款支出</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万元，较上年增加</w:t>
      </w:r>
      <w:r>
        <w:rPr>
          <w:rFonts w:ascii="仿宋_GB2312" w:hAnsi="仿宋_GB2312" w:eastAsia="仿宋_GB2312" w:cs="仿宋_GB2312"/>
          <w:sz w:val="32"/>
          <w:szCs w:val="32"/>
        </w:rPr>
        <w:t>56.82</w:t>
      </w:r>
      <w:r>
        <w:rPr>
          <w:rFonts w:hint="eastAsia" w:ascii="仿宋_GB2312" w:hAnsi="仿宋_GB2312" w:eastAsia="仿宋_GB2312" w:cs="仿宋_GB2312"/>
          <w:sz w:val="32"/>
          <w:szCs w:val="32"/>
        </w:rPr>
        <w:t>万元，主要原因是工资普调和单位实有人员增多，随之所有社保资金均有增加，导致工资福利支出增加。</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支出按功能科目分类的明细情况。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年本部门当年一般公共预算支出</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万元，其中：初中教育（2</w:t>
      </w:r>
      <w:r>
        <w:rPr>
          <w:rFonts w:ascii="仿宋_GB2312" w:hAnsi="仿宋_GB2312" w:eastAsia="仿宋_GB2312" w:cs="仿宋_GB2312"/>
          <w:sz w:val="32"/>
          <w:szCs w:val="32"/>
        </w:rPr>
        <w:t>050203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379.10万元，较上年</w:t>
      </w:r>
      <w:r>
        <w:rPr>
          <w:rFonts w:hint="eastAsia" w:ascii="仿宋_GB2312" w:hAnsi="仿宋_GB2312" w:eastAsia="仿宋_GB2312" w:cs="仿宋_GB2312"/>
          <w:sz w:val="32"/>
          <w:szCs w:val="32"/>
        </w:rPr>
        <w:t>增加5</w:t>
      </w:r>
      <w:r>
        <w:rPr>
          <w:rFonts w:ascii="仿宋_GB2312" w:hAnsi="仿宋_GB2312" w:eastAsia="仿宋_GB2312" w:cs="仿宋_GB2312"/>
          <w:sz w:val="32"/>
          <w:szCs w:val="32"/>
        </w:rPr>
        <w:t>6.82万元，主要原因是</w:t>
      </w:r>
      <w:r>
        <w:rPr>
          <w:rFonts w:hint="eastAsia" w:ascii="仿宋_GB2312" w:hAnsi="仿宋_GB2312" w:eastAsia="仿宋_GB2312" w:cs="仿宋_GB2312"/>
          <w:sz w:val="32"/>
          <w:szCs w:val="32"/>
        </w:rPr>
        <w:t>工资普调和单位实有人员增多，随之所有社保资金均有增加，导致工资福利支出增加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支出按经济科目分类的明细情况。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（1）按照部门预算支出经济分类的类级科目说明。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年本部门当年一般公共预算支出</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w:t>
      </w:r>
      <w:r>
        <w:rPr>
          <w:rFonts w:ascii="仿宋_GB2312" w:hAnsi="仿宋_GB2312" w:eastAsia="仿宋_GB2312" w:cs="仿宋_GB2312"/>
          <w:sz w:val="32"/>
          <w:szCs w:val="32"/>
        </w:rPr>
        <w:t>378.26</w:t>
      </w:r>
      <w:r>
        <w:rPr>
          <w:rFonts w:hint="eastAsia" w:ascii="仿宋_GB2312" w:hAnsi="仿宋_GB2312" w:eastAsia="仿宋_GB2312" w:cs="仿宋_GB2312"/>
          <w:sz w:val="32"/>
          <w:szCs w:val="32"/>
        </w:rPr>
        <w:t>万元，较上年增加5</w:t>
      </w:r>
      <w:r>
        <w:rPr>
          <w:rFonts w:ascii="仿宋_GB2312" w:hAnsi="仿宋_GB2312" w:eastAsia="仿宋_GB2312" w:cs="仿宋_GB2312"/>
          <w:sz w:val="32"/>
          <w:szCs w:val="32"/>
        </w:rPr>
        <w:t>6.82</w:t>
      </w:r>
      <w:r>
        <w:rPr>
          <w:rFonts w:hint="eastAsia" w:ascii="仿宋_GB2312" w:hAnsi="仿宋_GB2312" w:eastAsia="仿宋_GB2312" w:cs="仿宋_GB2312"/>
          <w:sz w:val="32"/>
          <w:szCs w:val="32"/>
        </w:rPr>
        <w:t>万元，原因是工资普调和单位实有人员增多，随之所有社保资金均有增加，导致工资福利支出增加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w:t>
      </w:r>
      <w:r>
        <w:rPr>
          <w:rFonts w:ascii="仿宋_GB2312" w:hAnsi="仿宋_GB2312" w:eastAsia="仿宋_GB2312" w:cs="仿宋_GB2312"/>
          <w:sz w:val="32"/>
          <w:szCs w:val="32"/>
        </w:rPr>
        <w:t>0.84</w:t>
      </w:r>
      <w:r>
        <w:rPr>
          <w:rFonts w:hint="eastAsia" w:ascii="仿宋_GB2312" w:hAnsi="仿宋_GB2312" w:eastAsia="仿宋_GB2312" w:cs="仿宋_GB2312"/>
          <w:sz w:val="32"/>
          <w:szCs w:val="32"/>
        </w:rPr>
        <w:t>万元，和上年相同。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（2）按照政府预算支出经济分类的类级科目说明。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年本部门当年一般公共预算支出</w:t>
      </w:r>
      <w:r>
        <w:rPr>
          <w:rFonts w:ascii="仿宋_GB2312" w:hAnsi="仿宋_GB2312" w:eastAsia="仿宋_GB2312" w:cs="仿宋_GB2312"/>
          <w:sz w:val="32"/>
          <w:szCs w:val="32"/>
        </w:rPr>
        <w:t>379.10</w:t>
      </w:r>
      <w:r>
        <w:rPr>
          <w:rFonts w:hint="eastAsia" w:ascii="仿宋_GB2312" w:hAnsi="仿宋_GB2312" w:eastAsia="仿宋_GB2312" w:cs="仿宋_GB2312"/>
          <w:sz w:val="32"/>
          <w:szCs w:val="32"/>
        </w:rPr>
        <w:t>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501）</w:t>
      </w:r>
      <w:r>
        <w:rPr>
          <w:rFonts w:ascii="仿宋_GB2312" w:hAnsi="仿宋_GB2312" w:eastAsia="仿宋_GB2312" w:cs="仿宋_GB2312"/>
          <w:sz w:val="32"/>
          <w:szCs w:val="32"/>
        </w:rPr>
        <w:t>378.26</w:t>
      </w:r>
      <w:r>
        <w:rPr>
          <w:rFonts w:hint="eastAsia" w:ascii="仿宋_GB2312" w:hAnsi="仿宋_GB2312" w:eastAsia="仿宋_GB2312" w:cs="仿宋_GB2312"/>
          <w:sz w:val="32"/>
          <w:szCs w:val="32"/>
        </w:rPr>
        <w:t>万元，较上年增加5</w:t>
      </w:r>
      <w:r>
        <w:rPr>
          <w:rFonts w:ascii="仿宋_GB2312" w:hAnsi="仿宋_GB2312" w:eastAsia="仿宋_GB2312" w:cs="仿宋_GB2312"/>
          <w:sz w:val="32"/>
          <w:szCs w:val="32"/>
        </w:rPr>
        <w:t>6.82</w:t>
      </w:r>
      <w:r>
        <w:rPr>
          <w:rFonts w:hint="eastAsia" w:ascii="仿宋_GB2312" w:hAnsi="仿宋_GB2312" w:eastAsia="仿宋_GB2312" w:cs="仿宋_GB2312"/>
          <w:sz w:val="32"/>
          <w:szCs w:val="32"/>
        </w:rPr>
        <w:t>万元，原因是工资普调和单位实有人员增多，随之所有社保资金均有增加，导致工资福利支出增加。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w:t>
      </w:r>
      <w:r>
        <w:rPr>
          <w:rFonts w:ascii="仿宋_GB2312" w:hAnsi="仿宋_GB2312" w:eastAsia="仿宋_GB2312" w:cs="仿宋_GB2312"/>
          <w:sz w:val="32"/>
          <w:szCs w:val="32"/>
        </w:rPr>
        <w:t>50901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0.84</w:t>
      </w:r>
      <w:r>
        <w:rPr>
          <w:rFonts w:hint="eastAsia" w:ascii="仿宋_GB2312" w:hAnsi="仿宋_GB2312" w:eastAsia="仿宋_GB2312" w:cs="仿宋_GB2312"/>
          <w:sz w:val="32"/>
          <w:szCs w:val="32"/>
        </w:rPr>
        <w:t>万元，和上年相同。</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年结转财政资金一般公共预算拨款支出情况。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年结转的一般公共预算拨款支出。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（四）政府性基金预算支出情况</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当年政府性基金预算支出情况。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本部门无当年政府性基金预算收支，并已公开空表。</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上年结转政府性基金预算支出情况。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年结转的政府性基金预算拨款支出。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（五）国有资本经营预算拨款收支情况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本部门无当年国有资本经营预算拨款收支，并在财政拨款收支总体情况表中列示。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年结转的国有资本经营预算拨款支出。已公开空表。</w:t>
      </w:r>
    </w:p>
    <w:p>
      <w:pPr>
        <w:ind w:firstLine="64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宋体" w:hAnsi="宋体" w:cs="宋体"/>
          <w:b/>
          <w:bCs/>
          <w:sz w:val="32"/>
          <w:szCs w:val="32"/>
        </w:rPr>
        <w:t>第三部分  其他情况</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六、“三公”经费及会议费、培训费情况说明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2022年和2023年，本部门无三公经费预算。</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本部门2023年一般公共预算未安排“三公”经费支出。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本部门无2022年结转的财政拨款“三公”经费支出。</w:t>
      </w:r>
    </w:p>
    <w:p>
      <w:pPr>
        <w:spacing w:line="56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无公务用车运行费；无公务用车购置费。</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七、国有资产占有使用及资产购置情况说明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截止上年底，本部门所属预算单位共有车辆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辆，单价20万元以上的设备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台（套）。当年部门预算安排购置车辆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辆；安排购置单价20万元以上的设备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本部门无 2022年结转的财政拨款支出资产购置。</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八、政府采购情况说明</w:t>
      </w:r>
    </w:p>
    <w:p>
      <w:pPr>
        <w:spacing w:line="560" w:lineRule="exact"/>
        <w:ind w:firstLine="643"/>
        <w:rPr>
          <w:rFonts w:ascii="仿宋_GB2312" w:hAnsi="仿宋_GB2312" w:eastAsia="仿宋_GB2312" w:cs="仿宋_GB2312"/>
          <w:sz w:val="32"/>
          <w:szCs w:val="32"/>
        </w:rPr>
      </w:pPr>
      <w:r>
        <w:rPr>
          <w:rFonts w:ascii="仿宋_GB2312" w:hAnsi="仿宋_GB2312" w:eastAsia="仿宋_GB2312" w:cs="仿宋_GB2312"/>
          <w:sz w:val="32"/>
          <w:szCs w:val="32"/>
        </w:rPr>
        <w:t>本部门 2023 年无政府采购预算，并已公开空表。 本部门无 2022 年结转的政府采购资金支出。</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九、绩效目标情况说明</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2023 年本部门专项业务经费绩效目标管理全覆盖，涉及当年一般公共预算拨款379.10万元,当年政府性基金预算拨款 0 万元，当年 国有资本经营预算拨款 0 万元（详见公开报表中的绩效目标表）。</w:t>
      </w:r>
    </w:p>
    <w:p>
      <w:pPr>
        <w:spacing w:line="56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本部门无2022年结转的财政拨款支出涉及的绩效目标管理。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十、机关运行经费安排情况说明</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本部门当年机关运行经费预算安排 0 万元，本单位机关运行 经费在教育专项公用经费中预算支出。</w:t>
      </w:r>
    </w:p>
    <w:p>
      <w:pPr>
        <w:spacing w:line="56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本部门无 2022 年结转的财政拨款机关运行经费支出。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十一、专业名词解释</w:t>
      </w:r>
    </w:p>
    <w:p>
      <w:pPr>
        <w:spacing w:line="560" w:lineRule="exact"/>
        <w:ind w:firstLine="643"/>
        <w:jc w:val="left"/>
        <w:rPr>
          <w:rFonts w:ascii="仿宋_GB2312" w:hAnsi="仿宋_GB2312" w:eastAsia="仿宋_GB2312" w:cs="仿宋_GB2312"/>
          <w:sz w:val="32"/>
          <w:szCs w:val="32"/>
        </w:rPr>
      </w:pPr>
      <w:r>
        <w:rPr>
          <w:rFonts w:ascii="仿宋_GB2312" w:hAnsi="仿宋_GB2312" w:eastAsia="仿宋_GB2312" w:cs="仿宋_GB2312"/>
          <w:sz w:val="32"/>
          <w:szCs w:val="32"/>
        </w:rPr>
        <w:t>机关运行经费：指各部门的公用经费，包括办公及印刷费、邮电费、差旅费、会议费、福利费、日常维修费、专用材料及一般设备购置费、办公用房水电费、办公用房取暖费、办公用房物业管理费、公务用车运行费以及其他费用。“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第四部分  公开报表</w:t>
      </w:r>
      <w:r>
        <w:rPr>
          <w:rFonts w:hint="eastAsia" w:ascii="仿宋_GB2312" w:hAnsi="仿宋_GB2312" w:eastAsia="仿宋_GB2312" w:cs="仿宋_GB2312"/>
          <w:sz w:val="32"/>
          <w:szCs w:val="32"/>
        </w:rPr>
        <w:tab/>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0665"/>
    <w:rsid w:val="000D3C31"/>
    <w:rsid w:val="00172A27"/>
    <w:rsid w:val="0024717E"/>
    <w:rsid w:val="00325D3E"/>
    <w:rsid w:val="003F266E"/>
    <w:rsid w:val="00495EAC"/>
    <w:rsid w:val="00534525"/>
    <w:rsid w:val="005A3683"/>
    <w:rsid w:val="006553D2"/>
    <w:rsid w:val="006A779A"/>
    <w:rsid w:val="007138CC"/>
    <w:rsid w:val="00715F37"/>
    <w:rsid w:val="00727AF9"/>
    <w:rsid w:val="0074214E"/>
    <w:rsid w:val="007C1591"/>
    <w:rsid w:val="007E5A3F"/>
    <w:rsid w:val="007F1561"/>
    <w:rsid w:val="007F592D"/>
    <w:rsid w:val="00911D54"/>
    <w:rsid w:val="009232EB"/>
    <w:rsid w:val="0097309A"/>
    <w:rsid w:val="009B78D6"/>
    <w:rsid w:val="00B054D0"/>
    <w:rsid w:val="00CB6F2D"/>
    <w:rsid w:val="00CC7DB5"/>
    <w:rsid w:val="00D21935"/>
    <w:rsid w:val="00E863A2"/>
    <w:rsid w:val="00EF12A5"/>
    <w:rsid w:val="00F40DAC"/>
    <w:rsid w:val="014A2072"/>
    <w:rsid w:val="04320FD9"/>
    <w:rsid w:val="049A40D7"/>
    <w:rsid w:val="04A216F1"/>
    <w:rsid w:val="04DD00BC"/>
    <w:rsid w:val="04FB7C1A"/>
    <w:rsid w:val="07C63897"/>
    <w:rsid w:val="09B770EC"/>
    <w:rsid w:val="0D930FB4"/>
    <w:rsid w:val="104E7D4B"/>
    <w:rsid w:val="176D6084"/>
    <w:rsid w:val="17E3395E"/>
    <w:rsid w:val="18696069"/>
    <w:rsid w:val="2B6E114C"/>
    <w:rsid w:val="2DD21556"/>
    <w:rsid w:val="2EB57C9F"/>
    <w:rsid w:val="32383B0A"/>
    <w:rsid w:val="32DB48BA"/>
    <w:rsid w:val="33801EA2"/>
    <w:rsid w:val="34B74C75"/>
    <w:rsid w:val="35457DE0"/>
    <w:rsid w:val="35555E4E"/>
    <w:rsid w:val="359252AB"/>
    <w:rsid w:val="388B0D2A"/>
    <w:rsid w:val="388F6532"/>
    <w:rsid w:val="3B975BF3"/>
    <w:rsid w:val="3DC7004C"/>
    <w:rsid w:val="43606DFF"/>
    <w:rsid w:val="43922513"/>
    <w:rsid w:val="44EE2C86"/>
    <w:rsid w:val="46F073D7"/>
    <w:rsid w:val="47F51DA1"/>
    <w:rsid w:val="48246A25"/>
    <w:rsid w:val="4974495A"/>
    <w:rsid w:val="4AFD517E"/>
    <w:rsid w:val="4EAF467F"/>
    <w:rsid w:val="4F4E6E0F"/>
    <w:rsid w:val="53D82CB6"/>
    <w:rsid w:val="549A0EDD"/>
    <w:rsid w:val="5900561E"/>
    <w:rsid w:val="5A7F118D"/>
    <w:rsid w:val="5C2757BE"/>
    <w:rsid w:val="5FDD417D"/>
    <w:rsid w:val="5FF9474D"/>
    <w:rsid w:val="60A76F05"/>
    <w:rsid w:val="62770932"/>
    <w:rsid w:val="63ED0CD3"/>
    <w:rsid w:val="667728BC"/>
    <w:rsid w:val="675B6F91"/>
    <w:rsid w:val="67B17BDD"/>
    <w:rsid w:val="69090D36"/>
    <w:rsid w:val="6EF66EF9"/>
    <w:rsid w:val="6FA86D5D"/>
    <w:rsid w:val="70154C98"/>
    <w:rsid w:val="72576549"/>
    <w:rsid w:val="74A97633"/>
    <w:rsid w:val="74EA18BC"/>
    <w:rsid w:val="76C5247B"/>
    <w:rsid w:val="770A55ED"/>
    <w:rsid w:val="78B06DDB"/>
    <w:rsid w:val="7CB67331"/>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character" w:styleId="9">
    <w:name w:val="FollowedHyperlink"/>
    <w:semiHidden/>
    <w:qFormat/>
    <w:uiPriority w:val="99"/>
    <w:rPr>
      <w:rFonts w:cs="Times New Roman"/>
      <w:color w:val="800080"/>
      <w:u w:val="single"/>
    </w:rPr>
  </w:style>
  <w:style w:type="character" w:styleId="10">
    <w:name w:val="Hyperlink"/>
    <w:qFormat/>
    <w:uiPriority w:val="99"/>
    <w:rPr>
      <w:rFonts w:cs="Times New Roman"/>
      <w:color w:val="0000FF"/>
      <w:u w:val="single"/>
    </w:rPr>
  </w:style>
  <w:style w:type="character" w:customStyle="1" w:styleId="11">
    <w:name w:val="纯文本 Char"/>
    <w:link w:val="2"/>
    <w:qFormat/>
    <w:locked/>
    <w:uiPriority w:val="99"/>
    <w:rPr>
      <w:rFonts w:ascii="宋体" w:hAnsi="Courier New" w:eastAsia="宋体" w:cs="Courier New"/>
      <w:sz w:val="21"/>
      <w:szCs w:val="21"/>
    </w:rPr>
  </w:style>
  <w:style w:type="character" w:customStyle="1" w:styleId="12">
    <w:name w:val="页脚 Char"/>
    <w:link w:val="4"/>
    <w:semiHidden/>
    <w:qFormat/>
    <w:locked/>
    <w:uiPriority w:val="99"/>
    <w:rPr>
      <w:rFonts w:cs="Times New Roman"/>
      <w:sz w:val="18"/>
      <w:szCs w:val="18"/>
    </w:rPr>
  </w:style>
  <w:style w:type="character" w:customStyle="1" w:styleId="13">
    <w:name w:val="页眉 Char"/>
    <w:link w:val="5"/>
    <w:semiHidden/>
    <w:qFormat/>
    <w:locked/>
    <w:uiPriority w:val="99"/>
    <w:rPr>
      <w:rFonts w:cs="Times New Roman"/>
      <w:sz w:val="18"/>
      <w:szCs w:val="18"/>
    </w:rPr>
  </w:style>
  <w:style w:type="character" w:customStyle="1" w:styleId="14">
    <w:name w:val="批注框文本 Char"/>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510</Words>
  <Characters>2908</Characters>
  <Lines>24</Lines>
  <Paragraphs>6</Paragraphs>
  <TotalTime>169</TotalTime>
  <ScaleCrop>false</ScaleCrop>
  <LinksUpToDate>false</LinksUpToDate>
  <CharactersWithSpaces>3412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2020-03-17T20:48:00Z</dcterms:created>
  <dc:creator>Administrator</dc:creator>
  <cp:lastModifiedBy>ankang</cp:lastModifiedBy>
  <cp:lastPrinted>2023-05-05T08:41:00Z</cp:lastPrinted>
  <dcterms:modified xsi:type="dcterms:W3CDTF">2023-10-18T15:43:13Z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