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镇坪县钟宝初级中学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钟宝</w:t>
      </w:r>
      <w:r>
        <w:rPr>
          <w:rFonts w:hint="eastAsia" w:ascii="仿宋_GB2312" w:hAnsi="仿宋_GB2312" w:eastAsia="仿宋_GB2312" w:cs="仿宋_GB2312"/>
          <w:sz w:val="32"/>
          <w:szCs w:val="32"/>
        </w:rPr>
        <w:t>初级中学属二级预算事业单位，主要职责是实施初中义务教育，促进基础教育发展，初中学历教育。下设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校长办、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教务处、总务处、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校团委、财务室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、青少年宫办公室、理科综合教研组、文科综合教研组共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sz w:val="32"/>
          <w:szCs w:val="32"/>
        </w:rPr>
        <w:t>处室。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九年级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3个班、八年级2个班和七年级2个班共七个班级，学生数共345人。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本部门人员编制 29 人，实有编制人员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为指导，坚持以 “德育为首，育人为本”为办学宗旨，以“讲文明、树新风”为 契机，解放思想，实事求是，与时俱进，和谐发展，努力深化教 育改革，推进教育创新，提升教学质量。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本单位为二级预算单位，所属部门是镇坪县教育体育和科技局。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2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镇坪县钟宝初级中学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 29 人，其中行政编制 0 人、 事业编制 29 人；实有人员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人，其中行政 0 人、事业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pict>
          <v:shape id="_x0000_i1025" o:spt="75" alt="QQ图片20230512074439" type="#_x0000_t75" style="height:200.25pt;width:246.1pt;" filled="f" o:preferrelative="t" stroked="f" coordsize="21600,21600">
            <v:path/>
            <v:fill on="f" focussize="0,0"/>
            <v:stroke on="f"/>
            <v:imagedata r:id="rId4" o:title="QQ图片20230512074439"/>
            <o:lock v:ext="edit" aspectratio="t"/>
            <w10:wrap type="none"/>
            <w10:anchorlock/>
          </v:shape>
        </w:pic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 算管理。202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 354.76 万元，其中一般公共预 算拨款收入354.76万元、202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  354.76万元，其中一般公共预算拨款支出  354.76万元、202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 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 354.76 万元，其中一般公共预 算拨款收入 354.76 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 354.76 万元，其中一般公共预算拨款支出 354.76万元、202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1、一般公共预算当年拨款规模变化情况。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 354.76万元，较 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2、支出按功能科目分类的明细情况。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年本部门当年一般公共预算支出354.76 万元，其中： 事业运行354.76 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3、支出按经济科目分类的明细情况。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 354.76万元，其中： 工资福利支出354.76 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1、当年政府性基金预算支出情况。 本部门无当年政府性基金预算收支，并已公开空表。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2、上年结转政府性基金预算支出情况。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年和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年，本部门无三公经费预算。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年一般公共预算未安排“三公”经费支出。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年结转的财政拨款“三公”经费支出。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年底，本部门所属预算单位共有车辆 0 辆，单价 20 万元以上的设备 0 台（套）。 本部门无 2021 年结转的财政拨款支出资产购置。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年无政府采购预算，并已公开空表。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年结转的政府采购资金支出。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年结转的财政拨款机关运行经费支出。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2383B0A"/>
    <w:rsid w:val="32594A7B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694E8F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5FFC2FC2"/>
    <w:rsid w:val="60A76F05"/>
    <w:rsid w:val="62770932"/>
    <w:rsid w:val="63ED0CD3"/>
    <w:rsid w:val="667728BC"/>
    <w:rsid w:val="675B6F91"/>
    <w:rsid w:val="67B17BDD"/>
    <w:rsid w:val="69090D36"/>
    <w:rsid w:val="69B73151"/>
    <w:rsid w:val="6B212789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8FD25BA"/>
    <w:rsid w:val="7CB67331"/>
    <w:rsid w:val="7E30253F"/>
    <w:rsid w:val="7ECF5F29"/>
    <w:rsid w:val="7F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10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2020-03-17T20:48:00Z</dcterms:created>
  <dc:creator>Administrator</dc:creator>
  <cp:lastModifiedBy>ankang</cp:lastModifiedBy>
  <cp:lastPrinted>2020-04-13T09:53:00Z</cp:lastPrinted>
  <dcterms:modified xsi:type="dcterms:W3CDTF">2023-10-18T15:58:33Z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