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0" w:firstLineChars="0"/>
        <w:jc w:val="center"/>
        <w:textAlignment w:val="baseline"/>
        <w:rPr>
          <w:rFonts w:hint="eastAsia" w:ascii="黑体" w:hAnsi="黑体" w:eastAsia="黑体" w:cs="黑体"/>
          <w:spacing w:val="-1"/>
          <w:sz w:val="44"/>
          <w:szCs w:val="44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黑体" w:hAnsi="黑体" w:eastAsia="黑体" w:cs="黑体"/>
          <w:spacing w:val="-1"/>
          <w:sz w:val="44"/>
          <w:szCs w:val="44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镇坪县统计局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0" w:firstLineChars="0"/>
        <w:jc w:val="center"/>
        <w:textAlignment w:val="baseline"/>
        <w:rPr>
          <w:rFonts w:hint="eastAsia" w:ascii="黑体" w:hAnsi="黑体" w:eastAsia="黑体" w:cs="黑体"/>
          <w:spacing w:val="-1"/>
          <w:sz w:val="44"/>
          <w:szCs w:val="44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黑体" w:hAnsi="黑体" w:eastAsia="黑体" w:cs="黑体"/>
          <w:spacing w:val="-1"/>
          <w:sz w:val="44"/>
          <w:szCs w:val="44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202</w:t>
      </w:r>
      <w:r>
        <w:rPr>
          <w:rFonts w:hint="eastAsia" w:ascii="黑体" w:hAnsi="黑体" w:eastAsia="黑体" w:cs="黑体"/>
          <w:spacing w:val="-1"/>
          <w:sz w:val="44"/>
          <w:szCs w:val="44"/>
          <w:lang w:val="en-US" w:eastAsia="zh-CN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4</w:t>
      </w:r>
      <w:r>
        <w:rPr>
          <w:rFonts w:hint="eastAsia" w:ascii="黑体" w:hAnsi="黑体" w:eastAsia="黑体" w:cs="黑体"/>
          <w:spacing w:val="-1"/>
          <w:sz w:val="44"/>
          <w:szCs w:val="44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年部门预算公开说明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1058" w:firstLineChars="333"/>
        <w:jc w:val="both"/>
        <w:textAlignment w:val="baseline"/>
        <w:rPr>
          <w:rFonts w:hint="eastAsia" w:ascii="宋体" w:hAnsi="宋体" w:eastAsia="宋体" w:cs="宋体"/>
          <w:spacing w:val="-1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0" w:firstLineChars="0"/>
        <w:jc w:val="center"/>
        <w:textAlignment w:val="baseline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目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 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部门概况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一、主要职责及机构设置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 工作任务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三、预算单位构成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四、人员情况说明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收支情况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 收支说明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其他说明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六、“三公”经费及会议费、培训费情况说明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七、国有资产占有使用及资产购置情况说明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八、政府采购情况说明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九、绩效目标说明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十、机关运行经费安排说明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十一、专业名词解释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（具体部门预算公开报表)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770" w:firstLineChars="1500"/>
        <w:jc w:val="both"/>
        <w:textAlignment w:val="baseline"/>
        <w:rPr>
          <w:rFonts w:hint="eastAsia" w:ascii="宋体" w:hAnsi="宋体" w:eastAsia="宋体" w:cs="宋体"/>
          <w:spacing w:val="-1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770" w:firstLineChars="1500"/>
        <w:jc w:val="both"/>
        <w:textAlignment w:val="baseline"/>
        <w:rPr>
          <w:rFonts w:hint="eastAsia" w:ascii="宋体" w:hAnsi="宋体" w:eastAsia="宋体" w:cs="宋体"/>
          <w:spacing w:val="-1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770" w:firstLineChars="1500"/>
        <w:jc w:val="both"/>
        <w:textAlignment w:val="baseline"/>
        <w:rPr>
          <w:rFonts w:hint="eastAsia" w:ascii="宋体" w:hAnsi="宋体" w:eastAsia="宋体" w:cs="宋体"/>
          <w:spacing w:val="-1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770" w:firstLineChars="1500"/>
        <w:jc w:val="both"/>
        <w:textAlignment w:val="baseline"/>
        <w:rPr>
          <w:rFonts w:hint="eastAsia" w:ascii="宋体" w:hAnsi="宋体" w:eastAsia="宋体" w:cs="宋体"/>
          <w:spacing w:val="-1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0" w:firstLineChars="0"/>
        <w:jc w:val="center"/>
        <w:textAlignment w:val="baseline"/>
        <w:rPr>
          <w:rFonts w:hint="eastAsia" w:ascii="黑体" w:hAnsi="黑体" w:eastAsia="黑体" w:cs="黑体"/>
          <w:spacing w:val="-1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黑体" w:hAnsi="黑体" w:eastAsia="黑体" w:cs="黑体"/>
          <w:spacing w:val="-1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第一部分  部门概况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0" w:firstLineChars="0"/>
        <w:jc w:val="center"/>
        <w:textAlignment w:val="baseline"/>
        <w:rPr>
          <w:rFonts w:ascii="宋体" w:hAnsi="宋体" w:eastAsia="宋体" w:cs="宋体"/>
          <w:spacing w:val="-1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8" w:firstLineChars="200"/>
        <w:jc w:val="both"/>
        <w:textAlignment w:val="baseline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</w:t>
      </w:r>
      <w:r>
        <w:rPr>
          <w:rFonts w:hint="eastAsia" w:ascii="宋体" w:hAnsi="宋体" w:eastAsia="宋体" w:cs="宋体"/>
          <w:spacing w:val="-3"/>
          <w:sz w:val="32"/>
          <w:szCs w:val="32"/>
          <w:lang w:val="en-US" w:eastAsia="zh-CN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县统计局的</w:t>
      </w:r>
      <w:r>
        <w:rPr>
          <w:rFonts w:ascii="宋体" w:hAnsi="宋体" w:eastAsia="宋体" w:cs="宋体"/>
          <w:spacing w:val="-3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主要职责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统计局属于县政府工作部门，负责对全县国民经济各个行业一年各时间段的</w:t>
      </w:r>
      <w:r>
        <w:rPr>
          <w:rFonts w:ascii="仿宋" w:hAnsi="仿宋" w:eastAsia="仿宋" w:cs="仿宋"/>
          <w:spacing w:val="-1"/>
          <w:sz w:val="32"/>
          <w:szCs w:val="32"/>
        </w:rPr>
        <w:t>经济发展水平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-1"/>
          <w:sz w:val="32"/>
          <w:szCs w:val="32"/>
        </w:rPr>
        <w:t>规模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、</w:t>
      </w:r>
      <w:r>
        <w:rPr>
          <w:rFonts w:ascii="仿宋" w:hAnsi="仿宋" w:eastAsia="仿宋" w:cs="仿宋"/>
          <w:spacing w:val="3"/>
          <w:sz w:val="32"/>
          <w:szCs w:val="32"/>
        </w:rPr>
        <w:t>经济总量、经济总价值进行收集、汇总、评</w:t>
      </w:r>
      <w:r>
        <w:rPr>
          <w:rFonts w:ascii="仿宋" w:hAnsi="仿宋" w:eastAsia="仿宋" w:cs="仿宋"/>
          <w:spacing w:val="2"/>
          <w:sz w:val="32"/>
          <w:szCs w:val="32"/>
        </w:rPr>
        <w:t>估，加工成为各级领导决策服务的统计产品。部门主</w:t>
      </w:r>
      <w:r>
        <w:rPr>
          <w:rFonts w:ascii="仿宋" w:hAnsi="仿宋" w:eastAsia="仿宋" w:cs="仿宋"/>
          <w:spacing w:val="-17"/>
          <w:sz w:val="32"/>
          <w:szCs w:val="32"/>
        </w:rPr>
        <w:t>要职责：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(一)承担组织领导和协调全县统计工作，确保统计数据真实、准确、及时;拟订全县统计政策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、</w:t>
      </w:r>
      <w:r>
        <w:rPr>
          <w:rFonts w:ascii="仿宋" w:hAnsi="仿宋" w:eastAsia="仿宋" w:cs="仿宋"/>
          <w:sz w:val="32"/>
          <w:szCs w:val="32"/>
        </w:rPr>
        <w:t>规划以及全县统计调查计划;监督检查统计法规和统计制度的实施情况，依法查处违反统计法规</w:t>
      </w:r>
      <w:r>
        <w:rPr>
          <w:rFonts w:ascii="仿宋" w:hAnsi="仿宋" w:eastAsia="仿宋" w:cs="仿宋"/>
          <w:spacing w:val="-1"/>
          <w:sz w:val="32"/>
          <w:szCs w:val="32"/>
        </w:rPr>
        <w:t>和统</w:t>
      </w:r>
      <w:r>
        <w:rPr>
          <w:rFonts w:ascii="仿宋" w:hAnsi="仿宋" w:eastAsia="仿宋" w:cs="仿宋"/>
          <w:spacing w:val="-8"/>
          <w:sz w:val="32"/>
          <w:szCs w:val="32"/>
        </w:rPr>
        <w:t>计制度的行为。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jc w:val="both"/>
        <w:textAlignment w:val="baseline"/>
        <w:rPr>
          <w:rFonts w:ascii="仿宋" w:hAnsi="仿宋" w:eastAsia="仿宋" w:cs="仿宋"/>
          <w:spacing w:val="1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(二)建立健全全县国民经济核算体系和统计指标体系，贯彻全国统一的基本统计制度，执行国家统计标准;完成全县生产总值、投入产出调查，汇编提供国民经济核算资料。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jc w:val="both"/>
        <w:textAlignment w:val="baseline"/>
        <w:rPr>
          <w:rFonts w:ascii="仿宋" w:hAnsi="仿宋" w:eastAsia="仿宋" w:cs="仿宋"/>
          <w:spacing w:val="1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(三)会同有关部门组织实施人口、经济、农业等大型国情国力普查、专项调查和抽样调查；并负责汇总、整理和提供有关国情国力方面的统计数据。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both"/>
        <w:textAlignment w:val="baseline"/>
        <w:rPr>
          <w:rFonts w:ascii="仿宋" w:hAnsi="仿宋" w:eastAsia="仿宋" w:cs="仿宋"/>
          <w:spacing w:val="-1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(四)组织实施农林牧渔业、工业、建筑业、批发和零售业、住宿和餐饮业、房地产</w:t>
      </w:r>
      <w:r>
        <w:rPr>
          <w:rFonts w:ascii="仿宋" w:hAnsi="仿宋" w:eastAsia="仿宋" w:cs="仿宋"/>
          <w:spacing w:val="-2"/>
          <w:sz w:val="32"/>
          <w:szCs w:val="32"/>
        </w:rPr>
        <w:t>业、租赁和商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务服务业、居民服务和其他服务业、文化体育和娱乐业以及装卸搬运和其他运输服务业、仓储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业</w:t>
      </w:r>
      <w:r>
        <w:rPr>
          <w:rFonts w:ascii="仿宋" w:hAnsi="仿宋" w:eastAsia="仿宋" w:cs="仿宋"/>
          <w:spacing w:val="4"/>
          <w:sz w:val="32"/>
          <w:szCs w:val="32"/>
        </w:rPr>
        <w:t>计算机服务业、软件业、科技交流和推广服务业、社会福利业等</w:t>
      </w:r>
      <w:r>
        <w:rPr>
          <w:rFonts w:ascii="仿宋" w:hAnsi="仿宋" w:eastAsia="仿宋" w:cs="仿宋"/>
          <w:spacing w:val="3"/>
          <w:sz w:val="32"/>
          <w:szCs w:val="32"/>
        </w:rPr>
        <w:t>统计调查，收集、汇总、整理和提</w:t>
      </w:r>
      <w:r>
        <w:rPr>
          <w:rFonts w:ascii="仿宋" w:hAnsi="仿宋" w:eastAsia="仿宋" w:cs="仿宋"/>
          <w:spacing w:val="-1"/>
          <w:sz w:val="32"/>
          <w:szCs w:val="32"/>
        </w:rPr>
        <w:t>供有关调查的统计数据；综合整理和提供地质勘查、旅游、交通运输、邮政、教育、卫生、社会保障、公用事业等全国性基本统计数据。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both"/>
        <w:textAlignment w:val="baseline"/>
        <w:rPr>
          <w:rFonts w:ascii="仿宋" w:hAnsi="仿宋" w:eastAsia="仿宋" w:cs="仿宋"/>
          <w:spacing w:val="-1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(五)组织实施能源、投资、消费、收入、科技、人口、劳动力、社会发展基本情况、环境基本状 况、营商环境等统计调查;收集、汇总、整理和提供有关调查的统计数据，综合整理和提供资源、房屋、对外贸易等全县基本统计数据。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both"/>
        <w:textAlignment w:val="baseline"/>
        <w:rPr>
          <w:rFonts w:ascii="仿宋" w:hAnsi="仿宋" w:eastAsia="仿宋" w:cs="仿宋"/>
          <w:spacing w:val="-1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(六)组织全县镇、各部门的经济、社会、科技和资源环境统计调查，组织开展全县国民经济、社 会发展、科技进步和资源环境等情况的统计分析、统计预测、统计监督，统一核定、管理、公布全 县基本统计资料,定期发布全县国民经济和社会发展情况的统计信息，向县委、县政府及有关部门提供统计信息和咨询意见。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both"/>
        <w:textAlignment w:val="baseline"/>
        <w:rPr>
          <w:rFonts w:ascii="仿宋" w:hAnsi="仿宋" w:eastAsia="仿宋" w:cs="仿宋"/>
          <w:spacing w:val="-1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(七)加强对全县各镇、各部门统计工作的指导、综合协调、统计数据发布等方面的管理;负责对县级各有关部门和各镇年度目标责任考核有关数据的审核。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both"/>
        <w:textAlignment w:val="baseline"/>
        <w:rPr>
          <w:rFonts w:ascii="仿宋" w:hAnsi="仿宋" w:eastAsia="仿宋" w:cs="仿宋"/>
          <w:spacing w:val="-1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(八)依法审批或者备案县级各部门的统计调查项目、地方统计调查项目;指导专业统计基础工作 、统计基层业务基础建设，组织建立服务业统计信息管理制度，建立健全统计数据质量审核、监控和评估制度，开展对重要统计数据的审核、监控和评估，依法监督管理涉外调查活动。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both"/>
        <w:textAlignment w:val="baseline"/>
        <w:rPr>
          <w:rFonts w:ascii="仿宋" w:hAnsi="仿宋" w:eastAsia="仿宋" w:cs="仿宋"/>
          <w:spacing w:val="-1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(九)按照规定的权限与责任，承接和管理县属调查队系统的人员和统计事业费;指导全县统计专业技术队伍建设，会同有关部门组织管理全县统计专业资格考试报考相关工作。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both"/>
        <w:textAlignment w:val="baseline"/>
        <w:rPr>
          <w:rFonts w:ascii="仿宋" w:hAnsi="仿宋" w:eastAsia="仿宋" w:cs="仿宋"/>
          <w:spacing w:val="-1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(十)建立健全并管理全县统计信息自动化系统和统计数据库系统;组织、推广计算机及传输技术在全县统计工作中的运用。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（十一）完成县委、县政府交办的其他任务。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8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8"/>
          <w:sz w:val="32"/>
          <w:szCs w:val="32"/>
        </w:rPr>
        <w:t>县统计局设下列内设机构：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（一）政办股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负责局机关政务工作;督促检查机关工作制度的落实，负责。重要会议组织和会议决定事项的督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办;负责人大建议和政协提案的办理;负责机关文秘与公文管理；牵头负责局机关重要文件的起草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;负责本部门新闻发布、政务信息、机要、保密、信访、</w:t>
      </w:r>
      <w:r>
        <w:rPr>
          <w:rFonts w:ascii="仿宋" w:hAnsi="仿宋" w:eastAsia="仿宋" w:cs="仿宋"/>
          <w:spacing w:val="6"/>
          <w:sz w:val="32"/>
          <w:szCs w:val="32"/>
        </w:rPr>
        <w:t>安全和接待以及各类大型活动的组织协调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工作;负责局机关财务报账和资产管理工作</w:t>
      </w:r>
      <w:r>
        <w:rPr>
          <w:rFonts w:ascii="仿宋" w:hAnsi="仿宋" w:eastAsia="仿宋" w:cs="仿宋"/>
          <w:spacing w:val="2"/>
          <w:sz w:val="32"/>
          <w:szCs w:val="32"/>
        </w:rPr>
        <w:t>;负责局机关和下属事业单位的机构编制、人事、工资、</w:t>
      </w:r>
      <w:r>
        <w:rPr>
          <w:rFonts w:ascii="仿宋" w:hAnsi="仿宋" w:eastAsia="仿宋" w:cs="仿宋"/>
          <w:sz w:val="32"/>
          <w:szCs w:val="32"/>
        </w:rPr>
        <w:t xml:space="preserve"> 档案等重要资料的管理；承担局党务、纪检监察、综治、工青妇等方面的工作;组织实施目标责</w:t>
      </w:r>
      <w:r>
        <w:rPr>
          <w:rFonts w:ascii="仿宋" w:hAnsi="仿宋" w:eastAsia="仿宋" w:cs="仿宋"/>
          <w:spacing w:val="-1"/>
          <w:sz w:val="32"/>
          <w:szCs w:val="32"/>
        </w:rPr>
        <w:t>任制</w:t>
      </w:r>
      <w:r>
        <w:rPr>
          <w:rFonts w:ascii="仿宋" w:hAnsi="仿宋" w:eastAsia="仿宋" w:cs="仿宋"/>
          <w:sz w:val="32"/>
          <w:szCs w:val="32"/>
        </w:rPr>
        <w:t xml:space="preserve"> 及考核、奖惩工作;负责全县统计系统的业务培训;负责本部门离退休人员的管理工作;组织全县</w:t>
      </w:r>
      <w:r>
        <w:rPr>
          <w:rFonts w:ascii="仿宋" w:hAnsi="仿宋" w:eastAsia="仿宋" w:cs="仿宋"/>
          <w:spacing w:val="-1"/>
          <w:sz w:val="32"/>
          <w:szCs w:val="32"/>
        </w:rPr>
        <w:t>统计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法规的宣传、监督监察和统计违法案件的查处工作;承担行</w:t>
      </w:r>
      <w:r>
        <w:rPr>
          <w:rFonts w:ascii="仿宋" w:hAnsi="仿宋" w:eastAsia="仿宋" w:cs="仿宋"/>
          <w:spacing w:val="3"/>
          <w:sz w:val="32"/>
          <w:szCs w:val="32"/>
        </w:rPr>
        <w:t>政复议和行政应诉工作;完成局领导交办</w:t>
      </w:r>
      <w:r>
        <w:rPr>
          <w:rFonts w:ascii="仿宋" w:hAnsi="仿宋" w:eastAsia="仿宋" w:cs="仿宋"/>
          <w:spacing w:val="-9"/>
          <w:sz w:val="32"/>
          <w:szCs w:val="32"/>
        </w:rPr>
        <w:t>的其他任务。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0" w:firstLineChars="200"/>
        <w:jc w:val="both"/>
        <w:textAlignment w:val="baseline"/>
        <w:rPr>
          <w:rFonts w:ascii="仿宋" w:hAnsi="仿宋" w:eastAsia="仿宋" w:cs="仿宋"/>
          <w:spacing w:val="-5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（二）综合核算股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对全县国民经济运行情况进行统计和综合分析，提出宏观</w:t>
      </w:r>
      <w:r>
        <w:rPr>
          <w:rFonts w:ascii="仿宋" w:hAnsi="仿宋" w:eastAsia="仿宋" w:cs="仿宋"/>
          <w:spacing w:val="3"/>
          <w:sz w:val="32"/>
          <w:szCs w:val="32"/>
        </w:rPr>
        <w:t>调控咨询建议;负责收集、整理和提供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全县经济、社会等各项综合性统计数据和统计资料；编写或编辑</w:t>
      </w:r>
      <w:r>
        <w:rPr>
          <w:rFonts w:ascii="仿宋" w:hAnsi="仿宋" w:eastAsia="仿宋" w:cs="仿宋"/>
          <w:spacing w:val="3"/>
          <w:sz w:val="32"/>
          <w:szCs w:val="32"/>
        </w:rPr>
        <w:t>统计公报、年鉴、经济要情等信息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资料；贯彻全国统一的基本统计制度，执行国家统计标准，组织</w:t>
      </w:r>
      <w:r>
        <w:rPr>
          <w:rFonts w:ascii="仿宋" w:hAnsi="仿宋" w:eastAsia="仿宋" w:cs="仿宋"/>
          <w:spacing w:val="3"/>
          <w:sz w:val="32"/>
          <w:szCs w:val="32"/>
        </w:rPr>
        <w:t>实施最新国民经济核算制度；承担</w:t>
      </w:r>
      <w:r>
        <w:rPr>
          <w:rFonts w:ascii="仿宋" w:hAnsi="仿宋" w:eastAsia="仿宋" w:cs="仿宋"/>
          <w:sz w:val="32"/>
          <w:szCs w:val="32"/>
        </w:rPr>
        <w:t xml:space="preserve"> 国内生产总值、投入产出、资金流量、资产负债和资源环境核算;提供国民经济核算资料及综</w:t>
      </w:r>
      <w:r>
        <w:rPr>
          <w:rFonts w:ascii="仿宋" w:hAnsi="仿宋" w:eastAsia="仿宋" w:cs="仿宋"/>
          <w:spacing w:val="-1"/>
          <w:sz w:val="32"/>
          <w:szCs w:val="32"/>
        </w:rPr>
        <w:t>合平衡</w:t>
      </w:r>
      <w:r>
        <w:rPr>
          <w:rFonts w:ascii="仿宋" w:hAnsi="仿宋" w:eastAsia="仿宋" w:cs="仿宋"/>
          <w:sz w:val="32"/>
          <w:szCs w:val="32"/>
        </w:rPr>
        <w:t xml:space="preserve"> 状况的分析研究报告，对有关统计数据质量进行检查、评估和分析;负责统计数据的发布和统</w:t>
      </w:r>
      <w:r>
        <w:rPr>
          <w:rFonts w:ascii="仿宋" w:hAnsi="仿宋" w:eastAsia="仿宋" w:cs="仿宋"/>
          <w:spacing w:val="-1"/>
          <w:sz w:val="32"/>
          <w:szCs w:val="32"/>
        </w:rPr>
        <w:t>计新闻</w:t>
      </w:r>
      <w:r>
        <w:rPr>
          <w:rFonts w:ascii="仿宋" w:hAnsi="仿宋" w:eastAsia="仿宋" w:cs="仿宋"/>
          <w:sz w:val="32"/>
          <w:szCs w:val="32"/>
        </w:rPr>
        <w:t xml:space="preserve"> 宣传；配合国家、省市积极推进统计制度及方法改革工作;负责办理县级各部门统计调查计划</w:t>
      </w:r>
      <w:r>
        <w:rPr>
          <w:rFonts w:ascii="仿宋" w:hAnsi="仿宋" w:eastAsia="仿宋" w:cs="仿宋"/>
          <w:spacing w:val="-1"/>
          <w:sz w:val="32"/>
          <w:szCs w:val="32"/>
        </w:rPr>
        <w:t>、调查</w:t>
      </w:r>
      <w:r>
        <w:rPr>
          <w:rFonts w:ascii="仿宋" w:hAnsi="仿宋" w:eastAsia="仿宋" w:cs="仿宋"/>
          <w:spacing w:val="-2"/>
          <w:sz w:val="32"/>
          <w:szCs w:val="32"/>
        </w:rPr>
        <w:t>方案及制发统计调查表的审查、管理业务;指导全县统计分析研究工作。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0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（三）农村社会股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组织实施农村经济统计调查工作，收集、整理和提供农业生</w:t>
      </w:r>
      <w:r>
        <w:rPr>
          <w:rFonts w:ascii="仿宋" w:hAnsi="仿宋" w:eastAsia="仿宋" w:cs="仿宋"/>
          <w:spacing w:val="3"/>
          <w:sz w:val="32"/>
          <w:szCs w:val="32"/>
        </w:rPr>
        <w:t>产及农村社会经济统计数据;对有关</w:t>
      </w:r>
      <w:r>
        <w:rPr>
          <w:rFonts w:ascii="仿宋" w:hAnsi="仿宋" w:eastAsia="仿宋" w:cs="仿宋"/>
          <w:sz w:val="32"/>
          <w:szCs w:val="32"/>
        </w:rPr>
        <w:t xml:space="preserve"> 数据质量进行检查和评估，并预测、分析、研究农村社会经济发展情况;指导全县农村经济统计</w:t>
      </w:r>
      <w:r>
        <w:rPr>
          <w:rFonts w:ascii="仿宋" w:hAnsi="仿宋" w:eastAsia="仿宋" w:cs="仿宋"/>
          <w:spacing w:val="-1"/>
          <w:sz w:val="32"/>
          <w:szCs w:val="32"/>
        </w:rPr>
        <w:t>工作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。负责农村统计人员培训工作和农村统计网络建设工作，综合整理和提供统计数据，进行统计分析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。组织建立健全和管理全县统计信息化系统和统计数据库体系;组织协调和统一管理县统计信息</w:t>
      </w:r>
      <w:r>
        <w:rPr>
          <w:rFonts w:ascii="仿宋" w:hAnsi="仿宋" w:eastAsia="仿宋" w:cs="仿宋"/>
          <w:spacing w:val="-1"/>
          <w:sz w:val="32"/>
          <w:szCs w:val="32"/>
        </w:rPr>
        <w:t>网站</w:t>
      </w:r>
      <w:r>
        <w:rPr>
          <w:rFonts w:ascii="仿宋" w:hAnsi="仿宋" w:eastAsia="仿宋" w:cs="仿宋"/>
          <w:sz w:val="32"/>
          <w:szCs w:val="32"/>
        </w:rPr>
        <w:t xml:space="preserve"> 和各镇的统计信息网站；维护市到县、县到镇的统计信息专用网络;负责全县专业统计数据处理</w:t>
      </w:r>
      <w:r>
        <w:rPr>
          <w:rFonts w:ascii="仿宋" w:hAnsi="仿宋" w:eastAsia="仿宋" w:cs="仿宋"/>
          <w:spacing w:val="-1"/>
          <w:sz w:val="32"/>
          <w:szCs w:val="32"/>
        </w:rPr>
        <w:t>平台</w:t>
      </w:r>
      <w:r>
        <w:rPr>
          <w:rFonts w:ascii="仿宋" w:hAnsi="仿宋" w:eastAsia="仿宋" w:cs="仿宋"/>
          <w:spacing w:val="-3"/>
          <w:sz w:val="32"/>
          <w:szCs w:val="32"/>
        </w:rPr>
        <w:t>的维护和管理;组织指导好统计系统的计算机技术培训。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 w:firstLineChars="200"/>
        <w:jc w:val="both"/>
        <w:textAlignment w:val="baseline"/>
        <w:outlineLvl w:val="0"/>
        <w:rPr>
          <w:rFonts w:ascii="宋体" w:hAnsi="宋体" w:eastAsia="宋体" w:cs="宋体"/>
          <w:spacing w:val="-2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2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工作任务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right="0" w:rightChars="0" w:firstLine="320" w:firstLineChars="100"/>
        <w:jc w:val="both"/>
        <w:textAlignment w:val="baseline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position w:val="16"/>
          <w:sz w:val="32"/>
          <w:szCs w:val="32"/>
        </w:rPr>
        <w:t>202</w:t>
      </w:r>
      <w:r>
        <w:rPr>
          <w:rFonts w:hint="eastAsia" w:ascii="仿宋" w:hAnsi="仿宋" w:eastAsia="仿宋" w:cs="仿宋"/>
          <w:position w:val="16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position w:val="16"/>
          <w:sz w:val="32"/>
          <w:szCs w:val="32"/>
        </w:rPr>
        <w:t>年，我局将围绕县委、</w:t>
      </w:r>
      <w:r>
        <w:rPr>
          <w:rFonts w:hint="eastAsia" w:ascii="仿宋" w:hAnsi="仿宋" w:eastAsia="仿宋" w:cs="仿宋"/>
          <w:position w:val="16"/>
          <w:sz w:val="32"/>
          <w:szCs w:val="32"/>
          <w:lang w:eastAsia="zh-CN"/>
        </w:rPr>
        <w:t>县</w:t>
      </w:r>
      <w:r>
        <w:rPr>
          <w:rFonts w:ascii="仿宋" w:hAnsi="仿宋" w:eastAsia="仿宋" w:cs="仿宋"/>
          <w:position w:val="16"/>
          <w:sz w:val="32"/>
          <w:szCs w:val="32"/>
        </w:rPr>
        <w:t>政府的工作部署和要求，立足统计职能职责，重点做好以下几个方面的工作：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ascii="仿宋" w:hAnsi="仿宋" w:eastAsia="仿宋" w:cs="仿宋"/>
          <w:position w:val="16"/>
          <w:sz w:val="32"/>
          <w:szCs w:val="32"/>
        </w:rPr>
      </w:pPr>
      <w:r>
        <w:rPr>
          <w:rFonts w:ascii="仿宋" w:hAnsi="仿宋" w:eastAsia="仿宋" w:cs="仿宋"/>
          <w:position w:val="16"/>
          <w:sz w:val="32"/>
          <w:szCs w:val="32"/>
        </w:rPr>
        <w:t>一是强化经济运行统计监测，及时提供和发布全县社会经济发展情况，按月、</w:t>
      </w:r>
      <w:r>
        <w:rPr>
          <w:rFonts w:ascii="仿宋" w:hAnsi="仿宋" w:eastAsia="仿宋" w:cs="仿宋"/>
          <w:spacing w:val="-1"/>
          <w:position w:val="16"/>
          <w:sz w:val="32"/>
          <w:szCs w:val="32"/>
        </w:rPr>
        <w:t>按季向县委、县</w:t>
      </w:r>
      <w:r>
        <w:rPr>
          <w:rFonts w:ascii="仿宋" w:hAnsi="仿宋" w:eastAsia="仿宋" w:cs="仿宋"/>
          <w:position w:val="16"/>
          <w:sz w:val="32"/>
          <w:szCs w:val="32"/>
        </w:rPr>
        <w:t>政府和有关部门提供经济运行分析或预警监测报告，为县委和县政府决策提供有效统计服务。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ascii="仿宋" w:hAnsi="仿宋" w:eastAsia="仿宋" w:cs="仿宋"/>
          <w:position w:val="16"/>
          <w:sz w:val="32"/>
          <w:szCs w:val="32"/>
        </w:rPr>
      </w:pPr>
      <w:r>
        <w:rPr>
          <w:rFonts w:ascii="仿宋" w:hAnsi="仿宋" w:eastAsia="仿宋" w:cs="仿宋"/>
          <w:position w:val="16"/>
          <w:sz w:val="32"/>
          <w:szCs w:val="32"/>
        </w:rPr>
        <w:t>二是做好第五次全国经济普查工作。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ascii="仿宋" w:hAnsi="仿宋" w:eastAsia="仿宋" w:cs="仿宋"/>
          <w:position w:val="16"/>
          <w:sz w:val="32"/>
          <w:szCs w:val="32"/>
        </w:rPr>
      </w:pPr>
      <w:r>
        <w:rPr>
          <w:rFonts w:ascii="仿宋" w:hAnsi="仿宋" w:eastAsia="仿宋" w:cs="仿宋"/>
          <w:position w:val="16"/>
          <w:sz w:val="32"/>
          <w:szCs w:val="32"/>
        </w:rPr>
        <w:t>三是强化统计业务培训，做好各专业统计工作，确保及时准确完成各专业的统计月、季、年报统计工作任务，全面反映全县经济社会发展成果。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ascii="仿宋" w:hAnsi="仿宋" w:eastAsia="仿宋" w:cs="仿宋"/>
          <w:position w:val="16"/>
          <w:sz w:val="32"/>
          <w:szCs w:val="32"/>
        </w:rPr>
      </w:pPr>
      <w:r>
        <w:rPr>
          <w:rFonts w:ascii="仿宋" w:hAnsi="仿宋" w:eastAsia="仿宋" w:cs="仿宋"/>
          <w:position w:val="16"/>
          <w:sz w:val="32"/>
          <w:szCs w:val="32"/>
        </w:rPr>
        <w:t>四是扎实做好住户调查</w:t>
      </w:r>
      <w:r>
        <w:rPr>
          <w:rFonts w:hint="eastAsia" w:ascii="仿宋" w:hAnsi="仿宋" w:eastAsia="仿宋" w:cs="仿宋"/>
          <w:position w:val="16"/>
          <w:sz w:val="32"/>
          <w:szCs w:val="32"/>
          <w:lang w:val="en-US" w:eastAsia="zh-CN"/>
        </w:rPr>
        <w:t>抽样</w:t>
      </w:r>
      <w:r>
        <w:rPr>
          <w:rFonts w:ascii="仿宋" w:hAnsi="仿宋" w:eastAsia="仿宋" w:cs="仿宋"/>
          <w:position w:val="16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ascii="仿宋" w:hAnsi="仿宋" w:eastAsia="仿宋" w:cs="仿宋"/>
          <w:position w:val="16"/>
          <w:sz w:val="32"/>
          <w:szCs w:val="32"/>
        </w:rPr>
      </w:pPr>
      <w:r>
        <w:rPr>
          <w:rFonts w:ascii="仿宋" w:hAnsi="仿宋" w:eastAsia="仿宋" w:cs="仿宋"/>
          <w:position w:val="16"/>
          <w:sz w:val="32"/>
          <w:szCs w:val="32"/>
        </w:rPr>
        <w:t>五是做好“五上”企业、5000万元及以上项目调查单位申报、审核工作，积极</w:t>
      </w:r>
      <w:r>
        <w:rPr>
          <w:rFonts w:ascii="仿宋" w:hAnsi="仿宋" w:eastAsia="仿宋" w:cs="仿宋"/>
          <w:spacing w:val="-1"/>
          <w:position w:val="16"/>
          <w:sz w:val="32"/>
          <w:szCs w:val="32"/>
        </w:rPr>
        <w:t>主动对企业实施</w:t>
      </w:r>
      <w:r>
        <w:rPr>
          <w:rFonts w:ascii="仿宋" w:hAnsi="仿宋" w:eastAsia="仿宋" w:cs="仿宋"/>
          <w:position w:val="16"/>
          <w:sz w:val="32"/>
          <w:szCs w:val="32"/>
        </w:rPr>
        <w:t>统计指导服务。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ascii="仿宋" w:hAnsi="仿宋" w:eastAsia="仿宋" w:cs="仿宋"/>
          <w:position w:val="16"/>
          <w:sz w:val="32"/>
          <w:szCs w:val="32"/>
        </w:rPr>
      </w:pPr>
      <w:r>
        <w:rPr>
          <w:rFonts w:ascii="仿宋" w:hAnsi="仿宋" w:eastAsia="仿宋" w:cs="仿宋"/>
          <w:position w:val="16"/>
          <w:sz w:val="32"/>
          <w:szCs w:val="32"/>
        </w:rPr>
        <w:t>六是做好县域经济社会发展监测评价指标统计工作。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position w:val="16"/>
          <w:sz w:val="32"/>
          <w:szCs w:val="32"/>
        </w:rPr>
        <w:t>七是配合做好县直部门满意度调查；完成各类创建满意度调查工作。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 w:firstLineChars="200"/>
        <w:jc w:val="both"/>
        <w:textAlignment w:val="baseline"/>
        <w:outlineLvl w:val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2"/>
          <w:sz w:val="32"/>
          <w:szCs w:val="32"/>
          <w:lang w:val="en-US" w:eastAsia="zh-CN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四</w:t>
      </w:r>
      <w:r>
        <w:rPr>
          <w:rFonts w:ascii="宋体" w:hAnsi="宋体" w:eastAsia="宋体" w:cs="宋体"/>
          <w:spacing w:val="-2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、预算单位</w:t>
      </w:r>
      <w:r>
        <w:rPr>
          <w:rFonts w:hint="eastAsia" w:ascii="宋体" w:hAnsi="宋体" w:eastAsia="宋体" w:cs="宋体"/>
          <w:spacing w:val="-2"/>
          <w:sz w:val="32"/>
          <w:szCs w:val="32"/>
          <w:lang w:val="en-US" w:eastAsia="zh-CN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构成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从预算单位构成看，本部门的部门预算包括部门本级（机关）预</w:t>
      </w:r>
      <w:r>
        <w:rPr>
          <w:rFonts w:ascii="仿宋" w:hAnsi="仿宋" w:eastAsia="仿宋" w:cs="仿宋"/>
          <w:spacing w:val="-3"/>
          <w:sz w:val="32"/>
          <w:szCs w:val="32"/>
        </w:rPr>
        <w:t>算。</w:t>
      </w:r>
    </w:p>
    <w:tbl>
      <w:tblPr>
        <w:tblStyle w:val="13"/>
        <w:tblW w:w="8798" w:type="dxa"/>
        <w:tblInd w:w="6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1993"/>
        <w:gridCol w:w="57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10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</w:rPr>
              <w:t>序号</w:t>
            </w:r>
          </w:p>
        </w:tc>
        <w:tc>
          <w:tcPr>
            <w:tcW w:w="19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</w:rPr>
              <w:t>单位名称</w:t>
            </w:r>
          </w:p>
        </w:tc>
        <w:tc>
          <w:tcPr>
            <w:tcW w:w="57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position w:val="-3"/>
                <w:sz w:val="32"/>
                <w:szCs w:val="32"/>
              </w:rPr>
              <w:t>1</w:t>
            </w:r>
          </w:p>
        </w:tc>
        <w:tc>
          <w:tcPr>
            <w:tcW w:w="19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镇坪县统计局</w:t>
            </w:r>
          </w:p>
        </w:tc>
        <w:tc>
          <w:tcPr>
            <w:tcW w:w="57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 w:firstLineChars="200"/>
        <w:textAlignment w:val="baseline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四、人员情况说明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20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  <w:sectPr>
          <w:pgSz w:w="11900" w:h="16821"/>
          <w:pgMar w:top="1587" w:right="1134" w:bottom="1587" w:left="1701" w:header="0" w:footer="0" w:gutter="0"/>
          <w:cols w:space="0" w:num="1"/>
          <w:rtlGutter w:val="0"/>
          <w:docGrid w:linePitch="0" w:charSpace="0"/>
        </w:sectPr>
      </w:pPr>
      <w:r>
        <w:rPr>
          <w:position w:val="-105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1351280</wp:posOffset>
            </wp:positionV>
            <wp:extent cx="4858385" cy="2524760"/>
            <wp:effectExtent l="0" t="0" r="18415" b="8890"/>
            <wp:wrapTopAndBottom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8385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8"/>
          <w:sz w:val="32"/>
          <w:szCs w:val="32"/>
        </w:rPr>
        <w:t>截止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上</w:t>
      </w:r>
      <w:r>
        <w:rPr>
          <w:rFonts w:ascii="仿宋" w:hAnsi="仿宋" w:eastAsia="仿宋" w:cs="仿宋"/>
          <w:spacing w:val="8"/>
          <w:sz w:val="32"/>
          <w:szCs w:val="32"/>
        </w:rPr>
        <w:t>年底，本部门人员编制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20</w:t>
      </w:r>
      <w:r>
        <w:rPr>
          <w:rFonts w:ascii="仿宋" w:hAnsi="仿宋" w:eastAsia="仿宋" w:cs="仿宋"/>
          <w:spacing w:val="8"/>
          <w:sz w:val="32"/>
          <w:szCs w:val="32"/>
        </w:rPr>
        <w:t>人，其中行政编制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spacing w:val="8"/>
          <w:sz w:val="32"/>
          <w:szCs w:val="32"/>
        </w:rPr>
        <w:t>人、事</w:t>
      </w:r>
      <w:r>
        <w:rPr>
          <w:rFonts w:ascii="仿宋" w:hAnsi="仿宋" w:eastAsia="仿宋" w:cs="仿宋"/>
          <w:spacing w:val="7"/>
          <w:sz w:val="32"/>
          <w:szCs w:val="32"/>
        </w:rPr>
        <w:t>业编制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15</w:t>
      </w:r>
      <w:r>
        <w:rPr>
          <w:rFonts w:ascii="仿宋" w:hAnsi="仿宋" w:eastAsia="仿宋" w:cs="仿宋"/>
          <w:spacing w:val="3"/>
          <w:sz w:val="32"/>
          <w:szCs w:val="32"/>
        </w:rPr>
        <w:t>人；实有人员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19</w:t>
      </w:r>
      <w:r>
        <w:rPr>
          <w:rFonts w:ascii="仿宋" w:hAnsi="仿宋" w:eastAsia="仿宋" w:cs="仿宋"/>
          <w:spacing w:val="3"/>
          <w:sz w:val="32"/>
          <w:szCs w:val="32"/>
        </w:rPr>
        <w:t>人，其中行政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pacing w:val="3"/>
          <w:sz w:val="32"/>
          <w:szCs w:val="32"/>
        </w:rPr>
        <w:t>人、事业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15</w:t>
      </w:r>
      <w:r>
        <w:rPr>
          <w:rFonts w:ascii="仿宋" w:hAnsi="仿宋" w:eastAsia="仿宋" w:cs="仿宋"/>
          <w:spacing w:val="3"/>
          <w:sz w:val="32"/>
          <w:szCs w:val="32"/>
        </w:rPr>
        <w:t>人</w:t>
      </w:r>
      <w:r>
        <w:rPr>
          <w:rFonts w:ascii="仿宋" w:hAnsi="仿宋" w:eastAsia="仿宋" w:cs="仿宋"/>
          <w:spacing w:val="-1"/>
          <w:sz w:val="32"/>
          <w:szCs w:val="32"/>
        </w:rPr>
        <w:t>。单位管理的离退休人员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pacing w:val="-1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0" w:firstLineChars="0"/>
        <w:jc w:val="center"/>
        <w:textAlignment w:val="baseline"/>
        <w:rPr>
          <w:rFonts w:hint="eastAsia" w:ascii="黑体" w:hAnsi="黑体" w:eastAsia="黑体" w:cs="黑体"/>
          <w:spacing w:val="-1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黑体" w:hAnsi="黑体" w:eastAsia="黑体" w:cs="黑体"/>
          <w:spacing w:val="-1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第二部分  收支情况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0" w:firstLineChars="0"/>
        <w:jc w:val="center"/>
        <w:textAlignment w:val="baseline"/>
        <w:rPr>
          <w:rFonts w:ascii="宋体" w:hAnsi="宋体" w:eastAsia="宋体" w:cs="宋体"/>
          <w:spacing w:val="-4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 w:firstLineChars="200"/>
        <w:jc w:val="both"/>
        <w:textAlignment w:val="baseline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position w:val="16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五、收支说明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0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（一）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收支预算</w:t>
      </w:r>
      <w:r>
        <w:rPr>
          <w:rFonts w:ascii="仿宋" w:hAnsi="仿宋" w:eastAsia="仿宋" w:cs="仿宋"/>
          <w:spacing w:val="-5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总体情况。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按照综合预算的原则，本部门所有收入和支出均纳入部门预算管理。</w:t>
      </w:r>
      <w:r>
        <w:rPr>
          <w:rFonts w:ascii="仿宋" w:hAnsi="仿宋" w:eastAsia="仿宋" w:cs="仿宋"/>
          <w:spacing w:val="8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pacing w:val="8"/>
          <w:sz w:val="32"/>
          <w:szCs w:val="32"/>
        </w:rPr>
        <w:t>年本部门预算收入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242.85</w:t>
      </w:r>
      <w:r>
        <w:rPr>
          <w:rFonts w:ascii="仿宋" w:hAnsi="仿宋" w:eastAsia="仿宋" w:cs="仿宋"/>
          <w:spacing w:val="8"/>
          <w:sz w:val="32"/>
          <w:szCs w:val="32"/>
        </w:rPr>
        <w:t>万元，其中一般公共预算拨款收入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242.85</w:t>
      </w:r>
      <w:r>
        <w:rPr>
          <w:rFonts w:ascii="仿宋" w:hAnsi="仿宋" w:eastAsia="仿宋" w:cs="仿宋"/>
          <w:spacing w:val="8"/>
          <w:sz w:val="32"/>
          <w:szCs w:val="32"/>
        </w:rPr>
        <w:t>万元，202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pacing w:val="8"/>
          <w:sz w:val="32"/>
          <w:szCs w:val="32"/>
        </w:rPr>
        <w:t>年本部门预算收入比上年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增加5.74</w:t>
      </w:r>
      <w:r>
        <w:rPr>
          <w:rFonts w:ascii="仿宋" w:hAnsi="仿宋" w:eastAsia="仿宋" w:cs="仿宋"/>
          <w:spacing w:val="8"/>
          <w:sz w:val="32"/>
          <w:szCs w:val="32"/>
        </w:rPr>
        <w:t>万元，主要原因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：</w:t>
      </w:r>
      <w:r>
        <w:rPr>
          <w:rFonts w:ascii="仿宋" w:hAnsi="仿宋" w:eastAsia="仿宋" w:cs="仿宋"/>
          <w:spacing w:val="8"/>
          <w:sz w:val="32"/>
          <w:szCs w:val="32"/>
        </w:rPr>
        <w:t>专项业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务</w:t>
      </w:r>
      <w:r>
        <w:rPr>
          <w:rFonts w:ascii="仿宋" w:hAnsi="仿宋" w:eastAsia="仿宋" w:cs="仿宋"/>
          <w:spacing w:val="8"/>
          <w:sz w:val="32"/>
          <w:szCs w:val="32"/>
        </w:rPr>
        <w:t>经费支出中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增加了机关事业临时劳务用工专项</w:t>
      </w:r>
      <w:r>
        <w:rPr>
          <w:rFonts w:ascii="仿宋" w:hAnsi="仿宋" w:eastAsia="仿宋" w:cs="仿宋"/>
          <w:spacing w:val="8"/>
          <w:sz w:val="32"/>
          <w:szCs w:val="32"/>
        </w:rPr>
        <w:t>。202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pacing w:val="8"/>
          <w:sz w:val="32"/>
          <w:szCs w:val="32"/>
        </w:rPr>
        <w:t>年本部门预算支出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242.85</w:t>
      </w:r>
      <w:r>
        <w:rPr>
          <w:rFonts w:ascii="仿宋" w:hAnsi="仿宋" w:eastAsia="仿宋" w:cs="仿宋"/>
          <w:spacing w:val="8"/>
          <w:sz w:val="32"/>
          <w:szCs w:val="32"/>
        </w:rPr>
        <w:t>万元，其中一般公共预算拨款支出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242.85</w:t>
      </w:r>
      <w:r>
        <w:rPr>
          <w:rFonts w:ascii="仿宋" w:hAnsi="仿宋" w:eastAsia="仿宋" w:cs="仿宋"/>
          <w:spacing w:val="8"/>
          <w:sz w:val="32"/>
          <w:szCs w:val="32"/>
        </w:rPr>
        <w:t>万元，202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pacing w:val="8"/>
          <w:sz w:val="32"/>
          <w:szCs w:val="32"/>
        </w:rPr>
        <w:t>年本部门预算支出比上年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增加5.74</w:t>
      </w:r>
      <w:r>
        <w:rPr>
          <w:rFonts w:ascii="仿宋" w:hAnsi="仿宋" w:eastAsia="仿宋" w:cs="仿宋"/>
          <w:spacing w:val="8"/>
          <w:sz w:val="32"/>
          <w:szCs w:val="32"/>
        </w:rPr>
        <w:t>万元。主要原因同上。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（二）财政拨款收支情况。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z w:val="32"/>
          <w:szCs w:val="32"/>
        </w:rPr>
        <w:t>年本部门财政拨款收入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242.85</w:t>
      </w:r>
      <w:r>
        <w:rPr>
          <w:rFonts w:ascii="仿宋" w:hAnsi="仿宋" w:eastAsia="仿宋" w:cs="仿宋"/>
          <w:sz w:val="32"/>
          <w:szCs w:val="32"/>
        </w:rPr>
        <w:t>万元，其中一般公共预算拨款收入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242.85</w:t>
      </w:r>
      <w:r>
        <w:rPr>
          <w:rFonts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z w:val="32"/>
          <w:szCs w:val="32"/>
        </w:rPr>
        <w:t>年本部门</w:t>
      </w:r>
      <w:r>
        <w:rPr>
          <w:rFonts w:ascii="仿宋" w:hAnsi="仿宋" w:eastAsia="仿宋" w:cs="仿宋"/>
          <w:spacing w:val="-1"/>
          <w:sz w:val="32"/>
          <w:szCs w:val="32"/>
        </w:rPr>
        <w:t>财政拨款收入比上年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增加5.74</w:t>
      </w:r>
      <w:r>
        <w:rPr>
          <w:rFonts w:ascii="仿宋" w:hAnsi="仿宋" w:eastAsia="仿宋" w:cs="仿宋"/>
          <w:spacing w:val="-1"/>
          <w:sz w:val="32"/>
          <w:szCs w:val="32"/>
        </w:rPr>
        <w:t>万元，主要原因是</w:t>
      </w:r>
      <w:r>
        <w:rPr>
          <w:rFonts w:ascii="仿宋" w:hAnsi="仿宋" w:eastAsia="仿宋" w:cs="仿宋"/>
          <w:spacing w:val="8"/>
          <w:sz w:val="32"/>
          <w:szCs w:val="32"/>
        </w:rPr>
        <w:t>专项业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务</w:t>
      </w:r>
      <w:r>
        <w:rPr>
          <w:rFonts w:ascii="仿宋" w:hAnsi="仿宋" w:eastAsia="仿宋" w:cs="仿宋"/>
          <w:spacing w:val="8"/>
          <w:sz w:val="32"/>
          <w:szCs w:val="32"/>
        </w:rPr>
        <w:t>经费支出中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增加了机关事业临时劳务用工专项</w:t>
      </w:r>
      <w:r>
        <w:rPr>
          <w:rFonts w:ascii="仿宋" w:hAnsi="仿宋" w:eastAsia="仿宋" w:cs="仿宋"/>
          <w:spacing w:val="8"/>
          <w:sz w:val="32"/>
          <w:szCs w:val="32"/>
        </w:rPr>
        <w:t>。</w:t>
      </w:r>
      <w:r>
        <w:rPr>
          <w:rFonts w:ascii="仿宋" w:hAnsi="仿宋" w:eastAsia="仿宋" w:cs="仿宋"/>
          <w:spacing w:val="3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pacing w:val="3"/>
          <w:sz w:val="32"/>
          <w:szCs w:val="32"/>
        </w:rPr>
        <w:t>年本部门预算支出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242.85</w:t>
      </w:r>
      <w:r>
        <w:rPr>
          <w:rFonts w:ascii="仿宋" w:hAnsi="仿宋" w:eastAsia="仿宋" w:cs="仿宋"/>
          <w:spacing w:val="3"/>
          <w:sz w:val="32"/>
          <w:szCs w:val="32"/>
        </w:rPr>
        <w:t>万元，其中一般公共预算拨款支出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242.85</w:t>
      </w:r>
      <w:r>
        <w:rPr>
          <w:rFonts w:ascii="仿宋" w:hAnsi="仿宋" w:eastAsia="仿宋" w:cs="仿宋"/>
          <w:spacing w:val="3"/>
          <w:sz w:val="32"/>
          <w:szCs w:val="32"/>
        </w:rPr>
        <w:t>万元，202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pacing w:val="3"/>
          <w:sz w:val="32"/>
          <w:szCs w:val="32"/>
        </w:rPr>
        <w:t>年本部门预算支</w:t>
      </w:r>
      <w:r>
        <w:rPr>
          <w:rFonts w:ascii="仿宋" w:hAnsi="仿宋" w:eastAsia="仿宋" w:cs="仿宋"/>
          <w:spacing w:val="-2"/>
          <w:sz w:val="32"/>
          <w:szCs w:val="32"/>
        </w:rPr>
        <w:t>出比上年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增加5.74</w:t>
      </w:r>
      <w:r>
        <w:rPr>
          <w:rFonts w:ascii="仿宋" w:hAnsi="仿宋" w:eastAsia="仿宋" w:cs="仿宋"/>
          <w:spacing w:val="8"/>
          <w:sz w:val="32"/>
          <w:szCs w:val="32"/>
        </w:rPr>
        <w:t>万元</w:t>
      </w:r>
      <w:r>
        <w:rPr>
          <w:rFonts w:ascii="仿宋" w:hAnsi="仿宋" w:eastAsia="仿宋" w:cs="仿宋"/>
          <w:spacing w:val="-2"/>
          <w:sz w:val="32"/>
          <w:szCs w:val="32"/>
        </w:rPr>
        <w:t>。主要原因同上。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92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（三）</w:t>
      </w:r>
      <w:r>
        <w:rPr>
          <w:rFonts w:ascii="仿宋" w:hAnsi="仿宋" w:eastAsia="仿宋" w:cs="仿宋"/>
          <w:spacing w:val="-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一般公共预算拨款支出明细情况。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1、 一般公共预算当年拨款规模变化情况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ascii="仿宋" w:hAnsi="仿宋" w:eastAsia="仿宋" w:cs="仿宋"/>
          <w:spacing w:val="8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本部门当年一般公共预算拨款支出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242.85</w:t>
      </w:r>
      <w:r>
        <w:rPr>
          <w:rFonts w:ascii="仿宋" w:hAnsi="仿宋" w:eastAsia="仿宋" w:cs="仿宋"/>
          <w:sz w:val="32"/>
          <w:szCs w:val="32"/>
        </w:rPr>
        <w:t>万元，比上年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增加5.74</w:t>
      </w:r>
      <w:r>
        <w:rPr>
          <w:rFonts w:ascii="仿宋" w:hAnsi="仿宋" w:eastAsia="仿宋" w:cs="仿宋"/>
          <w:spacing w:val="8"/>
          <w:sz w:val="32"/>
          <w:szCs w:val="32"/>
        </w:rPr>
        <w:t>万元</w:t>
      </w:r>
      <w:r>
        <w:rPr>
          <w:rFonts w:ascii="仿宋" w:hAnsi="仿宋" w:eastAsia="仿宋" w:cs="仿宋"/>
          <w:sz w:val="32"/>
          <w:szCs w:val="32"/>
        </w:rPr>
        <w:t>万元。主要原因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ascii="仿宋" w:hAnsi="仿宋" w:eastAsia="仿宋" w:cs="仿宋"/>
          <w:spacing w:val="8"/>
          <w:sz w:val="32"/>
          <w:szCs w:val="32"/>
        </w:rPr>
        <w:t>专项业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务</w:t>
      </w:r>
      <w:r>
        <w:rPr>
          <w:rFonts w:ascii="仿宋" w:hAnsi="仿宋" w:eastAsia="仿宋" w:cs="仿宋"/>
          <w:spacing w:val="8"/>
          <w:sz w:val="32"/>
          <w:szCs w:val="32"/>
        </w:rPr>
        <w:t>经费支出中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增加了机关事业临时劳务用工专项</w:t>
      </w:r>
      <w:r>
        <w:rPr>
          <w:rFonts w:ascii="仿宋" w:hAnsi="仿宋" w:eastAsia="仿宋" w:cs="仿宋"/>
          <w:spacing w:val="8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2、支出按功能科目分类的明细情况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当年</w:t>
      </w:r>
      <w:r>
        <w:rPr>
          <w:rFonts w:ascii="仿宋" w:hAnsi="仿宋" w:eastAsia="仿宋" w:cs="仿宋"/>
          <w:sz w:val="32"/>
          <w:szCs w:val="32"/>
        </w:rPr>
        <w:t>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242.85</w:t>
      </w:r>
      <w:r>
        <w:rPr>
          <w:rFonts w:ascii="仿宋" w:hAnsi="仿宋" w:eastAsia="仿宋" w:cs="仿宋"/>
          <w:sz w:val="32"/>
          <w:szCs w:val="32"/>
        </w:rPr>
        <w:t>万元，其中：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行政运行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229.25</w:t>
      </w:r>
      <w:r>
        <w:rPr>
          <w:rFonts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3.34</w:t>
      </w:r>
      <w:r>
        <w:rPr>
          <w:rFonts w:ascii="仿宋" w:hAnsi="仿宋" w:eastAsia="仿宋" w:cs="仿宋"/>
          <w:sz w:val="32"/>
          <w:szCs w:val="32"/>
        </w:rPr>
        <w:t>万元，原因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ascii="仿宋" w:hAnsi="仿宋" w:eastAsia="仿宋" w:cs="仿宋"/>
          <w:sz w:val="32"/>
          <w:szCs w:val="32"/>
        </w:rPr>
        <w:t>新增人员，工资福利支出增加，所以行政运行预算经费增加。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一般行政管理事务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110.5</w:t>
      </w:r>
      <w:r>
        <w:rPr>
          <w:rFonts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2.4</w:t>
      </w:r>
      <w:r>
        <w:rPr>
          <w:rFonts w:ascii="仿宋" w:hAnsi="仿宋" w:eastAsia="仿宋" w:cs="仿宋"/>
          <w:sz w:val="32"/>
          <w:szCs w:val="32"/>
        </w:rPr>
        <w:t>万元，原因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ascii="仿宋" w:hAnsi="仿宋" w:eastAsia="仿宋" w:cs="仿宋"/>
          <w:sz w:val="32"/>
          <w:szCs w:val="32"/>
        </w:rPr>
        <w:t>主要增加全国第五次经济普查经费和民营领域统计监测经费。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3、支出按经济科目分类的明细情况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按照部门预算支出经济分类说明。202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z w:val="32"/>
          <w:szCs w:val="32"/>
        </w:rPr>
        <w:t>年本部门一般公共预算支出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242.85</w:t>
      </w:r>
      <w:r>
        <w:rPr>
          <w:rFonts w:ascii="仿宋" w:hAnsi="仿宋" w:eastAsia="仿宋" w:cs="仿宋"/>
          <w:sz w:val="32"/>
          <w:szCs w:val="32"/>
        </w:rPr>
        <w:t>万元，其中：工资福利支出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229.25</w:t>
      </w:r>
      <w:r>
        <w:rPr>
          <w:rFonts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3.34</w:t>
      </w:r>
      <w:r>
        <w:rPr>
          <w:rFonts w:ascii="仿宋" w:hAnsi="仿宋" w:eastAsia="仿宋" w:cs="仿宋"/>
          <w:sz w:val="32"/>
          <w:szCs w:val="32"/>
        </w:rPr>
        <w:t>万元，原因是新增人员2人，所以工资福利支出增加。商品和服务支出11.20万元，与上年持平。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按照政府预算支出经济分类说明。202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z w:val="32"/>
          <w:szCs w:val="32"/>
        </w:rPr>
        <w:t>年本部门一般公共预算支出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242.85</w:t>
      </w:r>
      <w:r>
        <w:rPr>
          <w:rFonts w:ascii="仿宋" w:hAnsi="仿宋" w:eastAsia="仿宋" w:cs="仿宋"/>
          <w:sz w:val="32"/>
          <w:szCs w:val="32"/>
        </w:rPr>
        <w:t>万元，其中：工资福利支出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229.25</w:t>
      </w:r>
      <w:r>
        <w:rPr>
          <w:rFonts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3.34</w:t>
      </w:r>
      <w:r>
        <w:rPr>
          <w:rFonts w:ascii="仿宋" w:hAnsi="仿宋" w:eastAsia="仿宋" w:cs="仿宋"/>
          <w:sz w:val="32"/>
          <w:szCs w:val="32"/>
        </w:rPr>
        <w:t>万元，原因是新增人员2人，所以工资福利支出增加。商品和服务支出11.20万元，与上年持平。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4、202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z w:val="32"/>
          <w:szCs w:val="32"/>
        </w:rPr>
        <w:t>年结转财政资金一般公共预算拨款支出情况。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本部门无202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z w:val="32"/>
          <w:szCs w:val="32"/>
        </w:rPr>
        <w:t>年结转的一般公共预算拨款资金支出。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 w:firstLineChars="200"/>
        <w:textAlignment w:val="baseline"/>
        <w:rPr>
          <w:rFonts w:ascii="Arial"/>
          <w:sz w:val="21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（四）政府性基金预算支出情况。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1.当年政府性基金预算支出情况。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本部门无当年政府性基金预算收支，并已公开空表。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64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2.上年结转政府性基金预算支出情况。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本部门无2023年结转的政府性基金预算拨款支出。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 w:firstLineChars="200"/>
        <w:jc w:val="both"/>
        <w:textAlignment w:val="baseline"/>
        <w:rPr>
          <w:rFonts w:ascii="Arial"/>
          <w:sz w:val="21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（五）国有资本经营预算拨款收支情况。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本部门无当年国有资本经营预算拨款收支，并在财政拨款收支总体情况表中列示。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本部门无2023年结转的国有资本经营预算拨款支出。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0" w:firstLineChars="0"/>
        <w:jc w:val="center"/>
        <w:textAlignment w:val="baseline"/>
        <w:rPr>
          <w:rFonts w:hint="eastAsia" w:ascii="黑体" w:hAnsi="黑体" w:eastAsia="黑体" w:cs="黑体"/>
          <w:spacing w:val="-1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黑体" w:hAnsi="黑体" w:eastAsia="黑体" w:cs="黑体"/>
          <w:spacing w:val="-1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第三部分</w:t>
      </w:r>
      <w:r>
        <w:rPr>
          <w:rFonts w:hint="eastAsia" w:ascii="黑体" w:hAnsi="黑体" w:eastAsia="黑体" w:cs="黑体"/>
          <w:spacing w:val="-1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pacing w:val="-1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其他说明情况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0" w:firstLineChars="0"/>
        <w:jc w:val="center"/>
        <w:textAlignment w:val="baseline"/>
        <w:rPr>
          <w:rFonts w:ascii="宋体" w:hAnsi="宋体" w:eastAsia="宋体" w:cs="宋体"/>
          <w:spacing w:val="-1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both"/>
        <w:textAlignment w:val="baseline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六、“三公”经费</w:t>
      </w:r>
      <w:r>
        <w:rPr>
          <w:rFonts w:hint="eastAsia" w:ascii="宋体" w:hAnsi="宋体" w:eastAsia="宋体" w:cs="宋体"/>
          <w:spacing w:val="-1"/>
          <w:sz w:val="32"/>
          <w:szCs w:val="32"/>
          <w:lang w:val="en-US" w:eastAsia="zh-CN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及会议费、培训费</w:t>
      </w:r>
      <w:r>
        <w:rPr>
          <w:rFonts w:ascii="宋体" w:hAnsi="宋体" w:eastAsia="宋体" w:cs="宋体"/>
          <w:spacing w:val="-1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情况说明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 xml:space="preserve">本部门当年一般公共预算“三公”经费预算支出2.0 万元，较上年持平。其中：公务接待费 2.0万元，公务用车运行维护费及因公出国境费用 0 万元，均与上年持平。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 xml:space="preserve">本部门无2023年结转的财政拨款“三公”经费支出。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 xml:space="preserve">2024年会议费预算为 0 元，无上年底结转的财政拨款会议费预算支出。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2024年培训费预算为0万元，无上年底结转的财政拨款培训费预算支出。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both"/>
        <w:textAlignment w:val="baseline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七、部门国有资产占有使用及资产购置情况说明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截止2023年底，本部门单价20万元以上的设备0套。2024年当年部门预算安排购置车辆0辆；安排购置单价20万元以上的设备0台（套）。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8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本部门无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上年底</w:t>
      </w:r>
      <w:r>
        <w:rPr>
          <w:rFonts w:ascii="仿宋" w:hAnsi="仿宋" w:eastAsia="仿宋" w:cs="仿宋"/>
          <w:spacing w:val="-3"/>
          <w:sz w:val="32"/>
          <w:szCs w:val="32"/>
        </w:rPr>
        <w:t>结转的财政拨款支出资产购置。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 w:firstLineChars="200"/>
        <w:jc w:val="both"/>
        <w:textAlignment w:val="baseline"/>
        <w:outlineLvl w:val="0"/>
        <w:rPr>
          <w:rFonts w:ascii="宋体" w:hAnsi="宋体" w:eastAsia="宋体" w:cs="宋体"/>
          <w:spacing w:val="-2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2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政府采购情况</w:t>
      </w:r>
      <w:r>
        <w:rPr>
          <w:rFonts w:hint="eastAsia" w:ascii="宋体" w:hAnsi="宋体" w:eastAsia="宋体" w:cs="宋体"/>
          <w:spacing w:val="-2"/>
          <w:sz w:val="32"/>
          <w:szCs w:val="32"/>
          <w:lang w:val="en-US" w:eastAsia="zh-CN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2024年当年本部门政府采购预算共0万元，并已公开空表。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ascii="仿宋" w:hAnsi="仿宋" w:eastAsia="仿宋" w:cs="仿宋"/>
          <w:spacing w:val="16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本部门无2023年结转的政府采购资金支出。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 w:firstLineChars="200"/>
        <w:jc w:val="both"/>
        <w:textAlignment w:val="baseline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九、绩效目标说明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4" w:firstLineChars="200"/>
        <w:jc w:val="both"/>
        <w:textAlignment w:val="baseline"/>
        <w:rPr>
          <w:rFonts w:ascii="仿宋" w:hAnsi="仿宋" w:eastAsia="仿宋" w:cs="仿宋"/>
          <w:spacing w:val="16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本部门绩效目标管理全覆盖</w:t>
      </w:r>
      <w:r>
        <w:rPr>
          <w:rFonts w:hint="eastAsia" w:ascii="仿宋" w:hAnsi="仿宋" w:eastAsia="仿宋" w:cs="仿宋"/>
          <w:spacing w:val="16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16"/>
          <w:sz w:val="32"/>
          <w:szCs w:val="32"/>
        </w:rPr>
        <w:t>涉及当年一般公共预算拨款</w:t>
      </w:r>
      <w:r>
        <w:rPr>
          <w:rFonts w:hint="eastAsia" w:ascii="仿宋" w:hAnsi="仿宋" w:eastAsia="仿宋" w:cs="仿宋"/>
          <w:spacing w:val="16"/>
          <w:sz w:val="32"/>
          <w:szCs w:val="32"/>
          <w:lang w:val="en-US" w:eastAsia="zh-CN"/>
        </w:rPr>
        <w:t>58.1</w:t>
      </w:r>
      <w:r>
        <w:rPr>
          <w:rFonts w:ascii="仿宋" w:hAnsi="仿宋" w:eastAsia="仿宋" w:cs="仿宋"/>
          <w:spacing w:val="16"/>
          <w:sz w:val="32"/>
          <w:szCs w:val="32"/>
        </w:rPr>
        <w:t>万元,当年政府性基金预算拨款0万元，当年国有资本经营预算拨款0万元（详见公开报表中的绩效目标表）。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  <w:rPr>
          <w:rFonts w:ascii="仿宋" w:hAnsi="仿宋" w:eastAsia="仿宋" w:cs="仿宋"/>
          <w:spacing w:val="16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本部门无2023年结转的财政拨款支出涉及的绩效目标管理。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2" w:firstLineChars="200"/>
        <w:jc w:val="both"/>
        <w:textAlignment w:val="baseline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十、机关运行经费安排</w:t>
      </w:r>
      <w:r>
        <w:rPr>
          <w:rFonts w:hint="eastAsia" w:ascii="宋体" w:hAnsi="宋体" w:eastAsia="宋体" w:cs="宋体"/>
          <w:spacing w:val="-2"/>
          <w:sz w:val="32"/>
          <w:szCs w:val="32"/>
          <w:lang w:val="en-US" w:eastAsia="zh-CN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情况</w:t>
      </w:r>
      <w:r>
        <w:rPr>
          <w:rFonts w:ascii="宋体" w:hAnsi="宋体" w:eastAsia="宋体" w:cs="宋体"/>
          <w:spacing w:val="-2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4" w:firstLineChars="200"/>
        <w:jc w:val="both"/>
        <w:textAlignment w:val="baseline"/>
        <w:rPr>
          <w:rFonts w:ascii="仿宋" w:hAnsi="仿宋" w:eastAsia="仿宋" w:cs="仿宋"/>
          <w:spacing w:val="16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本部门当年机关运行经费预算安排11.2万元，与上年持平，主要原因是严格执行上级勤俭节约有关规定，坚持过紧日子，大力压减公用经费支出。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  <w:rPr>
          <w:rFonts w:ascii="仿宋" w:hAnsi="仿宋" w:eastAsia="仿宋" w:cs="仿宋"/>
          <w:spacing w:val="16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本部门无2023年结转的财政拨款机关运行经费支出。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 w:firstLineChars="200"/>
        <w:jc w:val="both"/>
        <w:textAlignment w:val="baseline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十一、专业名词解释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4" w:firstLineChars="200"/>
        <w:jc w:val="both"/>
        <w:textAlignment w:val="baseline"/>
        <w:rPr>
          <w:rFonts w:hint="eastAsia" w:ascii="仿宋" w:hAnsi="仿宋" w:eastAsia="仿宋" w:cs="仿宋"/>
          <w:spacing w:val="16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16"/>
          <w:sz w:val="32"/>
          <w:szCs w:val="32"/>
        </w:rPr>
        <w:t>1.机关运行经费:</w:t>
      </w:r>
      <w:r>
        <w:rPr>
          <w:rFonts w:hint="eastAsia" w:ascii="仿宋" w:hAnsi="仿宋" w:eastAsia="仿宋" w:cs="仿宋"/>
          <w:spacing w:val="16"/>
          <w:sz w:val="32"/>
          <w:szCs w:val="32"/>
          <w:lang w:val="en-US" w:eastAsia="zh-CN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4" w:firstLineChars="200"/>
        <w:jc w:val="both"/>
        <w:textAlignment w:val="baseline"/>
        <w:rPr>
          <w:rFonts w:hint="eastAsia" w:ascii="仿宋" w:hAnsi="仿宋" w:eastAsia="仿宋" w:cs="仿宋"/>
          <w:spacing w:val="1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0" w:firstLineChars="0"/>
        <w:jc w:val="center"/>
        <w:textAlignment w:val="baseline"/>
        <w:rPr>
          <w:rFonts w:hint="eastAsia" w:ascii="黑体" w:hAnsi="黑体" w:eastAsia="黑体" w:cs="黑体"/>
          <w:spacing w:val="-1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0" w:firstLineChars="0"/>
        <w:jc w:val="center"/>
        <w:textAlignment w:val="baseline"/>
        <w:rPr>
          <w:rFonts w:hint="eastAsia" w:ascii="黑体" w:hAnsi="黑体" w:eastAsia="黑体" w:cs="黑体"/>
          <w:spacing w:val="-1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黑体" w:hAnsi="黑体" w:eastAsia="黑体" w:cs="黑体"/>
          <w:spacing w:val="-1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第四部分  公开报表</w:t>
      </w:r>
    </w:p>
    <w:p>
      <w:pPr>
        <w:jc w:val="center"/>
        <w:rPr>
          <w:rFonts w:ascii="Arial"/>
          <w:sz w:val="21"/>
        </w:rPr>
      </w:pPr>
      <w:r>
        <w:rPr>
          <w:rFonts w:ascii="宋体" w:hAnsi="宋体" w:eastAsia="宋体" w:cs="宋体"/>
          <w:spacing w:val="-6"/>
          <w:sz w:val="28"/>
          <w:szCs w:val="28"/>
          <w14:textOutline w14:w="5926" w14:cap="flat" w14:cmpd="sng">
            <w14:solidFill>
              <w14:srgbClr w14:val="000000"/>
            </w14:solidFill>
            <w14:prstDash w14:val="solid"/>
            <w14:miter w14:val="0"/>
          </w14:textOutline>
        </w:rPr>
        <w:t>(具体部门预算公开报表)</w:t>
      </w:r>
      <w:bookmarkStart w:id="0" w:name="_GoBack"/>
      <w:bookmarkEnd w:id="0"/>
    </w:p>
    <w:sectPr>
      <w:pgSz w:w="11900" w:h="16821"/>
      <w:pgMar w:top="1134" w:right="1134" w:bottom="1134" w:left="1134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nsolas">
    <w:altName w:val="Noto Sans Mono"/>
    <w:panose1 w:val="020B0609020204030204"/>
    <w:charset w:val="00"/>
    <w:family w:val="auto"/>
    <w:pitch w:val="default"/>
    <w:sig w:usb0="00000000" w:usb1="00000000" w:usb2="00000001" w:usb3="00000000" w:csb0="6000019F" w:csb1="DFD7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9B1889"/>
    <w:multiLevelType w:val="singleLevel"/>
    <w:tmpl w:val="E89B188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6AB60F0"/>
    <w:multiLevelType w:val="singleLevel"/>
    <w:tmpl w:val="06AB60F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6030DA7"/>
    <w:multiLevelType w:val="singleLevel"/>
    <w:tmpl w:val="76030DA7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mNkYjU1NjFhZGNkNzkwMzE5NmQyZWE3ZWJmNTM3ZDYifQ=="/>
    <w:docVar w:name="KSO_WPS_MARK_KEY" w:val="577f3f2d-bf44-4827-b9d0-931769db2379"/>
  </w:docVars>
  <w:rsids>
    <w:rsidRoot w:val="00172A27"/>
    <w:rsid w:val="00115603"/>
    <w:rsid w:val="004603FE"/>
    <w:rsid w:val="01D75008"/>
    <w:rsid w:val="02783976"/>
    <w:rsid w:val="02DA1F3A"/>
    <w:rsid w:val="031512C2"/>
    <w:rsid w:val="036A1510"/>
    <w:rsid w:val="04A917D3"/>
    <w:rsid w:val="05BA3A55"/>
    <w:rsid w:val="06BD69DF"/>
    <w:rsid w:val="06FA2BAB"/>
    <w:rsid w:val="073D4A87"/>
    <w:rsid w:val="07464042"/>
    <w:rsid w:val="077E37DC"/>
    <w:rsid w:val="08127DF5"/>
    <w:rsid w:val="08F32728"/>
    <w:rsid w:val="08FD6983"/>
    <w:rsid w:val="0BF95B27"/>
    <w:rsid w:val="0C2856DE"/>
    <w:rsid w:val="0CBF4063"/>
    <w:rsid w:val="0D984ECC"/>
    <w:rsid w:val="0E7B6CC7"/>
    <w:rsid w:val="0F6B0FBF"/>
    <w:rsid w:val="0FEE0C14"/>
    <w:rsid w:val="10463305"/>
    <w:rsid w:val="105E7029"/>
    <w:rsid w:val="109A0F5B"/>
    <w:rsid w:val="11145396"/>
    <w:rsid w:val="120E7E53"/>
    <w:rsid w:val="121000B7"/>
    <w:rsid w:val="12731E16"/>
    <w:rsid w:val="12B5207C"/>
    <w:rsid w:val="12F2507E"/>
    <w:rsid w:val="14B940A6"/>
    <w:rsid w:val="179606CE"/>
    <w:rsid w:val="1815178B"/>
    <w:rsid w:val="19580442"/>
    <w:rsid w:val="1BC17CE4"/>
    <w:rsid w:val="1C7B7E93"/>
    <w:rsid w:val="1CAE58FC"/>
    <w:rsid w:val="1D012A8E"/>
    <w:rsid w:val="1D951428"/>
    <w:rsid w:val="1E2D6978"/>
    <w:rsid w:val="1FEC51EF"/>
    <w:rsid w:val="200249A4"/>
    <w:rsid w:val="209F02CD"/>
    <w:rsid w:val="21162880"/>
    <w:rsid w:val="211B17E5"/>
    <w:rsid w:val="217A1314"/>
    <w:rsid w:val="23696C97"/>
    <w:rsid w:val="2395349D"/>
    <w:rsid w:val="23D9206E"/>
    <w:rsid w:val="24975A86"/>
    <w:rsid w:val="25E35CDA"/>
    <w:rsid w:val="267A0A7C"/>
    <w:rsid w:val="26832765"/>
    <w:rsid w:val="279A5BA8"/>
    <w:rsid w:val="28BA40E8"/>
    <w:rsid w:val="28C852C9"/>
    <w:rsid w:val="29C83D47"/>
    <w:rsid w:val="2A197E92"/>
    <w:rsid w:val="2A6843AA"/>
    <w:rsid w:val="2B592EC3"/>
    <w:rsid w:val="2B7A1FDC"/>
    <w:rsid w:val="2BDD1FA5"/>
    <w:rsid w:val="2DC04CEB"/>
    <w:rsid w:val="2E642E7C"/>
    <w:rsid w:val="2EF20488"/>
    <w:rsid w:val="2EFE507F"/>
    <w:rsid w:val="307A6987"/>
    <w:rsid w:val="31224929"/>
    <w:rsid w:val="31A6555A"/>
    <w:rsid w:val="320F4EAD"/>
    <w:rsid w:val="330163C9"/>
    <w:rsid w:val="356639BD"/>
    <w:rsid w:val="357C6CFE"/>
    <w:rsid w:val="35843E04"/>
    <w:rsid w:val="35B66980"/>
    <w:rsid w:val="362D624A"/>
    <w:rsid w:val="364041CF"/>
    <w:rsid w:val="3748158D"/>
    <w:rsid w:val="37AC7C8A"/>
    <w:rsid w:val="37B122CD"/>
    <w:rsid w:val="3825542A"/>
    <w:rsid w:val="3841792E"/>
    <w:rsid w:val="38A52C93"/>
    <w:rsid w:val="38E47094"/>
    <w:rsid w:val="39027376"/>
    <w:rsid w:val="39290F4A"/>
    <w:rsid w:val="39B50A30"/>
    <w:rsid w:val="39CB0EB0"/>
    <w:rsid w:val="3AA34D2C"/>
    <w:rsid w:val="3AAA7E69"/>
    <w:rsid w:val="3C0477AF"/>
    <w:rsid w:val="3C1F03E3"/>
    <w:rsid w:val="3D3B124C"/>
    <w:rsid w:val="3DDB61C3"/>
    <w:rsid w:val="3E6333C6"/>
    <w:rsid w:val="3ECD19BB"/>
    <w:rsid w:val="413109A6"/>
    <w:rsid w:val="41392D87"/>
    <w:rsid w:val="416B36BC"/>
    <w:rsid w:val="423D5A66"/>
    <w:rsid w:val="4258197C"/>
    <w:rsid w:val="43AF4742"/>
    <w:rsid w:val="43E95AEF"/>
    <w:rsid w:val="44970710"/>
    <w:rsid w:val="44EB3558"/>
    <w:rsid w:val="45614979"/>
    <w:rsid w:val="460916C9"/>
    <w:rsid w:val="473C009B"/>
    <w:rsid w:val="47631BFC"/>
    <w:rsid w:val="47C62D84"/>
    <w:rsid w:val="48110A6D"/>
    <w:rsid w:val="48281AE7"/>
    <w:rsid w:val="49CA7BE0"/>
    <w:rsid w:val="49E669E4"/>
    <w:rsid w:val="4A8328EE"/>
    <w:rsid w:val="4B405BBF"/>
    <w:rsid w:val="4C4511C8"/>
    <w:rsid w:val="4C651E42"/>
    <w:rsid w:val="4DA82022"/>
    <w:rsid w:val="4DFE60AA"/>
    <w:rsid w:val="4F474916"/>
    <w:rsid w:val="507B48E7"/>
    <w:rsid w:val="524F6F94"/>
    <w:rsid w:val="529B7145"/>
    <w:rsid w:val="534D1D39"/>
    <w:rsid w:val="54E70E82"/>
    <w:rsid w:val="55DB13C7"/>
    <w:rsid w:val="5753390A"/>
    <w:rsid w:val="575719A7"/>
    <w:rsid w:val="57DB3900"/>
    <w:rsid w:val="57E22611"/>
    <w:rsid w:val="58507F67"/>
    <w:rsid w:val="58EE7C8C"/>
    <w:rsid w:val="59853B23"/>
    <w:rsid w:val="5ACC12DE"/>
    <w:rsid w:val="5B3BE302"/>
    <w:rsid w:val="5C9B540C"/>
    <w:rsid w:val="60D64C64"/>
    <w:rsid w:val="6141614E"/>
    <w:rsid w:val="61532759"/>
    <w:rsid w:val="619C7C5C"/>
    <w:rsid w:val="62330EBD"/>
    <w:rsid w:val="6254263E"/>
    <w:rsid w:val="62DB3F88"/>
    <w:rsid w:val="6522491C"/>
    <w:rsid w:val="659155BC"/>
    <w:rsid w:val="65D95FBF"/>
    <w:rsid w:val="679B09B6"/>
    <w:rsid w:val="68F75352"/>
    <w:rsid w:val="69513A22"/>
    <w:rsid w:val="6965127B"/>
    <w:rsid w:val="6A674B7F"/>
    <w:rsid w:val="6A94006A"/>
    <w:rsid w:val="6D3F5B00"/>
    <w:rsid w:val="6D5820E7"/>
    <w:rsid w:val="6E602011"/>
    <w:rsid w:val="6E7004A6"/>
    <w:rsid w:val="6F543924"/>
    <w:rsid w:val="6F844812"/>
    <w:rsid w:val="6F8A5598"/>
    <w:rsid w:val="70703A64"/>
    <w:rsid w:val="711A6DEF"/>
    <w:rsid w:val="7235674F"/>
    <w:rsid w:val="72E15E16"/>
    <w:rsid w:val="73124222"/>
    <w:rsid w:val="739A5FC5"/>
    <w:rsid w:val="741D1829"/>
    <w:rsid w:val="7440158F"/>
    <w:rsid w:val="7522244E"/>
    <w:rsid w:val="757F5473"/>
    <w:rsid w:val="75A66EA3"/>
    <w:rsid w:val="75E1612D"/>
    <w:rsid w:val="771F2E8F"/>
    <w:rsid w:val="792C5912"/>
    <w:rsid w:val="7AB930E8"/>
    <w:rsid w:val="7AE2097E"/>
    <w:rsid w:val="7AE75F94"/>
    <w:rsid w:val="7C3C40BE"/>
    <w:rsid w:val="7D1F5EB1"/>
    <w:rsid w:val="7D527F58"/>
    <w:rsid w:val="7D6B0DD9"/>
    <w:rsid w:val="7FB126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32"/>
      <w:szCs w:val="32"/>
      <w:lang w:val="en-US" w:eastAsia="en-US" w:bidi="ar-SA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TML Definition"/>
    <w:basedOn w:val="5"/>
    <w:qFormat/>
    <w:uiPriority w:val="0"/>
    <w:rPr>
      <w:i/>
      <w:iCs/>
    </w:rPr>
  </w:style>
  <w:style w:type="character" w:styleId="9">
    <w:name w:val="Hyperlink"/>
    <w:basedOn w:val="5"/>
    <w:qFormat/>
    <w:uiPriority w:val="0"/>
    <w:rPr>
      <w:color w:val="333333"/>
      <w:u w:val="none"/>
    </w:rPr>
  </w:style>
  <w:style w:type="character" w:styleId="10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qFormat/>
    <w:uiPriority w:val="0"/>
    <w:rPr>
      <w:rFonts w:ascii="Consolas" w:hAnsi="Consolas" w:eastAsia="Consolas" w:cs="Consolas"/>
      <w:sz w:val="21"/>
      <w:szCs w:val="21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character" w:customStyle="1" w:styleId="15">
    <w:name w:val="font51"/>
    <w:basedOn w:val="5"/>
    <w:qFormat/>
    <w:uiPriority w:val="0"/>
    <w:rPr>
      <w:rFonts w:hint="eastAsia" w:ascii="仿宋" w:hAnsi="仿宋" w:eastAsia="仿宋" w:cs="仿宋"/>
      <w:color w:val="000000"/>
      <w:sz w:val="26"/>
      <w:szCs w:val="26"/>
      <w:u w:val="none"/>
    </w:rPr>
  </w:style>
  <w:style w:type="character" w:customStyle="1" w:styleId="16">
    <w:name w:val="font81"/>
    <w:basedOn w:val="5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17">
    <w:name w:val="font11"/>
    <w:basedOn w:val="5"/>
    <w:qFormat/>
    <w:uiPriority w:val="0"/>
    <w:rPr>
      <w:rFonts w:hint="default" w:ascii="Arial" w:hAnsi="Arial" w:cs="Arial"/>
      <w:color w:val="000000"/>
      <w:sz w:val="26"/>
      <w:szCs w:val="26"/>
      <w:u w:val="none"/>
    </w:rPr>
  </w:style>
  <w:style w:type="character" w:customStyle="1" w:styleId="18">
    <w:name w:val="span2"/>
    <w:basedOn w:val="5"/>
    <w:qFormat/>
    <w:uiPriority w:val="0"/>
  </w:style>
  <w:style w:type="character" w:customStyle="1" w:styleId="19">
    <w:name w:val="span33"/>
    <w:basedOn w:val="5"/>
    <w:qFormat/>
    <w:uiPriority w:val="0"/>
    <w:rPr>
      <w:rFonts w:ascii="微软雅黑" w:hAnsi="微软雅黑" w:eastAsia="微软雅黑" w:cs="微软雅黑"/>
    </w:rPr>
  </w:style>
  <w:style w:type="character" w:customStyle="1" w:styleId="20">
    <w:name w:val="span1"/>
    <w:basedOn w:val="5"/>
    <w:qFormat/>
    <w:uiPriority w:val="0"/>
  </w:style>
  <w:style w:type="character" w:customStyle="1" w:styleId="21">
    <w:name w:val="span3"/>
    <w:basedOn w:val="5"/>
    <w:qFormat/>
    <w:uiPriority w:val="0"/>
  </w:style>
  <w:style w:type="character" w:customStyle="1" w:styleId="22">
    <w:name w:val="selec"/>
    <w:basedOn w:val="5"/>
    <w:qFormat/>
    <w:uiPriority w:val="0"/>
  </w:style>
  <w:style w:type="character" w:customStyle="1" w:styleId="23">
    <w:name w:val="folder"/>
    <w:basedOn w:val="5"/>
    <w:qFormat/>
    <w:uiPriority w:val="0"/>
  </w:style>
  <w:style w:type="character" w:customStyle="1" w:styleId="24">
    <w:name w:val="folder1"/>
    <w:basedOn w:val="5"/>
    <w:qFormat/>
    <w:uiPriority w:val="0"/>
  </w:style>
  <w:style w:type="character" w:customStyle="1" w:styleId="25">
    <w:name w:val="file"/>
    <w:basedOn w:val="5"/>
    <w:qFormat/>
    <w:uiPriority w:val="0"/>
  </w:style>
  <w:style w:type="character" w:customStyle="1" w:styleId="26">
    <w:name w:val="gwds_nopic"/>
    <w:basedOn w:val="5"/>
    <w:qFormat/>
    <w:uiPriority w:val="0"/>
  </w:style>
  <w:style w:type="character" w:customStyle="1" w:styleId="27">
    <w:name w:val="glyphicon2"/>
    <w:basedOn w:val="5"/>
    <w:qFormat/>
    <w:uiPriority w:val="0"/>
  </w:style>
  <w:style w:type="character" w:customStyle="1" w:styleId="28">
    <w:name w:val="hover17"/>
    <w:basedOn w:val="5"/>
    <w:qFormat/>
    <w:uiPriority w:val="0"/>
    <w:rPr>
      <w:shd w:val="clear" w:fill="EEEEEE"/>
    </w:rPr>
  </w:style>
  <w:style w:type="character" w:customStyle="1" w:styleId="29">
    <w:name w:val="old"/>
    <w:basedOn w:val="5"/>
    <w:qFormat/>
    <w:uiPriority w:val="0"/>
    <w:rPr>
      <w:color w:val="999999"/>
    </w:rPr>
  </w:style>
  <w:style w:type="character" w:customStyle="1" w:styleId="30">
    <w:name w:val="hour_am"/>
    <w:basedOn w:val="5"/>
    <w:qFormat/>
    <w:uiPriority w:val="0"/>
  </w:style>
  <w:style w:type="character" w:customStyle="1" w:styleId="31">
    <w:name w:val="hour_pm"/>
    <w:basedOn w:val="5"/>
    <w:qFormat/>
    <w:uiPriority w:val="0"/>
  </w:style>
  <w:style w:type="character" w:customStyle="1" w:styleId="32">
    <w:name w:val="glyphicon"/>
    <w:basedOn w:val="5"/>
    <w:qFormat/>
    <w:uiPriority w:val="0"/>
  </w:style>
  <w:style w:type="character" w:customStyle="1" w:styleId="33">
    <w:name w:val="hover"/>
    <w:basedOn w:val="5"/>
    <w:qFormat/>
    <w:uiPriority w:val="0"/>
    <w:rPr>
      <w:shd w:val="clear" w:fill="EEEEEE"/>
    </w:rPr>
  </w:style>
  <w:style w:type="character" w:customStyle="1" w:styleId="34">
    <w:name w:val="gwds_nopic1"/>
    <w:basedOn w:val="5"/>
    <w:qFormat/>
    <w:uiPriority w:val="0"/>
  </w:style>
  <w:style w:type="character" w:customStyle="1" w:styleId="35">
    <w:name w:val="gwds_nopic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4477</Words>
  <Characters>4688</Characters>
  <TotalTime>11</TotalTime>
  <ScaleCrop>false</ScaleCrop>
  <LinksUpToDate>false</LinksUpToDate>
  <CharactersWithSpaces>4743</CharactersWithSpaces>
  <Application>WPS Office_11.8.2.10552_F1E327BC-269C-435d-A152-05C5408002CA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2023-05-05T23:00:00Z</dcterms:created>
  <dc:creator>Admin</dc:creator>
  <cp:lastModifiedBy>ankang</cp:lastModifiedBy>
  <dcterms:modified xsi:type="dcterms:W3CDTF">2024-04-29T09:17:03Z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2023-05-05T15:14:27Z</vt:filetime>
  </property>
  <property fmtid="{D5CDD505-2E9C-101B-9397-08002B2CF9AE}" pid="4" name="KSOProductBuildVer">
    <vt:lpwstr>2052-11.8.2.10552</vt:lpwstr>
  </property>
  <property fmtid="{D5CDD505-2E9C-101B-9397-08002B2CF9AE}" pid="5" name="ICV">
    <vt:lpwstr>B437A7D28F91417E8731DBBA960D02F2_13</vt:lpwstr>
  </property>
</Properties>
</file>